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ind w:right="420"/>
        <w:rPr>
          <w:rFonts w:ascii="宋体" w:hAnsi="宋体"/>
          <w:kern w:val="0"/>
          <w:sz w:val="24"/>
        </w:rPr>
      </w:pPr>
    </w:p>
    <w:p>
      <w:pPr>
        <w:spacing w:line="440" w:lineRule="exact"/>
        <w:ind w:right="420" w:firstLine="1320" w:firstLineChars="550"/>
        <w:jc w:val="right"/>
        <w:rPr>
          <w:rFonts w:ascii="宋体" w:hAnsi="宋体" w:cs="Arial"/>
          <w:kern w:val="0"/>
          <w:sz w:val="24"/>
        </w:rPr>
      </w:pPr>
      <w:r>
        <w:rPr>
          <w:rFonts w:hint="eastAsia" w:ascii="宋体" w:hAnsi="宋体"/>
          <w:kern w:val="0"/>
          <w:sz w:val="24"/>
        </w:rPr>
        <w:t xml:space="preserve">                   协议编号：YZFB</w:t>
      </w:r>
      <w:r>
        <w:rPr>
          <w:rFonts w:ascii="宋体" w:hAnsi="宋体"/>
          <w:kern w:val="0"/>
          <w:sz w:val="24"/>
        </w:rPr>
        <w:t>2019</w:t>
      </w:r>
    </w:p>
    <w:p>
      <w:pPr>
        <w:spacing w:line="440" w:lineRule="exact"/>
        <w:jc w:val="right"/>
        <w:rPr>
          <w:rFonts w:ascii="宋体" w:hAnsi="宋体" w:cs="Arial"/>
          <w:kern w:val="0"/>
          <w:sz w:val="24"/>
        </w:rPr>
      </w:pPr>
    </w:p>
    <w:p>
      <w:pPr>
        <w:autoSpaceDE w:val="0"/>
        <w:autoSpaceDN w:val="0"/>
        <w:adjustRightInd w:val="0"/>
        <w:spacing w:line="440" w:lineRule="exact"/>
        <w:jc w:val="center"/>
        <w:rPr>
          <w:rFonts w:ascii="宋体" w:hAnsi="宋体" w:cs="宋体"/>
          <w:kern w:val="0"/>
          <w:sz w:val="24"/>
        </w:rPr>
      </w:pPr>
    </w:p>
    <w:p>
      <w:pPr>
        <w:autoSpaceDE w:val="0"/>
        <w:autoSpaceDN w:val="0"/>
        <w:adjustRightInd w:val="0"/>
        <w:spacing w:line="440" w:lineRule="exact"/>
        <w:rPr>
          <w:rFonts w:ascii="宋体" w:hAnsi="宋体" w:cs="宋体"/>
          <w:kern w:val="0"/>
          <w:sz w:val="24"/>
        </w:rPr>
      </w:pPr>
    </w:p>
    <w:p>
      <w:pPr>
        <w:autoSpaceDE w:val="0"/>
        <w:autoSpaceDN w:val="0"/>
        <w:adjustRightInd w:val="0"/>
        <w:spacing w:line="540" w:lineRule="exact"/>
        <w:jc w:val="center"/>
        <w:rPr>
          <w:rFonts w:ascii="宋体" w:hAnsi="宋体" w:cs="宋体"/>
          <w:b/>
          <w:kern w:val="0"/>
          <w:sz w:val="48"/>
          <w:szCs w:val="48"/>
        </w:rPr>
      </w:pPr>
      <w:r>
        <w:rPr>
          <w:rFonts w:hint="eastAsia" w:ascii="宋体" w:hAnsi="宋体" w:cs="宋体"/>
          <w:b/>
          <w:kern w:val="0"/>
          <w:sz w:val="48"/>
          <w:szCs w:val="48"/>
        </w:rPr>
        <w:t>厦门国际银行股份有限公司赢展（封闭）</w:t>
      </w:r>
      <w:r>
        <w:rPr>
          <w:rFonts w:hint="eastAsia" w:ascii="宋体" w:hAnsi="宋体" w:cs="宋体"/>
          <w:b/>
          <w:kern w:val="0"/>
          <w:sz w:val="48"/>
          <w:szCs w:val="48"/>
          <w:u w:val="none"/>
        </w:rPr>
        <w:t>系列净值型</w:t>
      </w:r>
      <w:r>
        <w:rPr>
          <w:rFonts w:hint="eastAsia" w:ascii="宋体" w:hAnsi="宋体" w:cs="宋体"/>
          <w:b/>
          <w:kern w:val="0"/>
          <w:sz w:val="48"/>
          <w:szCs w:val="48"/>
        </w:rPr>
        <w:t>理财产品托管协议</w:t>
      </w: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p>
    <w:p>
      <w:pPr>
        <w:autoSpaceDE w:val="0"/>
        <w:autoSpaceDN w:val="0"/>
        <w:adjustRightInd w:val="0"/>
        <w:spacing w:line="440" w:lineRule="exact"/>
        <w:rPr>
          <w:rFonts w:ascii="宋体" w:hAnsi="宋体" w:cs="Arial"/>
          <w:b/>
          <w:kern w:val="0"/>
          <w:sz w:val="30"/>
          <w:szCs w:val="30"/>
        </w:rPr>
      </w:pPr>
      <w:r>
        <w:rPr>
          <w:rFonts w:hint="eastAsia" w:ascii="宋体" w:hAnsi="宋体" w:cs="宋体"/>
          <w:b/>
          <w:kern w:val="0"/>
          <w:sz w:val="30"/>
          <w:szCs w:val="30"/>
        </w:rPr>
        <w:t>管理人：厦门国际银行股份有限公司厦门分行</w:t>
      </w:r>
    </w:p>
    <w:p>
      <w:pPr>
        <w:autoSpaceDE w:val="0"/>
        <w:autoSpaceDN w:val="0"/>
        <w:adjustRightInd w:val="0"/>
        <w:spacing w:line="440" w:lineRule="exact"/>
        <w:jc w:val="left"/>
        <w:rPr>
          <w:rFonts w:ascii="宋体" w:hAnsi="宋体" w:cs="宋体"/>
          <w:b/>
          <w:kern w:val="0"/>
          <w:sz w:val="30"/>
          <w:szCs w:val="30"/>
        </w:rPr>
      </w:pPr>
      <w:r>
        <w:rPr>
          <w:rFonts w:hint="eastAsia" w:ascii="宋体" w:hAnsi="宋体" w:cs="宋体"/>
          <w:b/>
          <w:kern w:val="0"/>
          <w:sz w:val="30"/>
          <w:szCs w:val="30"/>
        </w:rPr>
        <w:t>托管人：中国民生银行股份有限公司</w:t>
      </w: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jc w:val="center"/>
        <w:rPr>
          <w:rFonts w:ascii="宋体" w:hAnsi="宋体" w:cs="宋体"/>
          <w:b/>
          <w:kern w:val="0"/>
          <w:sz w:val="30"/>
          <w:szCs w:val="30"/>
        </w:rPr>
      </w:pPr>
      <w:r>
        <w:rPr>
          <w:rFonts w:hint="eastAsia" w:ascii="宋体" w:hAnsi="宋体" w:cs="宋体"/>
          <w:b/>
          <w:bCs/>
          <w:sz w:val="30"/>
          <w:szCs w:val="30"/>
        </w:rPr>
        <w:fldChar w:fldCharType="begin">
          <w:ffData>
            <w:name w:val="Text1"/>
            <w:enabled/>
            <w:calcOnExit w:val="0"/>
            <w:textInput/>
          </w:ffData>
        </w:fldChar>
      </w:r>
      <w:r>
        <w:rPr>
          <w:rFonts w:hint="eastAsia" w:ascii="宋体" w:hAnsi="宋体" w:cs="宋体"/>
          <w:b/>
          <w:bCs/>
          <w:sz w:val="30"/>
          <w:szCs w:val="30"/>
        </w:rPr>
        <w:instrText xml:space="preserve">FORMTEXT</w:instrText>
      </w:r>
      <w:r>
        <w:rPr>
          <w:rFonts w:hint="eastAsia" w:ascii="宋体" w:hAnsi="宋体" w:cs="宋体"/>
          <w:b/>
          <w:bCs/>
          <w:sz w:val="30"/>
          <w:szCs w:val="30"/>
        </w:rPr>
        <w:fldChar w:fldCharType="separate"/>
      </w:r>
      <w:r>
        <w:rPr>
          <w:rFonts w:hint="eastAsia" w:ascii="宋体" w:hAnsi="宋体" w:cs="宋体"/>
          <w:b/>
          <w:bCs/>
          <w:sz w:val="30"/>
          <w:szCs w:val="30"/>
          <w:lang w:val="en-US"/>
        </w:rPr>
        <w:t>    </w:t>
      </w:r>
      <w:r>
        <w:rPr>
          <w:rFonts w:hint="eastAsia" w:ascii="宋体" w:hAnsi="宋体" w:cs="宋体"/>
          <w:b/>
          <w:bCs/>
          <w:sz w:val="30"/>
          <w:szCs w:val="30"/>
        </w:rPr>
        <w:fldChar w:fldCharType="end"/>
      </w:r>
      <w:r>
        <w:rPr>
          <w:rFonts w:hint="eastAsia" w:ascii="宋体" w:hAnsi="宋体" w:cs="宋体"/>
          <w:b/>
          <w:bCs/>
          <w:kern w:val="0"/>
          <w:sz w:val="30"/>
          <w:szCs w:val="30"/>
        </w:rPr>
        <w:t>年</w:t>
      </w:r>
      <w:r>
        <w:rPr>
          <w:rFonts w:hint="eastAsia" w:ascii="宋体" w:hAnsi="宋体" w:cs="宋体"/>
          <w:b/>
          <w:bCs/>
          <w:sz w:val="30"/>
          <w:szCs w:val="30"/>
        </w:rPr>
        <w:fldChar w:fldCharType="begin">
          <w:ffData>
            <w:name w:val="Text1"/>
            <w:enabled/>
            <w:calcOnExit w:val="0"/>
            <w:textInput/>
          </w:ffData>
        </w:fldChar>
      </w:r>
      <w:r>
        <w:rPr>
          <w:rFonts w:hint="eastAsia" w:ascii="宋体" w:hAnsi="宋体" w:cs="宋体"/>
          <w:b/>
          <w:bCs/>
          <w:sz w:val="30"/>
          <w:szCs w:val="30"/>
        </w:rPr>
        <w:instrText xml:space="preserve">FORMTEXT</w:instrText>
      </w:r>
      <w:r>
        <w:rPr>
          <w:rFonts w:hint="eastAsia" w:ascii="宋体" w:hAnsi="宋体" w:cs="宋体"/>
          <w:b/>
          <w:bCs/>
          <w:sz w:val="30"/>
          <w:szCs w:val="30"/>
        </w:rPr>
        <w:fldChar w:fldCharType="separate"/>
      </w:r>
      <w:r>
        <w:rPr>
          <w:rFonts w:hint="eastAsia" w:ascii="宋体" w:hAnsi="宋体" w:cs="宋体"/>
          <w:b/>
          <w:bCs/>
          <w:sz w:val="30"/>
          <w:szCs w:val="30"/>
          <w:lang w:val="en-US"/>
        </w:rPr>
        <w:t>    </w:t>
      </w:r>
      <w:r>
        <w:rPr>
          <w:rFonts w:hint="eastAsia" w:ascii="宋体" w:hAnsi="宋体" w:cs="宋体"/>
          <w:b/>
          <w:bCs/>
          <w:sz w:val="30"/>
          <w:szCs w:val="30"/>
        </w:rPr>
        <w:fldChar w:fldCharType="end"/>
      </w:r>
      <w:r>
        <w:rPr>
          <w:rFonts w:hint="eastAsia" w:ascii="宋体" w:hAnsi="宋体" w:cs="宋体"/>
          <w:b/>
          <w:bCs/>
          <w:kern w:val="0"/>
          <w:sz w:val="30"/>
          <w:szCs w:val="30"/>
        </w:rPr>
        <w:t>月</w:t>
      </w:r>
      <w:r>
        <w:rPr>
          <w:rFonts w:hint="eastAsia" w:ascii="宋体" w:hAnsi="宋体" w:cs="宋体"/>
          <w:b/>
          <w:kern w:val="0"/>
          <w:sz w:val="30"/>
          <w:szCs w:val="30"/>
        </w:rPr>
        <w:t xml:space="preserve">   </w:t>
      </w: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ind w:firstLine="1343" w:firstLineChars="446"/>
        <w:rPr>
          <w:rFonts w:ascii="宋体" w:hAnsi="宋体" w:cs="宋体"/>
          <w:b/>
          <w:kern w:val="0"/>
          <w:sz w:val="30"/>
          <w:szCs w:val="30"/>
        </w:rPr>
      </w:pPr>
    </w:p>
    <w:p>
      <w:pPr>
        <w:autoSpaceDE w:val="0"/>
        <w:autoSpaceDN w:val="0"/>
        <w:adjustRightInd w:val="0"/>
        <w:spacing w:line="440" w:lineRule="exact"/>
        <w:rPr>
          <w:rFonts w:ascii="宋体" w:hAnsi="宋体" w:cs="宋体"/>
          <w:b/>
          <w:kern w:val="0"/>
          <w:sz w:val="30"/>
          <w:szCs w:val="30"/>
        </w:rPr>
      </w:pPr>
      <w:r>
        <w:rPr>
          <w:rFonts w:ascii="宋体" w:hAnsi="宋体" w:cs="宋体"/>
          <w:b/>
          <w:kern w:val="0"/>
          <w:sz w:val="30"/>
          <w:szCs w:val="30"/>
        </w:rPr>
        <w:br w:type="page"/>
      </w:r>
    </w:p>
    <w:p>
      <w:pPr>
        <w:pStyle w:val="2"/>
        <w:tabs>
          <w:tab w:val="left" w:pos="0"/>
          <w:tab w:val="left" w:pos="993"/>
          <w:tab w:val="left" w:pos="4111"/>
          <w:tab w:val="left" w:pos="4253"/>
          <w:tab w:val="left" w:pos="4395"/>
          <w:tab w:val="clear" w:pos="1431"/>
          <w:tab w:val="clear" w:pos="4266"/>
        </w:tabs>
        <w:spacing w:before="156" w:beforeLines="50" w:after="156" w:afterLines="50" w:line="440" w:lineRule="exact"/>
        <w:ind w:left="0" w:firstLine="0"/>
        <w:rPr>
          <w:sz w:val="24"/>
          <w:szCs w:val="24"/>
        </w:rPr>
      </w:pPr>
      <w:bookmarkStart w:id="0" w:name="_Toc393827599"/>
      <w:r>
        <w:rPr>
          <w:rFonts w:hint="eastAsia"/>
          <w:sz w:val="24"/>
          <w:szCs w:val="24"/>
        </w:rPr>
        <w:t>约因</w:t>
      </w:r>
      <w:bookmarkEnd w:id="0"/>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cs="宋体"/>
          <w:kern w:val="0"/>
          <w:sz w:val="24"/>
          <w:szCs w:val="24"/>
        </w:rPr>
        <w:t>鉴于：</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厦门国际银行股份有限公司获中国银行保险业监督管理委员会（以下简称中国银保监会）批准，在中国境内开展个人理财业务的法定金融机构，享有充分的授权和法定权利签署本协议；托管人为合法成立并有效存续的商业银行,享有充分的授权和法定权利开展托管业务。</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为保障</w:t>
      </w:r>
      <w:r>
        <w:rPr>
          <w:rFonts w:hint="eastAsia" w:ascii="宋体" w:hAnsi="宋体"/>
          <w:kern w:val="0"/>
          <w:sz w:val="24"/>
          <w:szCs w:val="24"/>
        </w:rPr>
        <w:t>厦门国际</w:t>
      </w:r>
      <w:r>
        <w:rPr>
          <w:rFonts w:hint="eastAsia" w:ascii="宋体" w:hAnsi="宋体" w:cs="宋体"/>
          <w:kern w:val="0"/>
          <w:sz w:val="24"/>
          <w:szCs w:val="24"/>
        </w:rPr>
        <w:t>银行股份有限公司</w:t>
      </w:r>
      <w:permStart w:id="0" w:edGrp="everyone"/>
      <w:r>
        <w:rPr>
          <w:rFonts w:hint="eastAsia" w:ascii="宋体" w:hAnsi="宋体" w:cs="宋体"/>
          <w:kern w:val="0"/>
          <w:sz w:val="24"/>
          <w:szCs w:val="24"/>
          <w:u w:val="single"/>
        </w:rPr>
        <w:t>赢展（封闭）系列净值型理财产品</w:t>
      </w:r>
      <w:permEnd w:id="0"/>
      <w:r>
        <w:rPr>
          <w:rFonts w:hint="eastAsia" w:ascii="宋体" w:hAnsi="宋体" w:cs="宋体"/>
          <w:kern w:val="0"/>
          <w:sz w:val="24"/>
          <w:szCs w:val="24"/>
        </w:rPr>
        <w:t>客户理财资产的独立、安全、稳健运行，保障理财产品投资者的合法权益，明确理财管理人和托管人双方的权利义务关系，依照《中华人民共和国合同法》及其他相关法律、行政法规，管理人和托管人在</w:t>
      </w:r>
      <w:r>
        <w:rPr>
          <w:rFonts w:ascii="宋体" w:hAnsi="宋体" w:cs="宋体"/>
          <w:kern w:val="0"/>
          <w:sz w:val="24"/>
          <w:szCs w:val="24"/>
        </w:rPr>
        <w:t>诚实履约、勤勉尽责、平等自愿、有偿服务</w:t>
      </w:r>
      <w:r>
        <w:rPr>
          <w:rFonts w:hint="eastAsia" w:ascii="宋体" w:hAnsi="宋体" w:cs="宋体"/>
          <w:kern w:val="0"/>
          <w:sz w:val="24"/>
          <w:szCs w:val="24"/>
        </w:rPr>
        <w:t>的基础上特订立本协议。本协议是约定管理人和托管人之间基本权利义务的法律文件，当事人按照本协议享有权利和承担义务。</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本协议适用于管理人委托托管人托管的</w:t>
      </w:r>
      <w:permStart w:id="1" w:edGrp="everyone"/>
      <w:r>
        <w:rPr>
          <w:rFonts w:hint="eastAsia" w:ascii="宋体" w:hAnsi="宋体" w:cs="宋体"/>
          <w:kern w:val="0"/>
          <w:sz w:val="24"/>
          <w:szCs w:val="24"/>
          <w:u w:val="single"/>
        </w:rPr>
        <w:t>赢展（封闭）系列净值型系列理财产品</w:t>
      </w:r>
      <w:permEnd w:id="1"/>
      <w:r>
        <w:rPr>
          <w:rFonts w:hint="eastAsia" w:ascii="宋体" w:hAnsi="宋体" w:cs="宋体"/>
          <w:kern w:val="0"/>
          <w:sz w:val="24"/>
          <w:szCs w:val="24"/>
        </w:rPr>
        <w:t>（以下简称“理财产品”）项下理财资金的托管，对于该系列理财产品项下的每只理财产品的理财资金托管，双方不再另行签署托管协议。</w:t>
      </w:r>
    </w:p>
    <w:p>
      <w:pPr>
        <w:pStyle w:val="2"/>
        <w:tabs>
          <w:tab w:val="left" w:pos="0"/>
          <w:tab w:val="left" w:pos="993"/>
          <w:tab w:val="left" w:pos="4111"/>
          <w:tab w:val="left" w:pos="4253"/>
          <w:tab w:val="left" w:pos="4395"/>
          <w:tab w:val="clear" w:pos="1431"/>
          <w:tab w:val="clear" w:pos="4266"/>
        </w:tabs>
        <w:spacing w:before="156" w:beforeLines="50" w:after="156" w:afterLines="50" w:line="440" w:lineRule="exact"/>
        <w:ind w:left="0" w:firstLine="0"/>
        <w:rPr>
          <w:sz w:val="24"/>
          <w:szCs w:val="24"/>
        </w:rPr>
      </w:pPr>
      <w:bookmarkStart w:id="1" w:name="_Toc393827600"/>
      <w:r>
        <w:rPr>
          <w:rFonts w:hint="eastAsia"/>
          <w:sz w:val="24"/>
          <w:szCs w:val="24"/>
        </w:rPr>
        <w:t>协议当事人</w:t>
      </w:r>
      <w:bookmarkEnd w:id="1"/>
    </w:p>
    <w:p>
      <w:pPr>
        <w:numPr>
          <w:ilvl w:val="0"/>
          <w:numId w:val="2"/>
        </w:numPr>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管理人</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名称：厦门国际银行股份有限公司厦门分行</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法定住址：厦门市思明区湖滨北路10号新港广场1A、1B、2A、2B单元</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负责人：郭子润</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邮编：361012</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联系人：陈曦</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电话：0592-5062188</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传真：0592-5072188</w:t>
      </w:r>
    </w:p>
    <w:p>
      <w:pPr>
        <w:numPr>
          <w:ilvl w:val="0"/>
          <w:numId w:val="2"/>
        </w:numPr>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 xml:space="preserve">托管人 </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名称：</w:t>
      </w:r>
      <w:r>
        <w:rPr>
          <w:rFonts w:hint="eastAsia" w:ascii="宋体" w:hAnsi="宋体" w:cs="Times New Roman"/>
          <w:b w:val="0"/>
          <w:kern w:val="0"/>
          <w:sz w:val="24"/>
          <w:szCs w:val="24"/>
        </w:rPr>
        <w:t>中国民生银行股份有限公司</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法定住址：北京市西城区复兴门内大街2号</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办公地址：北京市西城区复兴门内大街2号</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负责人：</w:t>
      </w:r>
      <w:r>
        <w:rPr>
          <w:rFonts w:hint="eastAsia"/>
          <w:kern w:val="0"/>
          <w:sz w:val="24"/>
          <w:szCs w:val="24"/>
        </w:rPr>
        <w:t>洪崎</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邮编：100000</w:t>
      </w:r>
      <w:r>
        <w:rPr>
          <w:rFonts w:ascii="宋体" w:hAnsi="宋体"/>
          <w:kern w:val="0"/>
          <w:sz w:val="24"/>
          <w:szCs w:val="24"/>
        </w:rPr>
        <w:t xml:space="preserve"> </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联系人：胡邦智</w:t>
      </w:r>
    </w:p>
    <w:p>
      <w:pPr>
        <w:autoSpaceDE w:val="0"/>
        <w:autoSpaceDN w:val="0"/>
        <w:adjustRightInd w:val="0"/>
        <w:spacing w:line="440" w:lineRule="exact"/>
        <w:ind w:firstLine="424" w:firstLineChars="177"/>
        <w:rPr>
          <w:rFonts w:ascii="宋体" w:hAnsi="宋体"/>
          <w:kern w:val="0"/>
          <w:sz w:val="24"/>
          <w:szCs w:val="24"/>
        </w:rPr>
      </w:pPr>
      <w:r>
        <w:rPr>
          <w:rFonts w:hint="eastAsia" w:ascii="宋体" w:hAnsi="宋体"/>
          <w:kern w:val="0"/>
          <w:sz w:val="24"/>
          <w:szCs w:val="24"/>
        </w:rPr>
        <w:t>电话：</w:t>
      </w:r>
      <w:r>
        <w:rPr>
          <w:rFonts w:ascii="宋体" w:hAnsi="宋体"/>
          <w:kern w:val="0"/>
          <w:sz w:val="24"/>
          <w:szCs w:val="24"/>
        </w:rPr>
        <w:t xml:space="preserve"> </w:t>
      </w:r>
      <w:r>
        <w:rPr>
          <w:rFonts w:hint="eastAsia" w:ascii="宋体" w:hAnsi="宋体"/>
          <w:kern w:val="0"/>
          <w:sz w:val="24"/>
          <w:szCs w:val="24"/>
        </w:rPr>
        <w:t>010-58560794</w:t>
      </w:r>
    </w:p>
    <w:p>
      <w:pPr>
        <w:pStyle w:val="2"/>
        <w:tabs>
          <w:tab w:val="left" w:pos="0"/>
          <w:tab w:val="left" w:pos="993"/>
          <w:tab w:val="clear" w:pos="4266"/>
        </w:tabs>
        <w:spacing w:before="156" w:beforeLines="50" w:after="156" w:afterLines="50" w:line="440" w:lineRule="exact"/>
        <w:ind w:left="0" w:firstLine="0"/>
        <w:rPr>
          <w:sz w:val="24"/>
          <w:szCs w:val="24"/>
        </w:rPr>
      </w:pPr>
      <w:bookmarkStart w:id="2" w:name="_Toc393827601"/>
      <w:r>
        <w:rPr>
          <w:rFonts w:hint="eastAsia"/>
          <w:sz w:val="24"/>
          <w:szCs w:val="24"/>
        </w:rPr>
        <w:t>定义与解释</w:t>
      </w:r>
      <w:bookmarkEnd w:id="2"/>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在理财产品中，除非上下文另有解释或文义另有所指，下列词语具有如下含义：</w:t>
      </w:r>
    </w:p>
    <w:p>
      <w:pPr>
        <w:numPr>
          <w:ilvl w:val="0"/>
          <w:numId w:val="3"/>
        </w:numPr>
        <w:tabs>
          <w:tab w:val="left" w:pos="0"/>
        </w:tabs>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本协议：指本托管协议，以及本协议的任何修订和补充。</w:t>
      </w:r>
    </w:p>
    <w:p>
      <w:pPr>
        <w:numPr>
          <w:ilvl w:val="0"/>
          <w:numId w:val="3"/>
        </w:numPr>
        <w:tabs>
          <w:tab w:val="left" w:pos="0"/>
        </w:tabs>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理财产品说明书：指管理人与投资者签署的《</w:t>
      </w:r>
      <w:permStart w:id="2" w:edGrp="everyone"/>
      <w:r>
        <w:rPr>
          <w:rFonts w:hint="eastAsia" w:ascii="宋体" w:hAnsi="宋体" w:cs="Arial"/>
          <w:kern w:val="0"/>
          <w:sz w:val="24"/>
          <w:szCs w:val="24"/>
          <w:u w:val="single"/>
        </w:rPr>
        <w:t>厦门国际银行股份有限公司</w:t>
      </w:r>
      <w:r>
        <w:rPr>
          <w:rFonts w:hint="eastAsia" w:ascii="宋体" w:hAnsi="宋体" w:cs="宋体"/>
          <w:kern w:val="0"/>
          <w:sz w:val="24"/>
          <w:szCs w:val="24"/>
          <w:u w:val="single"/>
        </w:rPr>
        <w:t>赢展（封闭）系列净值型</w:t>
      </w:r>
      <w:permEnd w:id="2"/>
      <w:r>
        <w:rPr>
          <w:rFonts w:hint="eastAsia" w:ascii="宋体" w:hAnsi="宋体" w:cs="Arial"/>
          <w:kern w:val="0"/>
          <w:sz w:val="24"/>
          <w:szCs w:val="24"/>
        </w:rPr>
        <w:t>理财产品说明书》（以下简称“理财产品说明书”）及对该说明书的任何有效修订和补充。</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理财产品协议书：指管理人与投资者签署的《</w:t>
      </w:r>
      <w:permStart w:id="3" w:edGrp="everyone"/>
      <w:r>
        <w:rPr>
          <w:rFonts w:hint="eastAsia" w:ascii="宋体" w:hAnsi="宋体" w:cs="Arial"/>
          <w:kern w:val="0"/>
          <w:sz w:val="24"/>
          <w:szCs w:val="24"/>
          <w:u w:val="single"/>
        </w:rPr>
        <w:t>厦门国际银行股份有限公司</w:t>
      </w:r>
      <w:r>
        <w:rPr>
          <w:rFonts w:hint="eastAsia" w:ascii="宋体" w:hAnsi="宋体" w:cs="宋体"/>
          <w:kern w:val="0"/>
          <w:sz w:val="24"/>
          <w:szCs w:val="24"/>
          <w:u w:val="single"/>
        </w:rPr>
        <w:t>赢展（封闭）系列净值型</w:t>
      </w:r>
      <w:permEnd w:id="3"/>
      <w:r>
        <w:rPr>
          <w:rFonts w:hint="eastAsia" w:ascii="宋体" w:hAnsi="宋体" w:cs="Arial"/>
          <w:kern w:val="0"/>
          <w:sz w:val="24"/>
          <w:szCs w:val="24"/>
        </w:rPr>
        <w:t>理财产品协议书</w:t>
      </w:r>
      <w:r>
        <w:rPr>
          <w:rFonts w:hint="eastAsia" w:ascii="宋体" w:hAnsi="宋体" w:cs="宋体"/>
          <w:kern w:val="0"/>
          <w:sz w:val="24"/>
          <w:szCs w:val="24"/>
        </w:rPr>
        <w:t>》（以下称</w:t>
      </w:r>
      <w:r>
        <w:rPr>
          <w:rFonts w:hint="eastAsia" w:ascii="宋体" w:hAnsi="宋体" w:cs="Arial"/>
          <w:kern w:val="0"/>
          <w:sz w:val="24"/>
          <w:szCs w:val="24"/>
        </w:rPr>
        <w:t>“理财产品协议书”</w:t>
      </w:r>
      <w:r>
        <w:rPr>
          <w:rFonts w:hint="eastAsia" w:ascii="宋体" w:hAnsi="宋体" w:cs="宋体"/>
          <w:kern w:val="0"/>
          <w:sz w:val="24"/>
          <w:szCs w:val="24"/>
        </w:rPr>
        <w:t>）及对该协议的任何有效修订和补充。</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理财产品协议：指“理财产品协议书”、“理财产品说明书”、投资者签署确认的“理财产品客户权益须知”和“理财产品风险揭示书”的统称。</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托管账户：指管理人以理财产品名义在托管人处开立的理财资产专户，用于理财产品项下理财资产的资金结算业务。</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托管账户销户日：指根据本协议约定，托管人依据管理人划款指令，将托管账户内资金余额清零且办理完毕销户手续之日。</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托管资产：指托管账户中的现金资产。</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划款指令：管理人向托管人发出的由托管账户向外划付资金、从托管账户支付理财资产投资运作款项、收益分配款项及应承担的各种税费、托管费、管理人管理费等的书面文件。</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交易依据：指划款指令中所要求提供划款所依据的附件，包括但不限于：在管理人</w:t>
      </w:r>
      <w:r>
        <w:rPr>
          <w:rFonts w:hint="eastAsia" w:ascii="宋体" w:hAnsi="宋体" w:cs="Arial"/>
          <w:kern w:val="0"/>
          <w:sz w:val="24"/>
          <w:szCs w:val="24"/>
        </w:rPr>
        <w:t>依据</w:t>
      </w:r>
      <w:r>
        <w:rPr>
          <w:rFonts w:hint="eastAsia" w:ascii="宋体" w:hAnsi="宋体" w:cs="宋体"/>
          <w:kern w:val="0"/>
          <w:sz w:val="24"/>
          <w:szCs w:val="24"/>
        </w:rPr>
        <w:t>理财产品相关文件的约定管理运用理财资金时，管理人与相关交易对手签署的合同、协议及相关凭证、材料和文件等。</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理财资金：指理财产品项下的货币资金，即以资金形态存在的理财资产。</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理财资产：指理财产品项下全体投资者交付的理财资金及在理财期限内管理人对理财</w:t>
      </w:r>
      <w:r>
        <w:rPr>
          <w:rFonts w:hint="eastAsia" w:ascii="宋体" w:hAnsi="宋体" w:cs="Arial"/>
          <w:kern w:val="0"/>
          <w:sz w:val="24"/>
          <w:szCs w:val="24"/>
        </w:rPr>
        <w:t>产品</w:t>
      </w:r>
      <w:r>
        <w:rPr>
          <w:rFonts w:hint="eastAsia" w:ascii="宋体" w:hAnsi="宋体" w:cs="宋体"/>
          <w:kern w:val="0"/>
          <w:sz w:val="24"/>
          <w:szCs w:val="24"/>
        </w:rPr>
        <w:t>项下理财资金进行管理运用、处分或者其他情形而取得的财产，其构成主要包括：投资本金、理财收益和其他应计入理财资产的财产。</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理财费用：指理财产品项下的</w:t>
      </w:r>
      <w:r>
        <w:rPr>
          <w:rFonts w:hint="eastAsia" w:ascii="宋体" w:hAnsi="宋体"/>
          <w:sz w:val="24"/>
          <w:szCs w:val="24"/>
        </w:rPr>
        <w:t>管理费、托管费和托管账户资金汇划的费用等款项。</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投资者：指理财产品的投资者，即理财产品协议书中的投资者。</w:t>
      </w:r>
    </w:p>
    <w:p>
      <w:pPr>
        <w:numPr>
          <w:ilvl w:val="0"/>
          <w:numId w:val="3"/>
        </w:numPr>
        <w:tabs>
          <w:tab w:val="left" w:pos="0"/>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元：指人民币元。</w:t>
      </w:r>
    </w:p>
    <w:p>
      <w:pPr>
        <w:pStyle w:val="2"/>
        <w:tabs>
          <w:tab w:val="left" w:pos="0"/>
          <w:tab w:val="left" w:pos="993"/>
          <w:tab w:val="clear" w:pos="4266"/>
        </w:tabs>
        <w:spacing w:before="156" w:beforeLines="50" w:after="156" w:afterLines="50" w:line="440" w:lineRule="exact"/>
        <w:ind w:left="0" w:firstLine="0"/>
        <w:rPr>
          <w:sz w:val="24"/>
          <w:szCs w:val="24"/>
        </w:rPr>
      </w:pPr>
      <w:bookmarkStart w:id="3" w:name="_Toc393827602"/>
      <w:r>
        <w:rPr>
          <w:rFonts w:hint="eastAsia"/>
          <w:sz w:val="24"/>
          <w:szCs w:val="24"/>
        </w:rPr>
        <w:t>托管人与管理人的权利和义务</w:t>
      </w:r>
      <w:bookmarkEnd w:id="3"/>
    </w:p>
    <w:p>
      <w:pPr>
        <w:numPr>
          <w:ilvl w:val="0"/>
          <w:numId w:val="4"/>
        </w:numPr>
        <w:tabs>
          <w:tab w:val="left" w:pos="993"/>
        </w:tabs>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管理人的权利和义务</w:t>
      </w:r>
    </w:p>
    <w:p>
      <w:pPr>
        <w:numPr>
          <w:ilvl w:val="0"/>
          <w:numId w:val="5"/>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管理人的权利：</w:t>
      </w:r>
    </w:p>
    <w:p>
      <w:pPr>
        <w:numPr>
          <w:ilvl w:val="0"/>
          <w:numId w:val="6"/>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自理财产品协议生效之日起，依照诚实信用、勤勉尽责的原则，谨慎、有效管理和运用理财资产；</w:t>
      </w:r>
    </w:p>
    <w:p>
      <w:pPr>
        <w:numPr>
          <w:ilvl w:val="0"/>
          <w:numId w:val="6"/>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根据本协议的有关规定向托管人发出理财资金划款指令；</w:t>
      </w:r>
    </w:p>
    <w:p>
      <w:pPr>
        <w:numPr>
          <w:ilvl w:val="0"/>
          <w:numId w:val="6"/>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监督托管人妥善保管存放于理财托管账户的全部资产；</w:t>
      </w:r>
    </w:p>
    <w:p>
      <w:pPr>
        <w:numPr>
          <w:ilvl w:val="0"/>
          <w:numId w:val="6"/>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对托管人的作为或者不作为违反了有关法律法规的规定和理财产品协议、本协议的约定，管理人有权利行使法律法规、理财产品协议或者本协议赋予管理人的权利和救济措施，以保护理财资产的安全和受益人的权益；</w:t>
      </w:r>
    </w:p>
    <w:p>
      <w:pPr>
        <w:numPr>
          <w:ilvl w:val="0"/>
          <w:numId w:val="6"/>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法律法规、理财产品协议以及依据理财产品协议制定的其他法律文件所规定的其他权利。</w:t>
      </w:r>
    </w:p>
    <w:p>
      <w:pPr>
        <w:numPr>
          <w:ilvl w:val="0"/>
          <w:numId w:val="5"/>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管理人的义务：</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遵守理财产品协议及本协议的相关规定；</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自理财产品协议生效之日起，以诚实信用、勤勉尽责的原则管理和运用理财资产；</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依法接受托管人的监督；</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严格按照《商业银行理财业务监督管理办法》、理财产品协议及其他有关规定，履行了相关的程序，保证产品及各类投资交易的合法合规性；</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托管人违反本协议造成理财产品损失时，管理人应代表投资者利益向托管人追偿；</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面临解散、依法被撤销、破产或者由接管人接管其理财资产时，及时报告中国银行业监管部门并通知托管人；</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依据本协议的规定以理财资产向托管人支付托管费及双方约定的其他费用；</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保证提供给托管人的一切文件资料均为真实、完整、准确、合法、有效，没有任何重大遗漏或误导；</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每只理财产品清算完毕后，管理人有义务协助托管人办理该只理财产品托管账户的销户事宜；</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管理人应完整保管各自的记录理财业务活动的原始凭证、记账凭证、理财产品协议等，保存期限为自理财产品终止之日起十五年内；</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管理人应根据合同约定的估值方法对理财产品进行估值，并与托管人定期核对估值结果；</w:t>
      </w:r>
    </w:p>
    <w:p>
      <w:pPr>
        <w:numPr>
          <w:ilvl w:val="0"/>
          <w:numId w:val="7"/>
        </w:numPr>
        <w:tabs>
          <w:tab w:val="left" w:pos="1134"/>
        </w:tabs>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管理人保证理财资金来源的合法合规性，并履行（或承担）投资者身份识别、投资者身份以及交易记录保存等法定反洗钱义务。</w:t>
      </w:r>
    </w:p>
    <w:p>
      <w:pPr>
        <w:numPr>
          <w:ilvl w:val="0"/>
          <w:numId w:val="7"/>
        </w:numPr>
        <w:autoSpaceDE w:val="0"/>
        <w:autoSpaceDN w:val="0"/>
        <w:adjustRightInd w:val="0"/>
        <w:spacing w:line="440" w:lineRule="exact"/>
        <w:ind w:left="0" w:firstLine="480" w:firstLineChars="200"/>
        <w:rPr>
          <w:rFonts w:ascii="宋体" w:hAnsi="宋体" w:cs="宋体"/>
          <w:kern w:val="0"/>
          <w:sz w:val="24"/>
          <w:szCs w:val="24"/>
        </w:rPr>
      </w:pPr>
      <w:r>
        <w:rPr>
          <w:rFonts w:hint="eastAsia" w:ascii="宋体" w:hAnsi="宋体" w:cs="宋体"/>
          <w:kern w:val="0"/>
          <w:sz w:val="24"/>
          <w:szCs w:val="24"/>
        </w:rPr>
        <w:t>法律法规及理财产品协议规定的其他义务。</w:t>
      </w:r>
    </w:p>
    <w:p>
      <w:pPr>
        <w:numPr>
          <w:ilvl w:val="0"/>
          <w:numId w:val="4"/>
        </w:numPr>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托管人的权利和义务</w:t>
      </w:r>
    </w:p>
    <w:p>
      <w:pPr>
        <w:numPr>
          <w:ilvl w:val="0"/>
          <w:numId w:val="8"/>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托管人的权利</w:t>
      </w:r>
    </w:p>
    <w:p>
      <w:pPr>
        <w:numPr>
          <w:ilvl w:val="0"/>
          <w:numId w:val="9"/>
        </w:numPr>
        <w:tabs>
          <w:tab w:val="left" w:pos="993"/>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依法保管管理人委托托管的托管资产；</w:t>
      </w:r>
    </w:p>
    <w:p>
      <w:pPr>
        <w:numPr>
          <w:ilvl w:val="0"/>
          <w:numId w:val="9"/>
        </w:numPr>
        <w:tabs>
          <w:tab w:val="left" w:pos="993"/>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依照本协议及相关协议的约定收取托管费及双方约定的其他费用；</w:t>
      </w:r>
    </w:p>
    <w:p>
      <w:pPr>
        <w:numPr>
          <w:ilvl w:val="0"/>
          <w:numId w:val="9"/>
        </w:numPr>
        <w:tabs>
          <w:tab w:val="left" w:pos="993"/>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依照法律法规、本协议及相关协议的约定监督管理人的投资运作。如认为管理人确实违反了法律法规、本协议“附件1-1 投资运作监督事项表”及相关协议的规定，对理财资产、理财产品相关当事人的利益造成重大损失的，有权呈报中国银保监会，以及采取其他必要措施以保护理财资产及理财产品相关当事人的利益；</w:t>
      </w:r>
    </w:p>
    <w:p>
      <w:pPr>
        <w:numPr>
          <w:ilvl w:val="0"/>
          <w:numId w:val="9"/>
        </w:numPr>
        <w:tabs>
          <w:tab w:val="left" w:pos="993"/>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法律法规以及依据本协议制定的其他法律文件所规定的其他权利。</w:t>
      </w:r>
    </w:p>
    <w:p>
      <w:pPr>
        <w:numPr>
          <w:ilvl w:val="0"/>
          <w:numId w:val="8"/>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托管人的义务</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在托管人与管理人就理财产品达成委托托管关系的前提下，自托管人收到管理人交付的理财产品首笔托管资产之日起，以诚实信用、勤勉尽责的原则保管理财产品托管资产；</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保证提供给管理人的一切文件资料均为真实、完整、准确、合法、有效，没有任何重大遗漏或误导，并保证其有权按照本协议约定履行义务或承担责任，不存在与履行本协议相冲突的情形；</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设立专门的托管部，具有符合要求的营业场所，配备足够的、合格的熟悉托管业务的专职人员，负责理财产品托管事宜；</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建立健全内部风险控制、监察与稽核、财务管理及人事管理等制度，确保托管资产的财产安全，保证其托管的托管资产与托管人自有资产以及其他托管资产相互独立；</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除依据理财产品协议、本协议及其他有关规定外，不得基于托管的理财产品为自己及任何第三人谋取利益；</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保管与理财资产有关的重大合同及有关凭证，但该保管义务以管理人移交的资料为限；</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按管理人要求开设理财产品银行托管账户，托管人根据管理人要求的形式开立理财产品托管账户，由此产生的责任由管理人承担；</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保守商业秘密，除理财产品协议及其他有关法律另有规定或监管机构另有要求外，在理财产品信息向投资者披露前应予保密，不得向他人泄露；</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highlight w:val="none"/>
        </w:rPr>
      </w:pPr>
      <w:r>
        <w:rPr>
          <w:rFonts w:hint="eastAsia" w:ascii="宋体" w:hAnsi="宋体" w:cs="宋体"/>
          <w:kern w:val="0"/>
          <w:sz w:val="24"/>
          <w:szCs w:val="24"/>
          <w:highlight w:val="none"/>
        </w:rPr>
        <w:t>托管人应按照本协议的约定，对管理人发送的划款指令进行验证，验证的范围包括划款指令的内容、发送人员及划款指令上加盖的预留印鉴等是否符合本协议的约定；</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按照本协议的约定，根据管理人的划款指令，及时办理划款、清算、交割等事宜；</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按本协议规定出具理财产品托管情况的报告；</w:t>
      </w:r>
    </w:p>
    <w:p>
      <w:pPr>
        <w:numPr>
          <w:ilvl w:val="0"/>
          <w:numId w:val="10"/>
        </w:numPr>
        <w:tabs>
          <w:tab w:val="left" w:pos="1134"/>
        </w:tabs>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按法律法规、本协议的规定监督管理人的投资运作；</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托管人应按规定制作相关账册，完整保管记录理财业务活动的原始凭证、记账凭证、理财产品协议等，保存期限为自理财产品终止之日起十五年；</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依据管理人的指令或有关规定进行银行托管账户的资金划转；</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因违反国家法律法规或本协议约定导致理财资产损失，应承担相应的赔偿责任，其赔偿责任不因其退任而免除；</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面临解散、依法被撤销、破产或者由接管人接管其资产时，及时报告中国银行业监督管理部门，并通知管理人；</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不从事任何有损理财资产及理财产品相关当事人利益的活动；</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托管人应根据合同约定的估值方法对理财产品进行估值和核算，并与管理人定期核对估值结果；</w:t>
      </w:r>
    </w:p>
    <w:p>
      <w:pPr>
        <w:numPr>
          <w:ilvl w:val="0"/>
          <w:numId w:val="1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法律法规及本协议规定的其他义务。</w:t>
      </w:r>
    </w:p>
    <w:p>
      <w:pPr>
        <w:pStyle w:val="2"/>
        <w:tabs>
          <w:tab w:val="left" w:pos="0"/>
          <w:tab w:val="left" w:pos="993"/>
          <w:tab w:val="clear" w:pos="4266"/>
        </w:tabs>
        <w:spacing w:before="156" w:beforeLines="50" w:after="156" w:afterLines="50" w:line="440" w:lineRule="exact"/>
        <w:ind w:left="0" w:firstLine="0"/>
        <w:rPr>
          <w:sz w:val="24"/>
          <w:szCs w:val="24"/>
        </w:rPr>
      </w:pPr>
      <w:bookmarkStart w:id="4" w:name="_Toc393827603"/>
      <w:r>
        <w:rPr>
          <w:rFonts w:hint="eastAsia"/>
          <w:sz w:val="24"/>
          <w:szCs w:val="24"/>
        </w:rPr>
        <w:t>理财资产托管</w:t>
      </w:r>
      <w:bookmarkEnd w:id="4"/>
    </w:p>
    <w:p>
      <w:pPr>
        <w:numPr>
          <w:ilvl w:val="0"/>
          <w:numId w:val="11"/>
        </w:numPr>
        <w:tabs>
          <w:tab w:val="left" w:pos="993"/>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Arial"/>
          <w:b/>
          <w:kern w:val="0"/>
          <w:sz w:val="24"/>
          <w:szCs w:val="24"/>
        </w:rPr>
        <w:t>托管确认</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每只理财产品发行当日,管理人应</w:t>
      </w:r>
      <w:r>
        <w:rPr>
          <w:rFonts w:hint="eastAsia" w:ascii="宋体" w:hAnsi="宋体"/>
          <w:color w:val="000000"/>
          <w:sz w:val="24"/>
          <w:szCs w:val="24"/>
        </w:rPr>
        <w:t>向托管人提交</w:t>
      </w:r>
      <w:r>
        <w:rPr>
          <w:rFonts w:hint="eastAsia" w:ascii="宋体" w:hAnsi="宋体" w:cs="Arial"/>
          <w:kern w:val="0"/>
          <w:sz w:val="24"/>
          <w:szCs w:val="24"/>
        </w:rPr>
        <w:t>理财产品说明书及托管人要求的其他资料（</w:t>
      </w:r>
      <w:r>
        <w:rPr>
          <w:rFonts w:hint="eastAsia" w:ascii="宋体" w:hAnsi="宋体"/>
          <w:kern w:val="0"/>
          <w:sz w:val="24"/>
          <w:szCs w:val="24"/>
        </w:rPr>
        <w:t>包括</w:t>
      </w:r>
      <w:r>
        <w:rPr>
          <w:rFonts w:hint="eastAsia" w:ascii="宋体" w:hAnsi="宋体" w:cs="Arial"/>
          <w:kern w:val="0"/>
          <w:sz w:val="24"/>
          <w:szCs w:val="24"/>
        </w:rPr>
        <w:t>但不限于理财产品协议以及双方另行约定的其他文件资料）的样本或复印件，加盖管理人公章或经授权的业务专用章后，</w:t>
      </w:r>
      <w:permStart w:id="4" w:edGrp="everyone"/>
      <w:r>
        <w:rPr>
          <w:rFonts w:hint="eastAsia" w:ascii="宋体" w:hAnsi="宋体" w:cs="Arial"/>
          <w:kern w:val="0"/>
          <w:sz w:val="24"/>
          <w:szCs w:val="24"/>
          <w:u w:val="single"/>
        </w:rPr>
        <w:t>邮件</w:t>
      </w:r>
      <w:permEnd w:id="4"/>
      <w:r>
        <w:rPr>
          <w:rFonts w:hint="eastAsia" w:ascii="宋体" w:hAnsi="宋体" w:cs="Arial"/>
          <w:kern w:val="0"/>
          <w:sz w:val="24"/>
          <w:szCs w:val="24"/>
          <w:u w:val="single"/>
        </w:rPr>
        <w:t>（</w:t>
      </w:r>
      <w:r>
        <w:rPr>
          <w:rFonts w:hint="eastAsia" w:ascii="宋体" w:hAnsi="宋体" w:cs="Arial"/>
          <w:kern w:val="0"/>
          <w:sz w:val="24"/>
          <w:szCs w:val="24"/>
        </w:rPr>
        <w:t>传真/邮件）发送至托管人，由托管人确认是否受理托管，经托管人确认托管的，托管人向管理人出具托管确认书（格式见附件1-2）。</w:t>
      </w:r>
    </w:p>
    <w:p>
      <w:pPr>
        <w:numPr>
          <w:ilvl w:val="0"/>
          <w:numId w:val="11"/>
        </w:numPr>
        <w:tabs>
          <w:tab w:val="left" w:pos="993"/>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Arial"/>
          <w:b/>
          <w:kern w:val="0"/>
          <w:sz w:val="24"/>
          <w:szCs w:val="24"/>
        </w:rPr>
        <w:t>托管期限</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每只理财产品募集期届满，由管理人负责将该只理财产品募集的全部资金存入管理人在托管人指定营业机构开立的</w:t>
      </w:r>
      <w:r>
        <w:rPr>
          <w:rFonts w:hint="eastAsia" w:ascii="宋体" w:hAnsi="宋体"/>
          <w:kern w:val="0"/>
          <w:sz w:val="24"/>
          <w:szCs w:val="24"/>
        </w:rPr>
        <w:t>银行</w:t>
      </w:r>
      <w:r>
        <w:rPr>
          <w:rFonts w:hint="eastAsia" w:ascii="宋体" w:hAnsi="宋体" w:cs="Arial"/>
          <w:kern w:val="0"/>
          <w:sz w:val="24"/>
          <w:szCs w:val="24"/>
        </w:rPr>
        <w:t>托管账户。每只理财产品的初始托管资产金额以托管人实际收到的托管资产为准。</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每只理财产品资金到账之日视为理财产品起始运作，托管人按本协议约定履行托管职责。</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每只理财产品托管期限自理财产品资金到账之日（含该日）起，至托管人</w:t>
      </w:r>
      <w:r>
        <w:rPr>
          <w:rFonts w:hint="eastAsia" w:ascii="宋体" w:hAnsi="宋体" w:cs="宋体"/>
          <w:kern w:val="0"/>
          <w:sz w:val="24"/>
          <w:szCs w:val="24"/>
        </w:rPr>
        <w:t>按照管理人指令将理财资产全部划至管理人指定的理财产品收益分配账户之</w:t>
      </w:r>
      <w:r>
        <w:rPr>
          <w:rFonts w:hint="eastAsia" w:ascii="宋体" w:hAnsi="宋体" w:cs="Arial"/>
          <w:kern w:val="0"/>
          <w:sz w:val="24"/>
          <w:szCs w:val="24"/>
        </w:rPr>
        <w:t>日（不含该日）止。</w:t>
      </w:r>
    </w:p>
    <w:p>
      <w:pPr>
        <w:numPr>
          <w:ilvl w:val="0"/>
          <w:numId w:val="11"/>
        </w:numPr>
        <w:tabs>
          <w:tab w:val="left" w:pos="993"/>
        </w:tabs>
        <w:autoSpaceDE w:val="0"/>
        <w:autoSpaceDN w:val="0"/>
        <w:adjustRightInd w:val="0"/>
        <w:spacing w:line="440" w:lineRule="exact"/>
        <w:ind w:left="0" w:firstLine="424" w:firstLineChars="176"/>
        <w:rPr>
          <w:rFonts w:ascii="宋体" w:hAnsi="宋体"/>
          <w:b/>
          <w:kern w:val="0"/>
          <w:sz w:val="24"/>
          <w:szCs w:val="24"/>
        </w:rPr>
      </w:pPr>
      <w:r>
        <w:rPr>
          <w:rFonts w:hint="eastAsia" w:ascii="宋体" w:hAnsi="宋体" w:cs="宋体"/>
          <w:b/>
          <w:kern w:val="0"/>
          <w:sz w:val="24"/>
          <w:szCs w:val="24"/>
        </w:rPr>
        <w:t>理财资产及相关法律文件的托管原则</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宋体"/>
          <w:kern w:val="0"/>
          <w:sz w:val="24"/>
          <w:szCs w:val="24"/>
        </w:rPr>
        <w:t>托管人应安全、完整保管存放于托管账户的现金资产，及理财产品相关的法律文件。</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托管</w:t>
      </w:r>
      <w:r>
        <w:rPr>
          <w:rFonts w:hint="eastAsia" w:ascii="宋体" w:hAnsi="宋体"/>
          <w:kern w:val="0"/>
          <w:sz w:val="24"/>
          <w:szCs w:val="24"/>
        </w:rPr>
        <w:t>资产</w:t>
      </w:r>
      <w:r>
        <w:rPr>
          <w:rFonts w:hint="eastAsia" w:ascii="宋体" w:hAnsi="宋体" w:cs="Arial"/>
          <w:kern w:val="0"/>
          <w:sz w:val="24"/>
          <w:szCs w:val="24"/>
        </w:rPr>
        <w:t>应独立于管理人、托管人的自有资产。托管人必须为托管资产设立独立的账户，将托管资产与托管人自有资产及其他托管资产实行严格的分账管理。</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托管人不得自行运用、处分、分配托管资产。</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除依据法律法规规定和理财产品协议的约定外，托管人不得委托第三人托管本协议项下的理财资产。</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对于</w:t>
      </w:r>
      <w:r>
        <w:rPr>
          <w:rFonts w:hint="eastAsia" w:ascii="宋体" w:hAnsi="宋体"/>
          <w:kern w:val="0"/>
          <w:sz w:val="24"/>
          <w:szCs w:val="24"/>
        </w:rPr>
        <w:t>托管</w:t>
      </w:r>
      <w:r>
        <w:rPr>
          <w:rFonts w:hint="eastAsia" w:ascii="宋体" w:hAnsi="宋体" w:cs="Arial"/>
          <w:kern w:val="0"/>
          <w:sz w:val="24"/>
          <w:szCs w:val="24"/>
        </w:rPr>
        <w:t>资产管理运作产生的各类应收资产，由管理人负责与有关当事人确定到账日期并通知托管人。在确定的到账日托管资产没有到达托管账户处的，托管人应及时以双方约定的形式通知管理人，由管理人负责催收，托管人予以协助。</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非因托管人原因，当理财资产处于托管人以外机构实际有效控制之下时，托管人对该部分资产不承担安全托管职责，但在条件允许的情况下可以进行核查。</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属于托管人实际有效控制下的托管资产在托管人保管期间的损坏、灭失，由托管人承担全部直接损失。</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如果因为</w:t>
      </w:r>
      <w:r>
        <w:rPr>
          <w:rFonts w:hint="eastAsia" w:ascii="宋体" w:hAnsi="宋体"/>
          <w:kern w:val="0"/>
          <w:sz w:val="24"/>
          <w:szCs w:val="24"/>
        </w:rPr>
        <w:t>不可抗力</w:t>
      </w:r>
      <w:r>
        <w:rPr>
          <w:rFonts w:hint="eastAsia" w:ascii="宋体" w:hAnsi="宋体" w:cs="Arial"/>
          <w:kern w:val="0"/>
          <w:sz w:val="24"/>
          <w:szCs w:val="24"/>
        </w:rPr>
        <w:t>造成托管人托管范围内的托管资产发生损坏、灭失，托管人应立即向管理人通报。经双方共同协商，可根据情况部分或全部免除托管人责任；但如果是托管人违约后发生不可抗力事件的，不免除其责任。</w:t>
      </w:r>
    </w:p>
    <w:p>
      <w:pPr>
        <w:numPr>
          <w:ilvl w:val="3"/>
          <w:numId w:val="11"/>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托管人对理财资产的保管并非对理财资产本金或收益的保证或承诺，托管人不承担理财资产的投资风险。本协议的签订，并不表明托管人对理财产品的价值和收益做出实质性判断或保证，也不表明投资于理财产品没有风险。托管人对理财产品的合法合规性不承担任何责任。</w:t>
      </w:r>
    </w:p>
    <w:p>
      <w:pPr>
        <w:numPr>
          <w:ilvl w:val="0"/>
          <w:numId w:val="11"/>
        </w:numPr>
        <w:tabs>
          <w:tab w:val="left" w:pos="993"/>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托管账户的开立和管理</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托管人根据</w:t>
      </w:r>
      <w:r>
        <w:rPr>
          <w:rFonts w:hint="eastAsia" w:ascii="宋体" w:hAnsi="宋体"/>
          <w:kern w:val="0"/>
          <w:sz w:val="24"/>
          <w:szCs w:val="24"/>
        </w:rPr>
        <w:t>管理</w:t>
      </w:r>
      <w:r>
        <w:rPr>
          <w:rFonts w:hint="eastAsia" w:ascii="宋体" w:hAnsi="宋体" w:cs="Arial"/>
          <w:kern w:val="0"/>
          <w:sz w:val="24"/>
          <w:szCs w:val="24"/>
        </w:rPr>
        <w:t>人的要求在其营业机构为其管理的每只理财产品开立专门的银行账户，该账户以下简称“托管账户”。</w:t>
      </w:r>
    </w:p>
    <w:p>
      <w:pPr>
        <w:numPr>
          <w:ilvl w:val="3"/>
          <w:numId w:val="12"/>
        </w:numPr>
        <w:autoSpaceDE w:val="0"/>
        <w:autoSpaceDN w:val="0"/>
        <w:adjustRightInd w:val="0"/>
        <w:spacing w:line="440" w:lineRule="exact"/>
        <w:ind w:left="0" w:firstLine="426"/>
        <w:rPr>
          <w:rFonts w:ascii="宋体" w:hAnsi="宋体" w:cs="Arial"/>
          <w:kern w:val="0"/>
          <w:sz w:val="24"/>
          <w:szCs w:val="24"/>
        </w:rPr>
      </w:pPr>
      <w:r>
        <w:rPr>
          <w:rFonts w:hint="eastAsia" w:ascii="宋体" w:hAnsi="宋体" w:cs="Arial"/>
          <w:kern w:val="0"/>
          <w:sz w:val="24"/>
          <w:szCs w:val="24"/>
        </w:rPr>
        <w:t>理财产品银行托管账户的开立和管理由托管人根据管理人的申请及授权办理，管理人应向托管人提供开户所需相关资料。</w:t>
      </w:r>
    </w:p>
    <w:p>
      <w:pPr>
        <w:numPr>
          <w:ilvl w:val="3"/>
          <w:numId w:val="12"/>
        </w:numPr>
        <w:autoSpaceDE w:val="0"/>
        <w:autoSpaceDN w:val="0"/>
        <w:adjustRightInd w:val="0"/>
        <w:spacing w:line="440" w:lineRule="exact"/>
        <w:ind w:left="0" w:firstLine="426"/>
        <w:rPr>
          <w:rFonts w:ascii="宋体" w:hAnsi="宋体"/>
          <w:kern w:val="0"/>
          <w:sz w:val="24"/>
          <w:szCs w:val="24"/>
        </w:rPr>
      </w:pPr>
      <w:r>
        <w:rPr>
          <w:rFonts w:hint="eastAsia" w:ascii="宋体" w:hAnsi="宋体"/>
          <w:kern w:val="0"/>
          <w:sz w:val="24"/>
          <w:szCs w:val="24"/>
        </w:rPr>
        <w:t>在理财产品存续期间，托管人应根据管理人合法、合规、并符合本协议的划款指令办理资金收付。理财产品的一切货币收支活动，包括接收及支付理财收益、理财费用等，均须通过该账户</w:t>
      </w:r>
      <w:r>
        <w:rPr>
          <w:rFonts w:hint="eastAsia" w:ascii="宋体" w:hAnsi="宋体" w:cs="Arial"/>
          <w:kern w:val="0"/>
          <w:sz w:val="24"/>
          <w:szCs w:val="24"/>
        </w:rPr>
        <w:t>进行</w:t>
      </w:r>
      <w:r>
        <w:rPr>
          <w:rFonts w:hint="eastAsia" w:ascii="宋体" w:hAnsi="宋体"/>
          <w:kern w:val="0"/>
          <w:sz w:val="24"/>
          <w:szCs w:val="24"/>
        </w:rPr>
        <w:t>。</w:t>
      </w:r>
    </w:p>
    <w:p>
      <w:pPr>
        <w:numPr>
          <w:ilvl w:val="3"/>
          <w:numId w:val="12"/>
        </w:numPr>
        <w:autoSpaceDE w:val="0"/>
        <w:autoSpaceDN w:val="0"/>
        <w:adjustRightInd w:val="0"/>
        <w:spacing w:line="440" w:lineRule="exact"/>
        <w:ind w:left="0" w:firstLine="426"/>
        <w:rPr>
          <w:rFonts w:ascii="宋体" w:hAnsi="宋体"/>
          <w:kern w:val="0"/>
          <w:sz w:val="24"/>
          <w:szCs w:val="24"/>
        </w:rPr>
      </w:pPr>
      <w:r>
        <w:rPr>
          <w:rFonts w:hint="eastAsia" w:ascii="宋体" w:hAnsi="宋体"/>
          <w:kern w:val="0"/>
          <w:sz w:val="24"/>
          <w:szCs w:val="24"/>
        </w:rPr>
        <w:t>托管账户的开立和使用，限于满足开展理财业务的需要。托管人和管理人不得假借理财产品的名义开立任何其他银行账户，亦不得使用理财产品的任何账户进行理财业务以外的其他活动。</w:t>
      </w:r>
    </w:p>
    <w:p>
      <w:pPr>
        <w:numPr>
          <w:ilvl w:val="3"/>
          <w:numId w:val="12"/>
        </w:numPr>
        <w:autoSpaceDE w:val="0"/>
        <w:autoSpaceDN w:val="0"/>
        <w:adjustRightInd w:val="0"/>
        <w:spacing w:line="440" w:lineRule="exact"/>
        <w:ind w:left="0" w:firstLine="426"/>
        <w:rPr>
          <w:rFonts w:ascii="宋体" w:hAnsi="宋体"/>
          <w:kern w:val="0"/>
          <w:sz w:val="24"/>
          <w:szCs w:val="24"/>
        </w:rPr>
      </w:pPr>
      <w:r>
        <w:rPr>
          <w:rFonts w:hint="eastAsia" w:ascii="宋体" w:hAnsi="宋体" w:cs="Arial"/>
          <w:kern w:val="0"/>
          <w:sz w:val="24"/>
          <w:szCs w:val="24"/>
        </w:rPr>
        <w:t>在理财产品存续期间，管理人未经托管人书面同意，不得撤销托管账户，但理财产品提前终止的情形除外。否则由此造成的理财资产损失，全部由管理人承担。</w:t>
      </w:r>
    </w:p>
    <w:p>
      <w:pPr>
        <w:numPr>
          <w:ilvl w:val="3"/>
          <w:numId w:val="12"/>
        </w:numPr>
        <w:autoSpaceDE w:val="0"/>
        <w:autoSpaceDN w:val="0"/>
        <w:adjustRightInd w:val="0"/>
        <w:spacing w:line="440" w:lineRule="exact"/>
        <w:ind w:left="0" w:firstLine="426"/>
        <w:rPr>
          <w:rFonts w:ascii="宋体" w:hAnsi="宋体"/>
          <w:kern w:val="0"/>
          <w:sz w:val="24"/>
          <w:szCs w:val="24"/>
        </w:rPr>
      </w:pPr>
      <w:r>
        <w:rPr>
          <w:rFonts w:hint="eastAsia" w:ascii="宋体" w:hAnsi="宋体" w:cs="Arial"/>
          <w:kern w:val="0"/>
          <w:sz w:val="24"/>
          <w:szCs w:val="24"/>
        </w:rPr>
        <w:t>托管账户的开立与管理应符合《人民币结算账户</w:t>
      </w:r>
      <w:r>
        <w:rPr>
          <w:rFonts w:hint="eastAsia" w:ascii="宋体" w:hAnsi="宋体"/>
          <w:kern w:val="0"/>
          <w:sz w:val="24"/>
          <w:szCs w:val="24"/>
        </w:rPr>
        <w:t>管理办法》、中国人民银行利率管理的有关规定、《支付结算办法》以及其他有关法律法规的规定。</w:t>
      </w:r>
    </w:p>
    <w:p>
      <w:pPr>
        <w:numPr>
          <w:ilvl w:val="0"/>
          <w:numId w:val="11"/>
        </w:numPr>
        <w:tabs>
          <w:tab w:val="left" w:pos="993"/>
        </w:tabs>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理财产品有关文件资料</w:t>
      </w:r>
    </w:p>
    <w:p>
      <w:pPr>
        <w:numPr>
          <w:ilvl w:val="0"/>
          <w:numId w:val="13"/>
        </w:numPr>
        <w:autoSpaceDE w:val="0"/>
        <w:autoSpaceDN w:val="0"/>
        <w:adjustRightInd w:val="0"/>
        <w:spacing w:line="440" w:lineRule="exact"/>
        <w:ind w:left="0" w:firstLine="424" w:firstLineChars="177"/>
        <w:rPr>
          <w:rFonts w:ascii="宋体" w:hAnsi="宋体"/>
          <w:kern w:val="0"/>
          <w:sz w:val="24"/>
          <w:szCs w:val="24"/>
        </w:rPr>
      </w:pPr>
      <w:r>
        <w:rPr>
          <w:rFonts w:hint="eastAsia" w:ascii="宋体" w:hAnsi="宋体"/>
          <w:kern w:val="0"/>
          <w:sz w:val="24"/>
          <w:szCs w:val="24"/>
        </w:rPr>
        <w:t>管理人签署的与理财产品有关的重大合同，管理人应取得该等合同的原件，</w:t>
      </w:r>
      <w:r>
        <w:rPr>
          <w:rFonts w:hint="eastAsia" w:ascii="宋体" w:hAnsi="宋体" w:cs="宋体"/>
          <w:kern w:val="0"/>
          <w:sz w:val="24"/>
          <w:szCs w:val="24"/>
        </w:rPr>
        <w:t>除本协议另有规定外，下述材料托管人均应至少保管一份复印件：</w:t>
      </w:r>
    </w:p>
    <w:p>
      <w:pPr>
        <w:autoSpaceDE w:val="0"/>
        <w:autoSpaceDN w:val="0"/>
        <w:adjustRightInd w:val="0"/>
        <w:spacing w:line="440" w:lineRule="exact"/>
        <w:ind w:firstLine="420"/>
        <w:rPr>
          <w:rFonts w:ascii="宋体" w:hAnsi="宋体"/>
          <w:kern w:val="0"/>
          <w:sz w:val="24"/>
          <w:szCs w:val="24"/>
        </w:rPr>
      </w:pPr>
      <w:r>
        <w:rPr>
          <w:rFonts w:hint="eastAsia" w:ascii="宋体" w:hAnsi="宋体" w:cs="宋体"/>
          <w:kern w:val="0"/>
          <w:sz w:val="24"/>
          <w:szCs w:val="24"/>
        </w:rPr>
        <w:t>（1）理财产品协议的样本：包括但不限于《理财产品说明书》、《理财产品协议书》；</w:t>
      </w:r>
    </w:p>
    <w:p>
      <w:pPr>
        <w:autoSpaceDE w:val="0"/>
        <w:autoSpaceDN w:val="0"/>
        <w:adjustRightInd w:val="0"/>
        <w:spacing w:line="440" w:lineRule="exact"/>
        <w:ind w:firstLine="420"/>
        <w:rPr>
          <w:rFonts w:ascii="宋体" w:hAnsi="宋体" w:cs="宋体"/>
          <w:kern w:val="0"/>
          <w:sz w:val="24"/>
          <w:szCs w:val="24"/>
        </w:rPr>
      </w:pPr>
      <w:r>
        <w:rPr>
          <w:rFonts w:hint="eastAsia" w:ascii="宋体" w:hAnsi="宋体" w:cs="宋体"/>
          <w:kern w:val="0"/>
          <w:sz w:val="24"/>
          <w:szCs w:val="24"/>
        </w:rPr>
        <w:t>（2）托管的每只理财产品成立通知书（附件1-3）；</w:t>
      </w:r>
    </w:p>
    <w:p>
      <w:pPr>
        <w:autoSpaceDE w:val="0"/>
        <w:autoSpaceDN w:val="0"/>
        <w:adjustRightInd w:val="0"/>
        <w:spacing w:line="440" w:lineRule="exact"/>
        <w:ind w:firstLine="420"/>
        <w:rPr>
          <w:rFonts w:ascii="宋体" w:hAnsi="宋体" w:cs="宋体"/>
          <w:kern w:val="0"/>
          <w:sz w:val="24"/>
          <w:szCs w:val="24"/>
        </w:rPr>
      </w:pPr>
      <w:r>
        <w:rPr>
          <w:rFonts w:hint="eastAsia" w:ascii="宋体" w:hAnsi="宋体" w:cs="宋体"/>
          <w:kern w:val="0"/>
          <w:sz w:val="24"/>
          <w:szCs w:val="24"/>
        </w:rPr>
        <w:t>（3）管理人、托管人双方另行约定的其他文件资料。</w:t>
      </w:r>
    </w:p>
    <w:p>
      <w:pPr>
        <w:numPr>
          <w:ilvl w:val="0"/>
          <w:numId w:val="13"/>
        </w:numPr>
        <w:autoSpaceDE w:val="0"/>
        <w:autoSpaceDN w:val="0"/>
        <w:adjustRightInd w:val="0"/>
        <w:spacing w:line="440" w:lineRule="exact"/>
        <w:ind w:left="0" w:firstLine="424" w:firstLineChars="177"/>
        <w:rPr>
          <w:rFonts w:ascii="宋体" w:hAnsi="宋体"/>
          <w:sz w:val="24"/>
          <w:szCs w:val="24"/>
        </w:rPr>
      </w:pPr>
      <w:r>
        <w:rPr>
          <w:rFonts w:hint="eastAsia" w:ascii="宋体" w:hAnsi="宋体" w:cs="宋体"/>
          <w:kern w:val="0"/>
          <w:sz w:val="24"/>
          <w:szCs w:val="24"/>
        </w:rPr>
        <w:t>管理人应最迟于理财产品成立日，以</w:t>
      </w:r>
      <w:permStart w:id="5" w:edGrp="everyone"/>
      <w:r>
        <w:rPr>
          <w:rFonts w:hint="eastAsia" w:ascii="宋体" w:hAnsi="宋体" w:cs="宋体"/>
          <w:kern w:val="0"/>
          <w:sz w:val="24"/>
          <w:szCs w:val="24"/>
          <w:u w:val="single"/>
        </w:rPr>
        <w:t>邮件</w:t>
      </w:r>
      <w:permEnd w:id="5"/>
      <w:r>
        <w:rPr>
          <w:rFonts w:hint="eastAsia" w:ascii="宋体" w:hAnsi="宋体" w:cs="宋体"/>
          <w:kern w:val="0"/>
          <w:sz w:val="24"/>
          <w:szCs w:val="24"/>
          <w:u w:val="single"/>
        </w:rPr>
        <w:t>（</w:t>
      </w:r>
      <w:r>
        <w:rPr>
          <w:rFonts w:hint="eastAsia" w:ascii="宋体" w:hAnsi="宋体" w:cs="宋体"/>
          <w:kern w:val="0"/>
          <w:sz w:val="24"/>
          <w:szCs w:val="24"/>
        </w:rPr>
        <w:t>传真/邮件）的形式向托管人提供上述材料样本或复印件，并于产品成立日后五个工作日内将上述资料复印件以邮寄形式送达托管人。托管人应在收到理财产品成立通知书当日，以</w:t>
      </w:r>
      <w:permStart w:id="6" w:edGrp="everyone"/>
      <w:r>
        <w:rPr>
          <w:rFonts w:hint="eastAsia" w:ascii="宋体" w:hAnsi="宋体" w:cs="宋体"/>
          <w:kern w:val="0"/>
          <w:sz w:val="24"/>
          <w:szCs w:val="24"/>
        </w:rPr>
        <w:t>邮件</w:t>
      </w:r>
      <w:permEnd w:id="6"/>
      <w:r>
        <w:rPr>
          <w:rFonts w:hint="eastAsia" w:ascii="宋体" w:hAnsi="宋体" w:cs="宋体"/>
          <w:kern w:val="0"/>
          <w:sz w:val="24"/>
          <w:szCs w:val="24"/>
        </w:rPr>
        <w:t>（传真/邮件）形式向管理人回函确认（理财产品成立确认书格式见附件1-3），该传真件/邮件与正本文件具有相同效力。托管人应于产品成立日后五个工作日内将理财产品成立确认书以邮件形式送达管理人，传真件/邮件与原件不一致时，以传真件/邮件为准。</w:t>
      </w:r>
    </w:p>
    <w:p>
      <w:pPr>
        <w:numPr>
          <w:ilvl w:val="0"/>
          <w:numId w:val="13"/>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管理人提供给托管人的相关材料均应真实、完整、准确，并加盖管理人公章或经授权的业务专用章。管理人通过传真/邮件方式向托管人递送的材料，托管人视其与正本文件具有相同效力，传真件/邮件与原件不一致时，以传真件/邮件为准。由于管理人提供材料有误或不完整而导致的相关责任由管理人承担。</w:t>
      </w:r>
    </w:p>
    <w:p>
      <w:pPr>
        <w:pStyle w:val="2"/>
        <w:tabs>
          <w:tab w:val="left" w:pos="0"/>
          <w:tab w:val="left" w:pos="993"/>
          <w:tab w:val="clear" w:pos="4266"/>
        </w:tabs>
        <w:spacing w:before="156" w:beforeLines="50" w:after="156" w:afterLines="50" w:line="440" w:lineRule="exact"/>
        <w:ind w:left="0" w:firstLine="0"/>
        <w:rPr>
          <w:sz w:val="24"/>
          <w:szCs w:val="24"/>
        </w:rPr>
      </w:pPr>
      <w:bookmarkStart w:id="5" w:name="_Toc393827604"/>
      <w:r>
        <w:rPr>
          <w:rFonts w:hint="eastAsia"/>
          <w:sz w:val="24"/>
          <w:szCs w:val="24"/>
        </w:rPr>
        <w:t>托管账户资金划付</w:t>
      </w:r>
      <w:bookmarkEnd w:id="5"/>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在理财产品存续期内，管理人应按照本协议的约定发出划款指令，托管人应及时执行，办理理财产品的资金往来。</w:t>
      </w:r>
    </w:p>
    <w:p>
      <w:pPr>
        <w:numPr>
          <w:ilvl w:val="0"/>
          <w:numId w:val="14"/>
        </w:numPr>
        <w:tabs>
          <w:tab w:val="left" w:pos="993"/>
          <w:tab w:val="left" w:pos="1134"/>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托管资金的管理运用</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本协议存续期间，托管账户内的资金，除理财产品协议约定的支付理财费用、分配理财利益以及约定的其他运用方式外，其余资金仅能存放于托管账户内，存款利率为开户机构活期挂牌利率。托管账户内资金所产生的存款利息，归属于理财资产。</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本协议存续期内，托管人应妥善保管托管账户项下的资金及存款利息。</w:t>
      </w:r>
    </w:p>
    <w:p>
      <w:pPr>
        <w:numPr>
          <w:ilvl w:val="0"/>
          <w:numId w:val="14"/>
        </w:numPr>
        <w:tabs>
          <w:tab w:val="left" w:pos="993"/>
          <w:tab w:val="left" w:pos="1134"/>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Arial"/>
          <w:b/>
          <w:kern w:val="0"/>
          <w:sz w:val="24"/>
          <w:szCs w:val="24"/>
        </w:rPr>
        <w:t>投资人申购资金的归集和赎回资金的派发</w:t>
      </w:r>
    </w:p>
    <w:p>
      <w:pPr>
        <w:numPr>
          <w:ilvl w:val="1"/>
          <w:numId w:val="15"/>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托管人应在管理人通知的资金到账日及时查收应收资金是否到账，对于未准时到账的资金，应在到账日期当日以双方约定的形式通知管理人，管理人负责处理。</w:t>
      </w:r>
    </w:p>
    <w:p>
      <w:pPr>
        <w:numPr>
          <w:ilvl w:val="1"/>
          <w:numId w:val="15"/>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投资人赎回理财产品份额的资金，托管人应根据管理人的指令进行核实转款金额后划拨至管理人指定账户。托管人未按约定的时间划拨，给投资人造成损失的，托管人应承担赔偿责任，但如果托管人未按约定时间划拨款项系由管理人原因引起的，托管人不承担任何赔偿责任。</w:t>
      </w:r>
    </w:p>
    <w:p>
      <w:pPr>
        <w:numPr>
          <w:ilvl w:val="0"/>
          <w:numId w:val="14"/>
        </w:numPr>
        <w:tabs>
          <w:tab w:val="left" w:pos="993"/>
          <w:tab w:val="left" w:pos="1134"/>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托管费用的提取</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托管人应按照本协议中的相关约定和管理人的划款指令进行托管费用的提取和资金划付。托管费账户信息见附件1-4。</w:t>
      </w:r>
    </w:p>
    <w:p>
      <w:pPr>
        <w:numPr>
          <w:ilvl w:val="0"/>
          <w:numId w:val="14"/>
        </w:numPr>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Arial"/>
          <w:b/>
          <w:kern w:val="0"/>
          <w:sz w:val="24"/>
          <w:szCs w:val="24"/>
        </w:rPr>
        <w:t>管理费和</w:t>
      </w:r>
      <w:r>
        <w:rPr>
          <w:rFonts w:hint="eastAsia" w:ascii="宋体" w:hAnsi="宋体" w:cs="宋体"/>
          <w:b/>
          <w:kern w:val="0"/>
          <w:sz w:val="24"/>
          <w:szCs w:val="24"/>
        </w:rPr>
        <w:t>投资收益分配资金的划付</w:t>
      </w:r>
    </w:p>
    <w:p>
      <w:pPr>
        <w:autoSpaceDE w:val="0"/>
        <w:autoSpaceDN w:val="0"/>
        <w:adjustRightInd w:val="0"/>
        <w:spacing w:line="440" w:lineRule="exact"/>
        <w:ind w:firstLine="480" w:firstLineChars="200"/>
        <w:rPr>
          <w:rFonts w:ascii="宋体" w:hAnsi="宋体"/>
          <w:kern w:val="0"/>
          <w:sz w:val="24"/>
          <w:szCs w:val="24"/>
        </w:rPr>
      </w:pPr>
      <w:r>
        <w:rPr>
          <w:rFonts w:hint="eastAsia" w:ascii="宋体" w:hAnsi="宋体" w:cs="宋体"/>
          <w:kern w:val="0"/>
          <w:sz w:val="24"/>
          <w:szCs w:val="24"/>
        </w:rPr>
        <w:t>托管人应按照本协议的约定和管理人的划款指令进行管理费和分配资金的划付，</w:t>
      </w:r>
      <w:r>
        <w:rPr>
          <w:rFonts w:hint="eastAsia" w:ascii="宋体" w:hAnsi="宋体"/>
          <w:kern w:val="0"/>
          <w:sz w:val="24"/>
          <w:szCs w:val="24"/>
        </w:rPr>
        <w:t>理财产品投资收益由管理人进行分配。管理费账户信息和管理人指定理财产品收益分配账户信息见附件1-4。</w:t>
      </w:r>
    </w:p>
    <w:p>
      <w:pPr>
        <w:numPr>
          <w:ilvl w:val="0"/>
          <w:numId w:val="14"/>
        </w:numPr>
        <w:tabs>
          <w:tab w:val="left" w:pos="993"/>
          <w:tab w:val="left" w:pos="1134"/>
        </w:tabs>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Arial"/>
          <w:b/>
          <w:kern w:val="0"/>
          <w:sz w:val="24"/>
          <w:szCs w:val="24"/>
        </w:rPr>
        <w:t>每只托管理财产品分级科目的设立和管理</w:t>
      </w:r>
    </w:p>
    <w:p>
      <w:pPr>
        <w:tabs>
          <w:tab w:val="left" w:pos="993"/>
          <w:tab w:val="left" w:pos="1134"/>
        </w:tabs>
        <w:autoSpaceDE w:val="0"/>
        <w:autoSpaceDN w:val="0"/>
        <w:adjustRightInd w:val="0"/>
        <w:spacing w:line="440" w:lineRule="exact"/>
        <w:ind w:firstLine="480" w:firstLineChars="200"/>
        <w:rPr>
          <w:rFonts w:ascii="宋体" w:hAnsi="宋体" w:cs="Arial"/>
          <w:kern w:val="0"/>
          <w:sz w:val="24"/>
          <w:szCs w:val="24"/>
        </w:rPr>
      </w:pPr>
      <w:r>
        <w:rPr>
          <w:rFonts w:ascii="宋体" w:hAnsi="宋体" w:cs="Arial"/>
          <w:kern w:val="0"/>
          <w:sz w:val="24"/>
          <w:szCs w:val="24"/>
        </w:rPr>
        <w:t>1.托管人按照管理人要求，以系列型理财产品名义开立托管账户，并开立银行间债券账户和证券账户；系列理财产品下每设立一个子理财产品，即开立一个</w:t>
      </w:r>
      <w:r>
        <w:rPr>
          <w:rFonts w:hint="eastAsia" w:ascii="宋体" w:hAnsi="宋体" w:cs="Arial"/>
          <w:kern w:val="0"/>
          <w:sz w:val="24"/>
          <w:szCs w:val="24"/>
        </w:rPr>
        <w:t>子理财产品托管账户，用于该理财产品投资运作资金的划付。各子理财产品使用该系列理财产品开立的银行间债券账户和证券账户进行投资交易，发生</w:t>
      </w:r>
      <w:r>
        <w:rPr>
          <w:rFonts w:ascii="宋体" w:hAnsi="宋体" w:cs="Arial"/>
          <w:kern w:val="0"/>
          <w:sz w:val="24"/>
          <w:szCs w:val="24"/>
        </w:rPr>
        <w:t>交易当日，</w:t>
      </w:r>
      <w:r>
        <w:rPr>
          <w:rFonts w:hint="eastAsia" w:ascii="宋体" w:hAnsi="宋体" w:cs="Arial"/>
          <w:kern w:val="0"/>
          <w:sz w:val="24"/>
          <w:szCs w:val="24"/>
        </w:rPr>
        <w:t>管理人</w:t>
      </w:r>
      <w:r>
        <w:rPr>
          <w:rFonts w:ascii="宋体" w:hAnsi="宋体" w:cs="Arial"/>
          <w:kern w:val="0"/>
          <w:sz w:val="24"/>
          <w:szCs w:val="24"/>
        </w:rPr>
        <w:t>需</w:t>
      </w:r>
      <w:r>
        <w:rPr>
          <w:rFonts w:hint="eastAsia" w:ascii="宋体" w:hAnsi="宋体" w:cs="Arial"/>
          <w:kern w:val="0"/>
          <w:sz w:val="24"/>
          <w:szCs w:val="24"/>
        </w:rPr>
        <w:t>书面向托管人</w:t>
      </w:r>
      <w:r>
        <w:rPr>
          <w:rFonts w:ascii="宋体" w:hAnsi="宋体" w:cs="Arial"/>
          <w:kern w:val="0"/>
          <w:sz w:val="24"/>
          <w:szCs w:val="24"/>
        </w:rPr>
        <w:t>提供各</w:t>
      </w:r>
      <w:r>
        <w:rPr>
          <w:rFonts w:hint="eastAsia" w:ascii="宋体" w:hAnsi="宋体" w:cs="Arial"/>
          <w:kern w:val="0"/>
          <w:sz w:val="24"/>
          <w:szCs w:val="24"/>
        </w:rPr>
        <w:t>期</w:t>
      </w:r>
      <w:r>
        <w:rPr>
          <w:rFonts w:ascii="宋体" w:hAnsi="宋体" w:cs="Arial"/>
          <w:kern w:val="0"/>
          <w:sz w:val="24"/>
          <w:szCs w:val="24"/>
        </w:rPr>
        <w:t>子理财产品</w:t>
      </w:r>
      <w:r>
        <w:rPr>
          <w:rFonts w:hint="eastAsia" w:ascii="宋体" w:hAnsi="宋体" w:cs="Arial"/>
          <w:kern w:val="0"/>
          <w:sz w:val="24"/>
          <w:szCs w:val="24"/>
        </w:rPr>
        <w:t>相关交易凭据。</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管理人、托管人应为所托管的管理人每只理财产品设立分级科目，实现每只理财产品托管资金的单独核算。对每只理财产品对应的托管账户建立托管明细账，覆盖资金募集、投资过程、各类标的资产的明细、到期清算的全过程；在每只理财产品终止时，准确计算该理财产品单独兑现的收益。</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3.管理人的划款指令应明确到对应的每只理财产品的资产。对于管理人汇入的理财产品投资收益，管理人应向托管人明确到对应的每只理财产品。</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4.托管人对理财托管账户的相关利息支付，应按每只理财产品进行核算，并将计息结果通知管理人。</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5.托管人按本协议和理财产品协议扣划的费用，应明确到对应的该只理财产品，并将扣费结果通知管理人。</w:t>
      </w:r>
    </w:p>
    <w:p>
      <w:pPr>
        <w:pStyle w:val="2"/>
        <w:tabs>
          <w:tab w:val="left" w:pos="0"/>
          <w:tab w:val="left" w:pos="993"/>
          <w:tab w:val="clear" w:pos="4266"/>
        </w:tabs>
        <w:spacing w:before="156" w:beforeLines="50" w:after="156" w:afterLines="50" w:line="440" w:lineRule="exact"/>
        <w:ind w:left="0" w:firstLine="0"/>
        <w:rPr>
          <w:sz w:val="24"/>
          <w:szCs w:val="24"/>
        </w:rPr>
      </w:pPr>
      <w:bookmarkStart w:id="6" w:name="_Toc393827605"/>
      <w:r>
        <w:rPr>
          <w:rFonts w:hint="eastAsia"/>
          <w:sz w:val="24"/>
          <w:szCs w:val="24"/>
        </w:rPr>
        <w:t>划款指令发送、确认和执行</w:t>
      </w:r>
      <w:bookmarkEnd w:id="6"/>
    </w:p>
    <w:p>
      <w:pPr>
        <w:numPr>
          <w:ilvl w:val="0"/>
          <w:numId w:val="16"/>
        </w:numPr>
        <w:autoSpaceDE w:val="0"/>
        <w:autoSpaceDN w:val="0"/>
        <w:adjustRightInd w:val="0"/>
        <w:spacing w:line="440" w:lineRule="exact"/>
        <w:ind w:left="0" w:firstLine="424" w:firstLineChars="176"/>
        <w:rPr>
          <w:rFonts w:ascii="宋体" w:hAnsi="宋体" w:cs="宋体"/>
          <w:b/>
          <w:kern w:val="0"/>
          <w:sz w:val="24"/>
          <w:szCs w:val="24"/>
        </w:rPr>
      </w:pPr>
      <w:r>
        <w:rPr>
          <w:rFonts w:hint="eastAsia" w:ascii="宋体" w:hAnsi="宋体" w:cs="宋体"/>
          <w:b/>
          <w:kern w:val="0"/>
          <w:sz w:val="24"/>
          <w:szCs w:val="24"/>
        </w:rPr>
        <w:t>管理人对指令签发人员的授权及其变更</w:t>
      </w:r>
    </w:p>
    <w:p>
      <w:pPr>
        <w:numPr>
          <w:ilvl w:val="1"/>
          <w:numId w:val="17"/>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指令签发人员的授权</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管理人应指定专人向托管人签发划款指令</w:t>
      </w:r>
      <w:r>
        <w:rPr>
          <w:rFonts w:hint="eastAsia" w:ascii="宋体" w:hAnsi="宋体" w:cs="Arial"/>
          <w:kern w:val="0"/>
          <w:sz w:val="24"/>
          <w:szCs w:val="24"/>
        </w:rPr>
        <w:t>，</w:t>
      </w:r>
      <w:r>
        <w:rPr>
          <w:rFonts w:hint="eastAsia" w:ascii="宋体" w:hAnsi="宋体" w:cs="宋体"/>
          <w:kern w:val="0"/>
          <w:sz w:val="24"/>
          <w:szCs w:val="24"/>
        </w:rPr>
        <w:t>并向托管人提供书面划款指令授权通知书（格式见附件1-5），载明管理人有权签发指令的人员名单（以下称</w:t>
      </w:r>
      <w:r>
        <w:rPr>
          <w:rFonts w:hint="eastAsia" w:ascii="宋体" w:hAnsi="宋体" w:cs="Arial"/>
          <w:kern w:val="0"/>
          <w:sz w:val="24"/>
          <w:szCs w:val="24"/>
        </w:rPr>
        <w:t>“</w:t>
      </w:r>
      <w:r>
        <w:rPr>
          <w:rFonts w:hint="eastAsia" w:ascii="宋体" w:hAnsi="宋体" w:cs="宋体"/>
          <w:kern w:val="0"/>
          <w:sz w:val="24"/>
          <w:szCs w:val="24"/>
        </w:rPr>
        <w:t>指令签发人员</w:t>
      </w:r>
      <w:r>
        <w:rPr>
          <w:rFonts w:hint="eastAsia" w:ascii="宋体" w:hAnsi="宋体" w:cs="Arial"/>
          <w:kern w:val="0"/>
          <w:sz w:val="24"/>
          <w:szCs w:val="24"/>
        </w:rPr>
        <w:t>”</w:t>
      </w:r>
      <w:r>
        <w:rPr>
          <w:rFonts w:hint="eastAsia" w:ascii="宋体" w:hAnsi="宋体" w:cs="宋体"/>
          <w:kern w:val="0"/>
          <w:sz w:val="24"/>
          <w:szCs w:val="24"/>
        </w:rPr>
        <w:t>）及其权限范围、预留印鉴样本和签字样本，并应加盖管理人公章或经授权的业务专用章。划款指令授权通知书原件作为本协议附件应于本协议签署之日交付托管人，划款指令签发人员依约定程序发出的指令，管理人不得否认其效力。</w:t>
      </w:r>
    </w:p>
    <w:p>
      <w:pPr>
        <w:numPr>
          <w:ilvl w:val="1"/>
          <w:numId w:val="17"/>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指令签发人员的变更</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管理人更换指令签发人员、更换或终止对指令签发人员授权的，应当至少提前</w:t>
      </w:r>
      <w:r>
        <w:rPr>
          <w:rFonts w:hint="eastAsia" w:ascii="宋体" w:hAnsi="宋体" w:cs="Arial"/>
          <w:kern w:val="0"/>
          <w:sz w:val="24"/>
          <w:szCs w:val="24"/>
        </w:rPr>
        <w:t>1</w:t>
      </w:r>
      <w:r>
        <w:rPr>
          <w:rFonts w:hint="eastAsia" w:ascii="宋体" w:hAnsi="宋体" w:cs="宋体"/>
          <w:kern w:val="0"/>
          <w:sz w:val="24"/>
          <w:szCs w:val="24"/>
        </w:rPr>
        <w:t>个工作日将变更说明和新的划款指令授权通知书（以下统称为“授权变更文件”）传真/邮件至托管人并电话确认，授权变更文件应由管理人加盖公章或经授权的业务专用章。托管人收到传真件/邮件后应在当日电话向管理人确认。</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授权变更文件自托管人确认之时起生效。管理人在此后三个工作日内将授权变更文件原件以邮寄或其他双方认可的方式送交托管人。授权变更文件原件内容应与传真件/邮件一致，若有不一致的，以传真件/邮件为准，逾期未交付原件，亦以传真件/邮件为准。</w:t>
      </w:r>
    </w:p>
    <w:p>
      <w:pPr>
        <w:autoSpaceDE w:val="0"/>
        <w:autoSpaceDN w:val="0"/>
        <w:adjustRightInd w:val="0"/>
        <w:spacing w:line="440" w:lineRule="exact"/>
        <w:ind w:firstLine="424" w:firstLineChars="177"/>
        <w:rPr>
          <w:rFonts w:ascii="宋体" w:hAnsi="宋体"/>
          <w:sz w:val="24"/>
          <w:szCs w:val="24"/>
        </w:rPr>
      </w:pPr>
      <w:r>
        <w:rPr>
          <w:rFonts w:hint="eastAsia" w:ascii="宋体" w:hAnsi="宋体" w:cs="宋体"/>
          <w:kern w:val="0"/>
          <w:sz w:val="24"/>
          <w:szCs w:val="24"/>
        </w:rPr>
        <w:t>授权变更文件生效前，托管人仍应按原约定执行划款指令，管理人不得否认其效力。</w:t>
      </w:r>
    </w:p>
    <w:p>
      <w:pPr>
        <w:numPr>
          <w:ilvl w:val="1"/>
          <w:numId w:val="17"/>
        </w:numPr>
        <w:autoSpaceDE w:val="0"/>
        <w:autoSpaceDN w:val="0"/>
        <w:adjustRightInd w:val="0"/>
        <w:spacing w:line="440" w:lineRule="exact"/>
        <w:ind w:left="0" w:firstLine="424" w:firstLineChars="177"/>
        <w:rPr>
          <w:rFonts w:ascii="宋体" w:hAnsi="宋体"/>
          <w:kern w:val="0"/>
          <w:sz w:val="24"/>
          <w:szCs w:val="24"/>
        </w:rPr>
      </w:pPr>
      <w:r>
        <w:rPr>
          <w:rFonts w:hint="eastAsia" w:ascii="宋体" w:hAnsi="宋体" w:cs="宋体"/>
          <w:kern w:val="0"/>
          <w:sz w:val="24"/>
          <w:szCs w:val="24"/>
        </w:rPr>
        <w:t>管理人和托管人对划款指令授权通知书及其变更负有保密义务，其内容不得向指令签发人员及相关操作人员以外的任何人披露、泄露。</w:t>
      </w:r>
    </w:p>
    <w:p>
      <w:pPr>
        <w:numPr>
          <w:ilvl w:val="1"/>
          <w:numId w:val="17"/>
        </w:numPr>
        <w:autoSpaceDE w:val="0"/>
        <w:autoSpaceDN w:val="0"/>
        <w:adjustRightInd w:val="0"/>
        <w:spacing w:line="440" w:lineRule="exact"/>
        <w:ind w:left="0" w:firstLine="424" w:firstLineChars="177"/>
        <w:rPr>
          <w:rFonts w:ascii="宋体" w:hAnsi="宋体" w:cs="Arial"/>
          <w:b/>
          <w:kern w:val="0"/>
          <w:sz w:val="24"/>
          <w:szCs w:val="24"/>
        </w:rPr>
      </w:pPr>
      <w:r>
        <w:rPr>
          <w:rFonts w:hint="eastAsia" w:ascii="宋体" w:hAnsi="宋体" w:cs="Arial"/>
          <w:kern w:val="0"/>
          <w:sz w:val="24"/>
          <w:szCs w:val="24"/>
        </w:rPr>
        <w:t>托管人应指定专人接收管理人的指令，预先通知管理人其名单（格式见附件1-6），托管事务业务联系单作为本协议附件，由托管人加盖公章</w:t>
      </w:r>
      <w:r>
        <w:rPr>
          <w:rFonts w:hint="eastAsia" w:ascii="宋体" w:hAnsi="宋体" w:cs="宋体"/>
          <w:kern w:val="0"/>
          <w:sz w:val="24"/>
          <w:szCs w:val="24"/>
        </w:rPr>
        <w:t>并由法定代表人或其授权代表签署</w:t>
      </w:r>
      <w:r>
        <w:rPr>
          <w:rFonts w:hint="eastAsia" w:ascii="宋体" w:hAnsi="宋体" w:cs="Arial"/>
          <w:kern w:val="0"/>
          <w:sz w:val="24"/>
          <w:szCs w:val="24"/>
        </w:rPr>
        <w:t>，于本协议签署日交付管理人。</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托管人更换接收指令人员，至少提前1个工作日将变更说明和新的托管事务业务联系单传真/邮件至管理人并电话确认托管事务业务联系单应由托管人加盖公章并由法定代表人或其授权代表签署。若由授权代表签署，需提供对应的法定代表人授权书。管理人收到传真件/邮件后应在当日电话向托管人确认。</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授权变更文件自管理人确认之时起生效。托管人在此后三个工作日内将授权变更文件原件以邮寄或其他双方认可的方式送交管理人。授权变更文件原件内容应与传真件/邮件一致，若有不一致的，以传真件/邮件为准，逾期未交付原件，亦以传真件/邮件为准。</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授权变更文件生效前，管理人仍应按照托管人原指定的联络人联系并传递相关文件或发送相关指令，托管人不得否认其效力。</w:t>
      </w:r>
    </w:p>
    <w:p>
      <w:pPr>
        <w:numPr>
          <w:ilvl w:val="0"/>
          <w:numId w:val="16"/>
        </w:numPr>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划款指令的内容</w:t>
      </w:r>
    </w:p>
    <w:p>
      <w:pPr>
        <w:numPr>
          <w:ilvl w:val="0"/>
          <w:numId w:val="18"/>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划款指令是管理人在运用理财资产时，向托管人发出的对托管账户资金划拨及其他指令，包括付款指令以及其它资金划拨指令等（格式见附件1-7），管理人发给托管人的指令应至少包含以下要素：日期、所对应的理财产品名称及期数、付款人账户户名、付款账号、开户行；收款人账户户名、收款账号、开户行、大额支付行号；金额（大小写）、付款（收款）事由等。</w:t>
      </w:r>
    </w:p>
    <w:p>
      <w:pPr>
        <w:numPr>
          <w:ilvl w:val="0"/>
          <w:numId w:val="18"/>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管理人发送的指令应加盖管理人预留印章并由管理人指令签发人员签字。</w:t>
      </w:r>
    </w:p>
    <w:p>
      <w:pPr>
        <w:numPr>
          <w:ilvl w:val="0"/>
          <w:numId w:val="16"/>
        </w:numPr>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划款指令发送、确认和执行</w:t>
      </w:r>
    </w:p>
    <w:p>
      <w:pPr>
        <w:numPr>
          <w:ilvl w:val="0"/>
          <w:numId w:val="19"/>
        </w:numPr>
        <w:autoSpaceDE w:val="0"/>
        <w:autoSpaceDN w:val="0"/>
        <w:adjustRightInd w:val="0"/>
        <w:spacing w:line="440" w:lineRule="exact"/>
        <w:ind w:left="0" w:firstLine="424" w:firstLineChars="177"/>
        <w:rPr>
          <w:rFonts w:ascii="宋体" w:hAnsi="宋体"/>
          <w:kern w:val="0"/>
          <w:sz w:val="24"/>
          <w:szCs w:val="24"/>
        </w:rPr>
      </w:pPr>
      <w:r>
        <w:rPr>
          <w:rFonts w:hint="eastAsia" w:ascii="宋体" w:hAnsi="宋体"/>
          <w:kern w:val="0"/>
          <w:sz w:val="24"/>
          <w:szCs w:val="24"/>
        </w:rPr>
        <w:t>划款指令的发送</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划款指令以</w:t>
      </w:r>
      <w:permStart w:id="7" w:edGrp="everyone"/>
      <w:r>
        <w:rPr>
          <w:rFonts w:hint="eastAsia" w:ascii="宋体" w:hAnsi="宋体" w:cs="宋体"/>
          <w:kern w:val="0"/>
          <w:sz w:val="24"/>
          <w:szCs w:val="24"/>
          <w:u w:val="single"/>
        </w:rPr>
        <w:t>邮件</w:t>
      </w:r>
      <w:permEnd w:id="7"/>
      <w:r>
        <w:rPr>
          <w:rFonts w:hint="eastAsia" w:ascii="宋体" w:hAnsi="宋体" w:cs="宋体"/>
          <w:kern w:val="0"/>
          <w:sz w:val="24"/>
          <w:szCs w:val="24"/>
          <w:u w:val="single"/>
        </w:rPr>
        <w:t>（</w:t>
      </w:r>
      <w:r>
        <w:rPr>
          <w:rFonts w:hint="eastAsia" w:ascii="宋体" w:hAnsi="宋体" w:cs="宋体"/>
          <w:kern w:val="0"/>
          <w:sz w:val="24"/>
          <w:szCs w:val="24"/>
        </w:rPr>
        <w:t>传真/邮件）方式向托管人发送，同时管理人通过电话进行确认，对涉及交易的行使依据须一同</w:t>
      </w:r>
      <w:permStart w:id="8" w:edGrp="everyone"/>
      <w:r>
        <w:rPr>
          <w:rFonts w:hint="eastAsia" w:ascii="宋体" w:hAnsi="宋体" w:cs="宋体"/>
          <w:kern w:val="0"/>
          <w:sz w:val="24"/>
          <w:szCs w:val="24"/>
          <w:u w:val="single"/>
        </w:rPr>
        <w:t>邮件</w:t>
      </w:r>
      <w:permEnd w:id="8"/>
      <w:r>
        <w:rPr>
          <w:rFonts w:hint="eastAsia" w:ascii="宋体" w:hAnsi="宋体" w:cs="宋体"/>
          <w:kern w:val="0"/>
          <w:sz w:val="24"/>
          <w:szCs w:val="24"/>
          <w:u w:val="single"/>
        </w:rPr>
        <w:t>（</w:t>
      </w:r>
      <w:r>
        <w:rPr>
          <w:rFonts w:hint="eastAsia" w:ascii="宋体" w:hAnsi="宋体" w:cs="宋体"/>
          <w:kern w:val="0"/>
          <w:sz w:val="24"/>
          <w:szCs w:val="24"/>
        </w:rPr>
        <w:t>传真/邮件）至托管人。因管理人未能及时与托管人进行指令确认，致使资金未能及时到账所造成的损失托管人不承担任何形式的责任。传真/邮件以传真/邮件发送成功并经管理人电话确认托管人收到之时视为送达托管人。</w:t>
      </w:r>
    </w:p>
    <w:p>
      <w:pPr>
        <w:autoSpaceDE w:val="0"/>
        <w:autoSpaceDN w:val="0"/>
        <w:adjustRightInd w:val="0"/>
        <w:spacing w:line="440" w:lineRule="exact"/>
        <w:ind w:firstLine="424" w:firstLineChars="177"/>
        <w:rPr>
          <w:rFonts w:ascii="宋体" w:hAnsi="宋体"/>
          <w:kern w:val="0"/>
          <w:sz w:val="24"/>
          <w:szCs w:val="24"/>
          <w:u w:val="single"/>
        </w:rPr>
      </w:pPr>
      <w:r>
        <w:rPr>
          <w:rFonts w:hint="eastAsia" w:ascii="宋体" w:hAnsi="宋体" w:cs="宋体"/>
          <w:kern w:val="0"/>
          <w:sz w:val="24"/>
          <w:szCs w:val="24"/>
        </w:rPr>
        <w:t>管理人在发送指令时，应为托管人留出执行指令所必需的时间。管理人应于</w:t>
      </w:r>
      <w:r>
        <w:rPr>
          <w:rFonts w:hint="eastAsia" w:ascii="宋体" w:hAnsi="宋体" w:cs="宋体"/>
          <w:b/>
          <w:kern w:val="0"/>
          <w:sz w:val="24"/>
          <w:szCs w:val="24"/>
        </w:rPr>
        <w:t>资金划款日前一个工作日或资金划款当日15:00时之前</w:t>
      </w:r>
      <w:r>
        <w:rPr>
          <w:rFonts w:hint="eastAsia" w:ascii="宋体" w:hAnsi="宋体" w:cs="宋体"/>
          <w:kern w:val="0"/>
          <w:sz w:val="24"/>
          <w:szCs w:val="24"/>
        </w:rPr>
        <w:t>以</w:t>
      </w:r>
      <w:permStart w:id="9" w:edGrp="everyone"/>
      <w:r>
        <w:rPr>
          <w:rFonts w:hint="eastAsia" w:ascii="宋体" w:hAnsi="宋体" w:cs="宋体"/>
          <w:kern w:val="0"/>
          <w:sz w:val="24"/>
          <w:szCs w:val="24"/>
          <w:u w:val="single"/>
        </w:rPr>
        <w:t>邮件</w:t>
      </w:r>
      <w:permEnd w:id="9"/>
      <w:r>
        <w:rPr>
          <w:rFonts w:hint="eastAsia" w:ascii="宋体" w:hAnsi="宋体" w:cs="宋体"/>
          <w:kern w:val="0"/>
          <w:sz w:val="24"/>
          <w:szCs w:val="24"/>
          <w:u w:val="single"/>
        </w:rPr>
        <w:t>（</w:t>
      </w:r>
      <w:r>
        <w:rPr>
          <w:rFonts w:hint="eastAsia" w:ascii="宋体" w:hAnsi="宋体" w:cs="宋体"/>
          <w:kern w:val="0"/>
          <w:sz w:val="24"/>
          <w:szCs w:val="24"/>
        </w:rPr>
        <w:t>传真/邮件）方式向托管人送达划款指令（格式见附件1-7），</w:t>
      </w:r>
      <w:bookmarkStart w:id="7" w:name="OLE_LINK4"/>
      <w:bookmarkStart w:id="8" w:name="OLE_LINK3"/>
      <w:r>
        <w:rPr>
          <w:rFonts w:hint="eastAsia" w:ascii="宋体" w:hAnsi="宋体" w:cs="宋体"/>
          <w:kern w:val="0"/>
          <w:sz w:val="24"/>
          <w:szCs w:val="24"/>
        </w:rPr>
        <w:t>对于有指定到账时点的划款指令，管理人应在</w:t>
      </w:r>
      <w:r>
        <w:rPr>
          <w:rFonts w:hint="eastAsia" w:ascii="宋体" w:hAnsi="宋体" w:cs="宋体"/>
          <w:b/>
          <w:kern w:val="0"/>
          <w:sz w:val="24"/>
          <w:szCs w:val="24"/>
        </w:rPr>
        <w:t>要求到账时点前2个工作小时发送</w:t>
      </w:r>
      <w:r>
        <w:rPr>
          <w:rFonts w:hint="eastAsia" w:ascii="宋体" w:hAnsi="宋体" w:cs="宋体"/>
          <w:kern w:val="0"/>
          <w:sz w:val="24"/>
          <w:szCs w:val="24"/>
        </w:rPr>
        <w:t>。由于管理人原因造成的指令传输不及时、未能留出足够划款所需时间，致使资金未能及时到账所造成的损失由管理人承担。</w:t>
      </w:r>
      <w:bookmarkEnd w:id="7"/>
      <w:bookmarkEnd w:id="8"/>
      <w:r>
        <w:rPr>
          <w:rFonts w:hint="eastAsia" w:ascii="宋体" w:hAnsi="宋体"/>
          <w:kern w:val="0"/>
          <w:sz w:val="24"/>
          <w:szCs w:val="24"/>
        </w:rPr>
        <w:t>划款指令应由相关被授权人签字并加盖与划款指令授权通知书（格式见附件1-5）中预留印鉴完全一致的印章和签字。托管人复核表面一致性无误后，执行划款指令。划款指令</w:t>
      </w:r>
      <w:permStart w:id="10" w:edGrp="everyone"/>
      <w:r>
        <w:rPr>
          <w:rFonts w:hint="eastAsia" w:ascii="宋体" w:hAnsi="宋体"/>
          <w:kern w:val="0"/>
          <w:sz w:val="24"/>
          <w:szCs w:val="24"/>
          <w:u w:val="single"/>
        </w:rPr>
        <w:t>邮件</w:t>
      </w:r>
      <w:permEnd w:id="10"/>
      <w:r>
        <w:rPr>
          <w:rFonts w:hint="eastAsia" w:ascii="宋体" w:hAnsi="宋体"/>
          <w:kern w:val="0"/>
          <w:sz w:val="24"/>
          <w:szCs w:val="24"/>
          <w:u w:val="single"/>
        </w:rPr>
        <w:t>（</w:t>
      </w:r>
      <w:r>
        <w:rPr>
          <w:rFonts w:hint="eastAsia" w:ascii="宋体" w:hAnsi="宋体"/>
          <w:kern w:val="0"/>
          <w:sz w:val="24"/>
          <w:szCs w:val="24"/>
        </w:rPr>
        <w:t>传真</w:t>
      </w:r>
      <w:r>
        <w:rPr>
          <w:rFonts w:hint="eastAsia" w:ascii="宋体" w:hAnsi="宋体" w:cs="宋体"/>
          <w:kern w:val="0"/>
          <w:sz w:val="24"/>
          <w:szCs w:val="24"/>
        </w:rPr>
        <w:t>/邮件）</w:t>
      </w:r>
      <w:r>
        <w:rPr>
          <w:rFonts w:hint="eastAsia" w:ascii="宋体" w:hAnsi="宋体"/>
          <w:kern w:val="0"/>
          <w:sz w:val="24"/>
          <w:szCs w:val="24"/>
        </w:rPr>
        <w:t>至</w:t>
      </w:r>
      <w:r>
        <w:fldChar w:fldCharType="begin"/>
      </w:r>
      <w:r>
        <w:instrText xml:space="preserve"> HYPERLINK "mailto:zctg_zlfa@grcbank.com" </w:instrText>
      </w:r>
      <w:r>
        <w:fldChar w:fldCharType="end"/>
      </w:r>
      <w:r>
        <w:rPr>
          <w:rFonts w:hint="eastAsia" w:ascii="宋体" w:hAnsi="宋体"/>
          <w:kern w:val="0"/>
          <w:sz w:val="24"/>
          <w:szCs w:val="24"/>
        </w:rPr>
        <w:t>附件1-</w:t>
      </w:r>
      <w:r>
        <w:rPr>
          <w:rFonts w:ascii="宋体" w:hAnsi="宋体"/>
          <w:kern w:val="0"/>
          <w:sz w:val="24"/>
          <w:szCs w:val="24"/>
        </w:rPr>
        <w:t>6</w:t>
      </w:r>
      <w:r>
        <w:rPr>
          <w:rFonts w:hint="eastAsia" w:ascii="宋体" w:hAnsi="宋体"/>
          <w:kern w:val="0"/>
          <w:sz w:val="24"/>
          <w:szCs w:val="24"/>
        </w:rPr>
        <w:t>中提供邮箱地址。</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管理人应按照理财产品协议和本协议等理财产品协议的约定发送划款指令</w:t>
      </w:r>
      <w:r>
        <w:rPr>
          <w:rFonts w:hint="eastAsia" w:ascii="宋体" w:hAnsi="宋体" w:cs="Arial"/>
          <w:kern w:val="0"/>
          <w:sz w:val="24"/>
          <w:szCs w:val="24"/>
        </w:rPr>
        <w:t xml:space="preserve">, </w:t>
      </w:r>
      <w:r>
        <w:rPr>
          <w:rFonts w:hint="eastAsia" w:ascii="宋体" w:hAnsi="宋体" w:cs="宋体"/>
          <w:kern w:val="0"/>
          <w:sz w:val="24"/>
          <w:szCs w:val="24"/>
        </w:rPr>
        <w:t>指令签发人员应按照其授权权限发送划款指令。管理人保留划款指令原件，托管人保留划款指令传真件/邮件。划款指令原件应与传真件/邮件内容一致，若有不一致的，以传真件/邮件的内容为准。</w:t>
      </w:r>
    </w:p>
    <w:p>
      <w:pPr>
        <w:numPr>
          <w:ilvl w:val="0"/>
          <w:numId w:val="19"/>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划款指令的确认</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kern w:val="0"/>
          <w:sz w:val="24"/>
          <w:szCs w:val="24"/>
        </w:rPr>
        <w:t>划款</w:t>
      </w:r>
      <w:r>
        <w:rPr>
          <w:rFonts w:hint="eastAsia" w:ascii="宋体" w:hAnsi="宋体" w:cs="宋体"/>
          <w:kern w:val="0"/>
          <w:sz w:val="24"/>
          <w:szCs w:val="24"/>
        </w:rPr>
        <w:t>指令传真件/邮件到达托管人后，托管人应验证指令的要素是否齐全，印鉴及被授权人签字或印章与划款指令授权通知书内容表面</w:t>
      </w:r>
      <w:r>
        <w:rPr>
          <w:rFonts w:ascii="宋体" w:hAnsi="宋体" w:cs="宋体"/>
          <w:kern w:val="0"/>
          <w:sz w:val="24"/>
          <w:szCs w:val="24"/>
        </w:rPr>
        <w:t>一致性</w:t>
      </w:r>
      <w:r>
        <w:rPr>
          <w:rFonts w:hint="eastAsia" w:ascii="宋体" w:hAnsi="宋体" w:cs="宋体"/>
          <w:kern w:val="0"/>
          <w:sz w:val="24"/>
          <w:szCs w:val="24"/>
        </w:rPr>
        <w:t>是否相符，并根据理财产品协议及本协议的有关规定对指令的款项金额、对应理财产品的名称与期数、收款账户信息进行验证，如有疑问，托管人应及时通知管理人。若收款账户信息与相关文件列明的账户信息不符，托管人有权拒绝执行该划款指令，并及时通知管理人。</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若划款指令经托管人审核发现指令不清楚或不完整，托管人应将此情况尽快通知管理人，管理人对指令进行修正或者修订。这种情况下，托管人没有义务对不清楚或不完整的指令采取行动且不承担任何责任，直到管理人将修正或修订好的指令发送过来为止。</w:t>
      </w:r>
    </w:p>
    <w:p>
      <w:pPr>
        <w:numPr>
          <w:ilvl w:val="0"/>
          <w:numId w:val="19"/>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划款指令的执行</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托管人依照上述方法确认划款指令有效后，应及时执行划款指令。若由于托管人拒绝或者拖延执行，给理财资产或者投资者造成损失的，托管人承担直接损失的赔偿责任。若托管人发现管理人的划款指令违法、违规、违约的，拒绝执行并应提示管理人要求其更正。</w:t>
      </w:r>
    </w:p>
    <w:p>
      <w:pPr>
        <w:autoSpaceDE w:val="0"/>
        <w:autoSpaceDN w:val="0"/>
        <w:adjustRightInd w:val="0"/>
        <w:spacing w:line="440" w:lineRule="exact"/>
        <w:ind w:firstLine="424" w:firstLineChars="177"/>
        <w:rPr>
          <w:rFonts w:ascii="宋体" w:hAnsi="宋体" w:cs="宋体"/>
          <w:kern w:val="0"/>
          <w:sz w:val="24"/>
          <w:szCs w:val="24"/>
        </w:rPr>
      </w:pPr>
      <w:r>
        <w:rPr>
          <w:rFonts w:hint="eastAsia" w:ascii="宋体" w:hAnsi="宋体" w:cs="宋体"/>
          <w:kern w:val="0"/>
          <w:sz w:val="24"/>
          <w:szCs w:val="24"/>
        </w:rPr>
        <w:t>托管人仅在托管人和相关金融市场对外营业的银行营业日的相关截止时间内，按照指令执行，执行后将处理结果</w:t>
      </w:r>
      <w:r>
        <w:rPr>
          <w:rFonts w:hint="eastAsia" w:ascii="宋体" w:hAnsi="宋体" w:cs="Arial"/>
          <w:kern w:val="0"/>
          <w:sz w:val="24"/>
          <w:szCs w:val="24"/>
        </w:rPr>
        <w:t>以双方约定的形式</w:t>
      </w:r>
      <w:r>
        <w:rPr>
          <w:rFonts w:hint="eastAsia" w:ascii="宋体" w:hAnsi="宋体" w:cs="宋体"/>
          <w:kern w:val="0"/>
          <w:sz w:val="24"/>
          <w:szCs w:val="24"/>
        </w:rPr>
        <w:t>通知管理人。</w:t>
      </w:r>
    </w:p>
    <w:p>
      <w:pPr>
        <w:numPr>
          <w:ilvl w:val="0"/>
          <w:numId w:val="16"/>
        </w:numPr>
        <w:autoSpaceDE w:val="0"/>
        <w:autoSpaceDN w:val="0"/>
        <w:adjustRightInd w:val="0"/>
        <w:spacing w:line="440" w:lineRule="exact"/>
        <w:ind w:left="0" w:firstLine="424" w:firstLineChars="176"/>
        <w:rPr>
          <w:rFonts w:ascii="宋体" w:hAnsi="宋体" w:cs="Arial"/>
          <w:b/>
          <w:kern w:val="0"/>
          <w:sz w:val="24"/>
          <w:szCs w:val="24"/>
        </w:rPr>
      </w:pPr>
      <w:r>
        <w:rPr>
          <w:rFonts w:hint="eastAsia" w:ascii="宋体" w:hAnsi="宋体" w:cs="宋体"/>
          <w:b/>
          <w:kern w:val="0"/>
          <w:sz w:val="24"/>
          <w:szCs w:val="24"/>
        </w:rPr>
        <w:t>其它事项</w:t>
      </w:r>
    </w:p>
    <w:p>
      <w:pPr>
        <w:numPr>
          <w:ilvl w:val="0"/>
          <w:numId w:val="2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管理人向托管人下达划款指令时，应确保托管账户有足够的资金余额，并应符合本协议约定的划款指令提交时间，对于账户余额不足、资金交收时间过紧的交易指令，托管人可不予执行，但应及时通知管理人，托管人不承担因未执行该指令造成的损失。托管人对执行管理人的合法指令对理财资产造成的损失不承担赔偿责任。</w:t>
      </w:r>
    </w:p>
    <w:p>
      <w:pPr>
        <w:numPr>
          <w:ilvl w:val="0"/>
          <w:numId w:val="2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若托管人或管理人的传真机号码、专用邮箱或者地址发生变化，则改变方需提前三个工作日电话并书面通知对方。</w:t>
      </w:r>
    </w:p>
    <w:p>
      <w:pPr>
        <w:numPr>
          <w:ilvl w:val="0"/>
          <w:numId w:val="20"/>
        </w:numPr>
        <w:autoSpaceDE w:val="0"/>
        <w:autoSpaceDN w:val="0"/>
        <w:adjustRightInd w:val="0"/>
        <w:spacing w:line="440" w:lineRule="exact"/>
        <w:ind w:left="0" w:firstLine="424" w:firstLineChars="177"/>
        <w:rPr>
          <w:rFonts w:ascii="宋体" w:hAnsi="宋体" w:cs="宋体"/>
          <w:kern w:val="0"/>
          <w:sz w:val="24"/>
          <w:szCs w:val="24"/>
        </w:rPr>
      </w:pPr>
      <w:r>
        <w:rPr>
          <w:rFonts w:hint="eastAsia" w:ascii="宋体" w:hAnsi="宋体" w:cs="宋体"/>
          <w:kern w:val="0"/>
          <w:sz w:val="24"/>
          <w:szCs w:val="24"/>
        </w:rPr>
        <w:t>托管人因正确执行管理人的指令对理财资产造成的损失不承担任何赔偿责任。</w:t>
      </w:r>
    </w:p>
    <w:p>
      <w:pPr>
        <w:pStyle w:val="2"/>
        <w:tabs>
          <w:tab w:val="left" w:pos="0"/>
          <w:tab w:val="left" w:pos="993"/>
          <w:tab w:val="clear" w:pos="4266"/>
        </w:tabs>
        <w:spacing w:before="156" w:beforeLines="50" w:after="156" w:afterLines="50" w:line="440" w:lineRule="exact"/>
        <w:ind w:left="0" w:firstLine="0"/>
        <w:rPr>
          <w:sz w:val="24"/>
          <w:szCs w:val="24"/>
        </w:rPr>
      </w:pPr>
      <w:bookmarkStart w:id="9" w:name="_Toc393827606"/>
      <w:r>
        <w:rPr>
          <w:rFonts w:hint="eastAsia"/>
          <w:sz w:val="24"/>
          <w:szCs w:val="24"/>
        </w:rPr>
        <w:t>会计核算与资产估值</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（一）托管人与管理人协商一致，以每只理财产品名义对本理财产品财产单独建账、单独核算、单独管理，并指定专门人员负责本理财产品财产会计核算与账册保管。</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（二）管理人及托管人双方根据本合同约定的估值方法每日分别对理财产品上一工作日的净值进行估值，每工作日对上一工作日的净值进行核对。</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（三）本理财产品净值保留至小数点后第2位，小数点后第3位四舍五入；理财产品份额净值保留至小数点后第3位，小数点后第4位四舍五入。</w:t>
      </w:r>
    </w:p>
    <w:p>
      <w:pPr>
        <w:spacing w:line="360" w:lineRule="auto"/>
        <w:ind w:firstLine="540"/>
        <w:rPr>
          <w:rFonts w:ascii="宋体" w:hAnsi="宋体" w:cs="宋体"/>
          <w:kern w:val="0"/>
          <w:sz w:val="24"/>
          <w:szCs w:val="24"/>
        </w:rPr>
      </w:pPr>
      <w:r>
        <w:rPr>
          <w:rFonts w:hint="eastAsia" w:ascii="宋体" w:hAnsi="宋体" w:cs="宋体"/>
          <w:kern w:val="0"/>
          <w:sz w:val="24"/>
          <w:szCs w:val="24"/>
        </w:rPr>
        <w:t>（四）估值方法：</w:t>
      </w:r>
    </w:p>
    <w:p>
      <w:pPr>
        <w:spacing w:line="360" w:lineRule="auto"/>
        <w:ind w:right="105" w:rightChars="50" w:firstLine="567"/>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、估值方式：</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（1）银行存款，以成本列示，按商定利率在实际持有期间内逐日计提利息。</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（2）货币市场基金，以基金公布的前一日收益计提。</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（3）开放式基金，以估值日前一日基金净值估值，该日无交易的，以最近一日基金净值计算。</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4）全国银行间债券市场、证券交易所交易的国债、央票、政策性金融债、企业债、公司债、中期票据、短融、超短融、同业存单、商业银行金融债、商业银行二级资本债、PPN、债项评级在AA+以上的企业资产支持证券优先级等有价证券采用摊余成本法进行估值。</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（5）持有的回购协议以成本列示，按商定利率在实际持有期间内逐日计提利息。</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（6）非标准化债权类资产以成本列示，按商定利率在实际持有期间内逐日计提利息。</w:t>
      </w:r>
    </w:p>
    <w:p>
      <w:pPr>
        <w:autoSpaceDE w:val="0"/>
        <w:autoSpaceDN w:val="0"/>
        <w:adjustRightInd w:val="0"/>
        <w:spacing w:line="360" w:lineRule="auto"/>
        <w:ind w:left="105" w:leftChars="50" w:right="105" w:rightChars="50" w:firstLine="360" w:firstLineChars="150"/>
        <w:jc w:val="left"/>
        <w:rPr>
          <w:rFonts w:ascii="宋体" w:hAnsi="宋体" w:cs="宋体"/>
          <w:kern w:val="0"/>
          <w:sz w:val="24"/>
          <w:szCs w:val="24"/>
        </w:rPr>
      </w:pPr>
      <w:r>
        <w:rPr>
          <w:rFonts w:hint="eastAsia" w:ascii="宋体" w:hAnsi="宋体" w:cs="宋体"/>
          <w:kern w:val="0"/>
          <w:sz w:val="24"/>
          <w:szCs w:val="24"/>
        </w:rPr>
        <w:t>（7）金融机构发行的证券投资类信托产品或资产管理计划，按每单元单独估值，T日单元总值＝∑（T日本单元项下金融产品i的份额净值×该日本单元项下对应的金融产品i的总份数）；T日单元的份额净值=∑（T日单元项下金融产品i的份额净值×该日单元项下对应的金融产品i的总份数）÷∑T日本单元项下金融产品i份额数。</w:t>
      </w:r>
    </w:p>
    <w:p>
      <w:pPr>
        <w:spacing w:line="360" w:lineRule="auto"/>
        <w:ind w:firstLine="540"/>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2</w:t>
      </w:r>
      <w:r>
        <w:rPr>
          <w:rFonts w:hint="eastAsia" w:ascii="宋体" w:hAnsi="宋体" w:cs="宋体"/>
          <w:kern w:val="0"/>
          <w:sz w:val="24"/>
          <w:szCs w:val="24"/>
        </w:rPr>
        <w:t>. 如有确凿证据表明按上述方法进行估值不能客观反映其公允价值的，管理人可根据具体情况与托管人商定后，按最能反映公允价值的价格估值。</w:t>
      </w:r>
    </w:p>
    <w:p>
      <w:pPr>
        <w:spacing w:line="360" w:lineRule="auto"/>
        <w:ind w:firstLine="54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 如有新增事项或变更事项，按有关法律法规的规定进行计算；没有规定的，由管理人与托管人协商确定计算方法。</w:t>
      </w:r>
    </w:p>
    <w:p>
      <w:pPr>
        <w:spacing w:line="360" w:lineRule="auto"/>
        <w:ind w:firstLine="540"/>
        <w:rPr>
          <w:rFonts w:ascii="宋体" w:hAnsi="宋体" w:cs="宋体"/>
          <w:kern w:val="0"/>
          <w:sz w:val="24"/>
          <w:szCs w:val="24"/>
        </w:rPr>
      </w:pPr>
      <w:r>
        <w:rPr>
          <w:rFonts w:hint="eastAsia" w:ascii="宋体" w:hAnsi="宋体" w:cs="宋体"/>
          <w:kern w:val="0"/>
          <w:sz w:val="24"/>
          <w:szCs w:val="24"/>
        </w:rPr>
        <w:t>4. 相关法律法规以及监管部门有规定的，从其规定；如有最新规定，按最新规定估值。</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（五）估值程序</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理财产品的日常估值由管理人进行，由托管人根据自身独立的估值结果进行复核。用于公开披露的理财产品净值由管理人完成估值后，将估值结果以书面形式报送托管人，托管人进行复核并于收到管理人估值结果当日在上述文件上加盖公章确认并扫描邮件给管理人。托管人如对管理人的估值结果有异议的，托管人应及时通知管理人并协商解决。双方不能达成一致的，由管理人对估值结果最终确认并予以公布。由于估值错误给投资者或理财资产造成的损失，由管理人承担全部责任。</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（六）管理人应在月初2个工作日内，制作本理财产品持有资产的清单，加盖管理人公章或经授权的业务专用章后提供给托管人。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（七）管理人为本理财产品的会计责任人。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（八）估值差错处理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如管理人或托管人发现资产估值违反本合同约定的估值方法、程序及相关法律法规的规定或者未能充分维护投资者利益时，应立即通知对方，共同查明原因，协商解决。</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根据有关法律法规，本委托资产的会计责任方由管理人担任。就与本资产有关的会计问题，须经相关各方在平等基础上充分讨论后，达成一致意见。充分讨论后，仍无法达成一致意见，以管理人的意见为准。</w:t>
      </w:r>
    </w:p>
    <w:p>
      <w:pPr>
        <w:spacing w:line="440" w:lineRule="exact"/>
        <w:ind w:firstLine="420"/>
      </w:pPr>
      <w:r>
        <w:rPr>
          <w:rFonts w:hint="eastAsia" w:ascii="宋体" w:hAnsi="宋体" w:cs="宋体"/>
          <w:kern w:val="0"/>
          <w:sz w:val="24"/>
          <w:szCs w:val="24"/>
        </w:rPr>
        <w:t>当委托资产估值出现错误时，管理人和托管人应当立即予以纠正，并采取合理的措施防止损失进一步扩大。</w:t>
      </w:r>
    </w:p>
    <w:p>
      <w:pPr>
        <w:pStyle w:val="2"/>
        <w:tabs>
          <w:tab w:val="left" w:pos="0"/>
          <w:tab w:val="left" w:pos="993"/>
          <w:tab w:val="clear" w:pos="4266"/>
        </w:tabs>
        <w:spacing w:before="156" w:beforeLines="50" w:after="156" w:afterLines="50" w:line="440" w:lineRule="exact"/>
        <w:ind w:left="0" w:firstLine="0"/>
        <w:rPr>
          <w:sz w:val="24"/>
          <w:szCs w:val="24"/>
        </w:rPr>
      </w:pPr>
      <w:r>
        <w:rPr>
          <w:rFonts w:hint="eastAsia"/>
          <w:sz w:val="24"/>
          <w:szCs w:val="24"/>
        </w:rPr>
        <w:t>理财资金的会计核算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（一）会计政策</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1、本项委托资产的会计年度为每年1月1日至12月31日。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2、记账本位币为人民币，记账单位为元。</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3、管理人为本委托资产的主要会计责任方。</w:t>
      </w:r>
    </w:p>
    <w:p>
      <w:pPr>
        <w:spacing w:before="156" w:beforeLines="50" w:line="360" w:lineRule="auto"/>
        <w:ind w:firstLine="480" w:firstLineChars="200"/>
        <w:rPr>
          <w:rFonts w:ascii="宋体" w:hAnsi="宋体" w:cs="宋体"/>
          <w:kern w:val="0"/>
          <w:sz w:val="24"/>
          <w:szCs w:val="24"/>
        </w:rPr>
      </w:pPr>
      <w:r>
        <w:rPr>
          <w:rFonts w:hint="eastAsia" w:ascii="宋体" w:hAnsi="宋体" w:cs="宋体"/>
          <w:kern w:val="0"/>
          <w:sz w:val="24"/>
          <w:szCs w:val="24"/>
        </w:rPr>
        <w:t>（二）会计核算方法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1、管理人、托管人应根据有关法律法规，对委托资产单独建账、独立核算。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2、管理人、托管人应保留完整的会计账目、凭证并进行日常的会计核算，编制会计报表。</w:t>
      </w:r>
    </w:p>
    <w:p>
      <w:pPr>
        <w:ind w:firstLine="420"/>
        <w:rPr>
          <w:rFonts w:ascii="宋体" w:hAnsi="宋体" w:cs="宋体"/>
          <w:kern w:val="0"/>
          <w:sz w:val="24"/>
          <w:szCs w:val="24"/>
        </w:rPr>
      </w:pPr>
      <w:r>
        <w:rPr>
          <w:rFonts w:hint="eastAsia" w:ascii="宋体" w:hAnsi="宋体" w:cs="宋体"/>
          <w:kern w:val="0"/>
          <w:sz w:val="24"/>
          <w:szCs w:val="24"/>
        </w:rPr>
        <w:t>3、托管人应定期与管理人就委托资产的会计核算、报表编制等进行核对。</w:t>
      </w:r>
    </w:p>
    <w:p>
      <w:pPr>
        <w:pStyle w:val="2"/>
        <w:tabs>
          <w:tab w:val="left" w:pos="0"/>
          <w:tab w:val="left" w:pos="993"/>
          <w:tab w:val="clear" w:pos="4266"/>
        </w:tabs>
        <w:spacing w:before="156" w:beforeLines="50" w:after="156" w:afterLines="50" w:line="440" w:lineRule="exact"/>
        <w:ind w:left="0" w:firstLine="0"/>
        <w:rPr>
          <w:rFonts w:ascii="仿宋_GB2312" w:eastAsia="仿宋_GB2312"/>
          <w:sz w:val="28"/>
          <w:szCs w:val="28"/>
        </w:rPr>
      </w:pPr>
      <w:r>
        <w:rPr>
          <w:rFonts w:hint="eastAsia" w:cs="宋体"/>
          <w:sz w:val="24"/>
          <w:szCs w:val="24"/>
        </w:rPr>
        <w:t xml:space="preserve"> </w:t>
      </w:r>
      <w:r>
        <w:rPr>
          <w:rFonts w:hint="eastAsia"/>
          <w:sz w:val="24"/>
          <w:szCs w:val="24"/>
        </w:rPr>
        <w:t>清算及交收</w:t>
      </w:r>
    </w:p>
    <w:p>
      <w:pPr>
        <w:pStyle w:val="50"/>
        <w:numPr>
          <w:ilvl w:val="0"/>
          <w:numId w:val="21"/>
        </w:numPr>
        <w:spacing w:line="360" w:lineRule="auto"/>
        <w:ind w:firstLineChars="0"/>
        <w:rPr>
          <w:rFonts w:ascii="宋体" w:hAnsi="宋体" w:cs="宋体"/>
          <w:kern w:val="0"/>
          <w:sz w:val="24"/>
          <w:szCs w:val="24"/>
        </w:rPr>
      </w:pPr>
      <w:r>
        <w:rPr>
          <w:rFonts w:hint="eastAsia" w:ascii="宋体" w:hAnsi="宋体" w:cs="宋体"/>
          <w:kern w:val="0"/>
          <w:sz w:val="24"/>
          <w:szCs w:val="24"/>
        </w:rPr>
        <w:t>场内（交易所）交易的资金清算交收安排</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管理人负责选择代理本理财在交易所内进行证券买卖的证券经纪商，并与托管人及证券经纪商另行签订相关协议，明确三方在本</w:t>
      </w:r>
      <w:r>
        <w:rPr>
          <w:rFonts w:hint="eastAsia" w:ascii="宋体" w:hAnsi="宋体" w:cs="宋体"/>
          <w:kern w:val="0"/>
          <w:sz w:val="24"/>
          <w:szCs w:val="24"/>
          <w:lang w:eastAsia="zh-CN"/>
        </w:rPr>
        <w:t>理财</w:t>
      </w:r>
      <w:r>
        <w:rPr>
          <w:rFonts w:hint="eastAsia" w:ascii="宋体" w:hAnsi="宋体" w:cs="宋体"/>
          <w:kern w:val="0"/>
          <w:sz w:val="24"/>
          <w:szCs w:val="24"/>
        </w:rPr>
        <w:t>证券买卖的过程，即在交易所进行的各类证券交易、证券交收及相关证券交易的资金交收过程中的职责和义务，保障本</w:t>
      </w:r>
      <w:r>
        <w:rPr>
          <w:rFonts w:hint="eastAsia" w:ascii="宋体" w:hAnsi="宋体" w:cs="宋体"/>
          <w:kern w:val="0"/>
          <w:sz w:val="24"/>
          <w:szCs w:val="24"/>
          <w:lang w:eastAsia="zh-CN"/>
        </w:rPr>
        <w:t>理财</w:t>
      </w:r>
      <w:r>
        <w:rPr>
          <w:rFonts w:hint="eastAsia" w:ascii="宋体" w:hAnsi="宋体" w:cs="宋体"/>
          <w:kern w:val="0"/>
          <w:sz w:val="24"/>
          <w:szCs w:val="24"/>
        </w:rPr>
        <w:t>财产的安全。</w:t>
      </w:r>
    </w:p>
    <w:p>
      <w:pPr>
        <w:pStyle w:val="50"/>
        <w:numPr>
          <w:ilvl w:val="0"/>
          <w:numId w:val="21"/>
        </w:numPr>
        <w:spacing w:line="360" w:lineRule="auto"/>
        <w:ind w:firstLineChars="0"/>
        <w:rPr>
          <w:rFonts w:ascii="宋体" w:hAnsi="宋体" w:cs="宋体"/>
          <w:kern w:val="0"/>
          <w:sz w:val="24"/>
          <w:szCs w:val="24"/>
        </w:rPr>
      </w:pPr>
      <w:r>
        <w:rPr>
          <w:rFonts w:hint="eastAsia" w:ascii="宋体" w:hAnsi="宋体" w:cs="宋体"/>
          <w:kern w:val="0"/>
          <w:sz w:val="24"/>
          <w:szCs w:val="24"/>
        </w:rPr>
        <w:t>场外其他交易资金清算与交收</w:t>
      </w:r>
    </w:p>
    <w:p>
      <w:pPr>
        <w:pStyle w:val="4"/>
        <w:spacing w:line="360" w:lineRule="auto"/>
        <w:ind w:firstLine="480" w:firstLineChars="200"/>
        <w:rPr>
          <w:rFonts w:ascii="宋体" w:hAnsi="宋体" w:cs="宋体"/>
          <w:sz w:val="24"/>
        </w:rPr>
      </w:pPr>
      <w:r>
        <w:rPr>
          <w:rFonts w:hint="eastAsia" w:ascii="宋体" w:hAnsi="宋体" w:cs="宋体"/>
          <w:sz w:val="24"/>
        </w:rPr>
        <w:t>资金清算为场外投资的，托管人凭管理人指令和相关投资文件进行资金划拨。本理财可开通上清所与中债登的资金汇划，由管理人向托管人发送有效的划款指令，经托管人确认后执行。由于管理人要素不全导致资金未能及时成功划付所造成的损失，托管人不承担任何责任。具体资金划拨方式以双方通过签署补充协议的方式另行规定。</w:t>
      </w:r>
    </w:p>
    <w:p>
      <w:pPr>
        <w:pStyle w:val="50"/>
        <w:numPr>
          <w:ilvl w:val="0"/>
          <w:numId w:val="21"/>
        </w:numPr>
        <w:spacing w:line="360" w:lineRule="auto"/>
        <w:ind w:firstLineChars="0"/>
        <w:rPr>
          <w:rFonts w:ascii="宋体" w:hAnsi="宋体" w:cs="宋体"/>
          <w:kern w:val="0"/>
          <w:sz w:val="24"/>
          <w:szCs w:val="24"/>
        </w:rPr>
      </w:pPr>
      <w:r>
        <w:rPr>
          <w:rFonts w:hint="eastAsia" w:ascii="宋体" w:hAnsi="宋体" w:cs="宋体"/>
          <w:kern w:val="0"/>
          <w:sz w:val="24"/>
          <w:szCs w:val="24"/>
        </w:rPr>
        <w:t>其他资金清算与交收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资金清算为支付税费的，托管人审核付款用途符合本合同约定后，凭管理人指令和相关单据（若有）进行资金划拨。</w:t>
      </w:r>
    </w:p>
    <w:p>
      <w:pPr>
        <w:pStyle w:val="2"/>
        <w:tabs>
          <w:tab w:val="left" w:pos="0"/>
          <w:tab w:val="left" w:pos="993"/>
          <w:tab w:val="clear" w:pos="4266"/>
        </w:tabs>
        <w:spacing w:before="156" w:beforeLines="50" w:after="156" w:afterLines="50" w:line="440" w:lineRule="exact"/>
        <w:ind w:left="0" w:firstLine="0"/>
        <w:rPr>
          <w:sz w:val="24"/>
          <w:szCs w:val="24"/>
        </w:rPr>
      </w:pPr>
      <w:r>
        <w:rPr>
          <w:rFonts w:hint="eastAsia"/>
          <w:sz w:val="24"/>
          <w:szCs w:val="24"/>
        </w:rPr>
        <w:t xml:space="preserve">  费用及收益分配</w:t>
      </w:r>
      <w:bookmarkEnd w:id="9"/>
    </w:p>
    <w:p>
      <w:pPr>
        <w:numPr>
          <w:ilvl w:val="0"/>
          <w:numId w:val="22"/>
        </w:numPr>
        <w:autoSpaceDE w:val="0"/>
        <w:autoSpaceDN w:val="0"/>
        <w:adjustRightInd w:val="0"/>
        <w:spacing w:line="440" w:lineRule="exact"/>
        <w:ind w:left="0" w:firstLine="424" w:firstLineChars="177"/>
        <w:rPr>
          <w:rFonts w:ascii="宋体" w:hAnsi="宋体"/>
          <w:sz w:val="24"/>
          <w:szCs w:val="24"/>
        </w:rPr>
      </w:pPr>
      <w:r>
        <w:rPr>
          <w:rFonts w:hint="eastAsia" w:ascii="宋体" w:hAnsi="宋体"/>
          <w:sz w:val="24"/>
          <w:szCs w:val="24"/>
        </w:rPr>
        <w:t>理财产品的费用包括银行管理费、托管费以及其他各项依法支付的费用，理财产品的费用由理财资产承担，并具有优先受偿权。</w:t>
      </w:r>
    </w:p>
    <w:p>
      <w:pPr>
        <w:numPr>
          <w:ilvl w:val="0"/>
          <w:numId w:val="22"/>
        </w:numPr>
        <w:autoSpaceDE w:val="0"/>
        <w:autoSpaceDN w:val="0"/>
        <w:adjustRightInd w:val="0"/>
        <w:spacing w:line="440" w:lineRule="exact"/>
        <w:ind w:left="0" w:firstLine="424" w:firstLineChars="177"/>
        <w:rPr>
          <w:rFonts w:ascii="宋体" w:hAnsi="宋体"/>
          <w:sz w:val="24"/>
          <w:szCs w:val="24"/>
        </w:rPr>
      </w:pPr>
      <w:r>
        <w:rPr>
          <w:rFonts w:hint="eastAsia" w:ascii="宋体" w:hAnsi="宋体"/>
          <w:sz w:val="24"/>
          <w:szCs w:val="24"/>
        </w:rPr>
        <w:t>银行管理费</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银行管理费由管理人收取，并由理财资产</w:t>
      </w:r>
      <w:r>
        <w:rPr>
          <w:rFonts w:hint="eastAsia" w:ascii="宋体" w:hAnsi="宋体"/>
          <w:kern w:val="0"/>
          <w:sz w:val="24"/>
          <w:szCs w:val="24"/>
        </w:rPr>
        <w:t>承担</w:t>
      </w:r>
      <w:r>
        <w:rPr>
          <w:rFonts w:hint="eastAsia" w:ascii="宋体" w:hAnsi="宋体"/>
          <w:sz w:val="24"/>
          <w:szCs w:val="24"/>
        </w:rPr>
        <w:t>。</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管理人</w:t>
      </w:r>
      <w:r>
        <w:rPr>
          <w:rFonts w:hint="eastAsia" w:ascii="宋体" w:hAnsi="宋体"/>
          <w:kern w:val="0"/>
          <w:sz w:val="24"/>
          <w:szCs w:val="24"/>
        </w:rPr>
        <w:t>根据</w:t>
      </w:r>
      <w:r>
        <w:rPr>
          <w:rFonts w:hint="eastAsia" w:ascii="宋体" w:hAnsi="宋体"/>
          <w:sz w:val="24"/>
          <w:szCs w:val="24"/>
        </w:rPr>
        <w:t>理财产品相关文件确定理财产品的管理费的计提和收取方式，并通知托管人。</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管理费支付日由管理人出具管理费划付指令，托管人复核无误后在规定时间内将管理费划付至管理人指定银行账户。</w:t>
      </w:r>
    </w:p>
    <w:p>
      <w:pPr>
        <w:numPr>
          <w:ilvl w:val="0"/>
          <w:numId w:val="22"/>
        </w:numPr>
        <w:autoSpaceDE w:val="0"/>
        <w:autoSpaceDN w:val="0"/>
        <w:adjustRightInd w:val="0"/>
        <w:spacing w:line="440" w:lineRule="exact"/>
        <w:ind w:left="0" w:firstLine="424" w:firstLineChars="177"/>
        <w:rPr>
          <w:rFonts w:ascii="宋体" w:hAnsi="宋体"/>
          <w:sz w:val="24"/>
          <w:szCs w:val="24"/>
        </w:rPr>
      </w:pPr>
      <w:r>
        <w:rPr>
          <w:rFonts w:hint="eastAsia" w:ascii="宋体" w:hAnsi="宋体"/>
          <w:sz w:val="24"/>
          <w:szCs w:val="24"/>
        </w:rPr>
        <w:t>托管费</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托管费由理财资产承担。托管费率（年化）为</w:t>
      </w:r>
      <w:r>
        <w:rPr>
          <w:rFonts w:hint="eastAsia" w:ascii="宋体" w:hAnsi="宋体" w:cs="宋体"/>
          <w:sz w:val="24"/>
          <w:szCs w:val="24"/>
          <w:u w:val="single"/>
        </w:rPr>
        <w:fldChar w:fldCharType="begin">
          <w:ffData>
            <w:name w:val="Text1"/>
            <w:enabled/>
            <w:calcOnExit w:val="0"/>
            <w:textInput>
              <w:default w:val="0.02"/>
            </w:textInput>
          </w:ffData>
        </w:fldChar>
      </w:r>
      <w:r>
        <w:rPr>
          <w:rFonts w:hint="eastAsia" w:ascii="宋体" w:hAnsi="宋体" w:cs="宋体"/>
          <w:sz w:val="24"/>
          <w:szCs w:val="24"/>
          <w:u w:val="single"/>
        </w:rPr>
        <w:instrText xml:space="preserve">FORMTEXT</w:instrText>
      </w:r>
      <w:r>
        <w:rPr>
          <w:rFonts w:hint="eastAsia" w:ascii="宋体" w:hAnsi="宋体" w:cs="宋体"/>
          <w:sz w:val="24"/>
          <w:szCs w:val="24"/>
          <w:u w:val="single"/>
        </w:rPr>
        <w:fldChar w:fldCharType="separate"/>
      </w:r>
      <w:r>
        <w:rPr>
          <w:rFonts w:hint="eastAsia" w:ascii="宋体" w:hAnsi="宋体" w:cs="宋体"/>
          <w:sz w:val="24"/>
          <w:szCs w:val="24"/>
          <w:u w:val="single"/>
        </w:rPr>
        <w:t>0.02</w:t>
      </w:r>
      <w:r>
        <w:rPr>
          <w:rFonts w:hint="eastAsia" w:ascii="宋体" w:hAnsi="宋体" w:cs="宋体"/>
          <w:sz w:val="24"/>
          <w:szCs w:val="24"/>
          <w:u w:val="single"/>
        </w:rPr>
        <w:fldChar w:fldCharType="end"/>
      </w:r>
      <w:r>
        <w:rPr>
          <w:rFonts w:hint="eastAsia" w:ascii="宋体" w:hAnsi="宋体"/>
          <w:sz w:val="24"/>
          <w:szCs w:val="24"/>
          <w:u w:val="single"/>
        </w:rPr>
        <w:t>%</w:t>
      </w:r>
      <w:r>
        <w:rPr>
          <w:rFonts w:hint="eastAsia" w:ascii="宋体" w:hAnsi="宋体"/>
          <w:sz w:val="24"/>
          <w:szCs w:val="24"/>
        </w:rPr>
        <w:t>。</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托管费的计算方式：托管费=当日托管理财产品本金*托管费率*托管理财产品的实际期限（提前终止的以提前终止日为准）/365</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托管费的</w:t>
      </w:r>
      <w:r>
        <w:rPr>
          <w:rFonts w:hint="eastAsia" w:ascii="宋体" w:hAnsi="宋体"/>
          <w:kern w:val="0"/>
          <w:sz w:val="24"/>
          <w:szCs w:val="24"/>
        </w:rPr>
        <w:t>支付</w:t>
      </w:r>
      <w:r>
        <w:rPr>
          <w:rFonts w:hint="eastAsia" w:ascii="宋体" w:hAnsi="宋体"/>
          <w:sz w:val="24"/>
          <w:szCs w:val="24"/>
        </w:rPr>
        <w:t>频率及方式：</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托管费按日计提，按自然季支付，于每自然季最后一个工作日作为托管费用支付日，如遇法定节假日，则顺延至下一工作日支付。</w:t>
      </w:r>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托管费支付日由管理人出具托管费划付指令，托管人复核无误后在规定时间内将托管费划付至托管费收入账户。</w:t>
      </w:r>
    </w:p>
    <w:p>
      <w:pPr>
        <w:numPr>
          <w:ilvl w:val="0"/>
          <w:numId w:val="22"/>
        </w:numPr>
        <w:autoSpaceDE w:val="0"/>
        <w:autoSpaceDN w:val="0"/>
        <w:adjustRightInd w:val="0"/>
        <w:spacing w:line="440" w:lineRule="exact"/>
        <w:ind w:left="0" w:firstLine="424" w:firstLineChars="177"/>
        <w:rPr>
          <w:rFonts w:ascii="宋体" w:hAnsi="宋体"/>
          <w:sz w:val="24"/>
          <w:szCs w:val="24"/>
        </w:rPr>
      </w:pPr>
      <w:r>
        <w:rPr>
          <w:rFonts w:hint="eastAsia" w:ascii="宋体" w:hAnsi="宋体"/>
          <w:sz w:val="24"/>
          <w:szCs w:val="24"/>
        </w:rPr>
        <w:t>其他理财费用按照法律法规和理财产品协议的约定计提或列支。除法律法规规定可以直接从理财产品托管账户中扣收的费用按实际发生额从理财产品托管账户中直接扣除并书面通知管理人外，其他费用支付均由管理人向托管人发出费用划款指令，托管人根据理财文件复核无误后在规定时间内执行。如复核费用金额有误或费用超出额度，则托管人有权拒绝执行划款指令。托管人不负责费用列支项目的真实性审查。</w:t>
      </w:r>
    </w:p>
    <w:p>
      <w:pPr>
        <w:numPr>
          <w:ilvl w:val="0"/>
          <w:numId w:val="2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投资收益的分配</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遇理财产品存续期间进行投资收益分配，管理人出具理财产品投资收益分配划款指令，托管人依据理财产品协议的约定复核无误后，将投资收益划付至管理人指定银行账户。</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遇理财产品运作的实际收益超出预期收益，理财产品协议对其超出部分有明确约定处理方式的，按理财产品协议约定办理；理财产品协议对其超出部分未做明确约定的，该部分收益由管理人负责支配，管理人向托管人发出划付指令，托管人按指令划付至管理人指定银行账户，托管人对该部分收益不承担复核责任，对该部分收益处理所造成的任何损失，托管人不承担任何责任。</w:t>
      </w:r>
    </w:p>
    <w:p>
      <w:pPr>
        <w:pStyle w:val="2"/>
        <w:tabs>
          <w:tab w:val="left" w:pos="0"/>
          <w:tab w:val="left" w:pos="993"/>
          <w:tab w:val="clear" w:pos="4266"/>
        </w:tabs>
        <w:spacing w:before="156" w:beforeLines="50" w:after="156" w:afterLines="50" w:line="440" w:lineRule="exact"/>
        <w:ind w:left="0" w:firstLine="0"/>
        <w:rPr>
          <w:sz w:val="24"/>
          <w:szCs w:val="24"/>
        </w:rPr>
      </w:pPr>
      <w:bookmarkStart w:id="10" w:name="_Toc298186543"/>
      <w:bookmarkEnd w:id="10"/>
      <w:bookmarkStart w:id="11" w:name="_Toc238681672"/>
      <w:bookmarkStart w:id="12" w:name="_Toc393827607"/>
      <w:r>
        <w:rPr>
          <w:rFonts w:hint="eastAsia"/>
          <w:sz w:val="24"/>
          <w:szCs w:val="24"/>
        </w:rPr>
        <w:t xml:space="preserve">  理财产品终止、清算与分配</w:t>
      </w:r>
      <w:bookmarkEnd w:id="11"/>
      <w:bookmarkEnd w:id="12"/>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根据法律法规规定及理财产品的约定，每只理财产品终止的情形出现时，管理人应向托管人提交该理财</w:t>
      </w:r>
      <w:r>
        <w:rPr>
          <w:rFonts w:hint="eastAsia" w:ascii="宋体" w:hAnsi="宋体"/>
          <w:kern w:val="0"/>
          <w:sz w:val="24"/>
          <w:szCs w:val="24"/>
        </w:rPr>
        <w:t>产品</w:t>
      </w:r>
      <w:r>
        <w:rPr>
          <w:rFonts w:hint="eastAsia" w:ascii="宋体" w:hAnsi="宋体"/>
          <w:sz w:val="24"/>
          <w:szCs w:val="24"/>
        </w:rPr>
        <w:t>的清算及分配报告（内容包括但不限于：该只理财产品终止日期、可分配理财本金及收益），以便托管人配合管理人办理该理财产品清算分配事宜。</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托管人收到管理人发出的分配理财利益的理财专户划款指令，与清算及分配报告进行核对并确认</w:t>
      </w:r>
      <w:r>
        <w:rPr>
          <w:rFonts w:hint="eastAsia" w:ascii="宋体" w:hAnsi="宋体"/>
          <w:kern w:val="0"/>
          <w:sz w:val="24"/>
          <w:szCs w:val="24"/>
        </w:rPr>
        <w:t>理财</w:t>
      </w:r>
      <w:r>
        <w:rPr>
          <w:rFonts w:hint="eastAsia" w:ascii="宋体" w:hAnsi="宋体"/>
          <w:sz w:val="24"/>
          <w:szCs w:val="24"/>
        </w:rPr>
        <w:t>专户有足额资金后在规定时间内执行指令。</w:t>
      </w:r>
    </w:p>
    <w:p>
      <w:pPr>
        <w:pStyle w:val="2"/>
        <w:numPr>
          <w:ilvl w:val="0"/>
          <w:numId w:val="0"/>
        </w:numPr>
        <w:tabs>
          <w:tab w:val="clear" w:pos="4266"/>
        </w:tabs>
        <w:spacing w:before="156" w:beforeLines="50" w:after="156" w:afterLines="50" w:line="440" w:lineRule="exact"/>
        <w:ind w:firstLine="482" w:firstLineChars="200"/>
        <w:jc w:val="left"/>
        <w:rPr>
          <w:sz w:val="24"/>
          <w:szCs w:val="24"/>
        </w:rPr>
      </w:pPr>
      <w:bookmarkStart w:id="13" w:name="_Toc393827608"/>
      <w:r>
        <w:rPr>
          <w:rFonts w:hint="eastAsia"/>
          <w:sz w:val="24"/>
          <w:szCs w:val="24"/>
        </w:rPr>
        <w:t>托管人执行管理人用于分配理财收益的理财专户划款指令职责，仅限于按管理人划款指令将以现金方式分配的理财收益划往管理人理财投资收益分配账户为止，不负责核对向投资人分配明细的准确性及向理财产品投资人进行分配。</w:t>
      </w:r>
      <w:bookmarkEnd w:id="13"/>
      <w:bookmarkStart w:id="14" w:name="_Toc184038921"/>
      <w:bookmarkEnd w:id="14"/>
    </w:p>
    <w:p>
      <w:pPr>
        <w:pStyle w:val="2"/>
        <w:tabs>
          <w:tab w:val="left" w:pos="0"/>
          <w:tab w:val="left" w:pos="993"/>
          <w:tab w:val="clear" w:pos="4266"/>
        </w:tabs>
        <w:spacing w:before="156" w:beforeLines="50" w:after="156" w:afterLines="50" w:line="440" w:lineRule="exact"/>
        <w:ind w:left="0" w:firstLine="0"/>
        <w:rPr>
          <w:sz w:val="24"/>
          <w:szCs w:val="24"/>
        </w:rPr>
      </w:pPr>
      <w:bookmarkStart w:id="15" w:name="_Toc393827609"/>
      <w:r>
        <w:rPr>
          <w:rFonts w:hint="eastAsia"/>
          <w:sz w:val="24"/>
          <w:szCs w:val="24"/>
        </w:rPr>
        <w:t xml:space="preserve">  理财产品有关文件档案保存</w:t>
      </w:r>
      <w:bookmarkEnd w:id="15"/>
    </w:p>
    <w:p>
      <w:pPr>
        <w:autoSpaceDE w:val="0"/>
        <w:autoSpaceDN w:val="0"/>
        <w:adjustRightInd w:val="0"/>
        <w:spacing w:line="440" w:lineRule="exact"/>
        <w:ind w:firstLine="424" w:firstLineChars="177"/>
        <w:rPr>
          <w:rFonts w:ascii="宋体" w:hAnsi="宋体"/>
          <w:sz w:val="24"/>
          <w:szCs w:val="24"/>
        </w:rPr>
      </w:pPr>
      <w:r>
        <w:rPr>
          <w:rFonts w:hint="eastAsia" w:ascii="宋体" w:hAnsi="宋体"/>
          <w:sz w:val="24"/>
          <w:szCs w:val="24"/>
        </w:rPr>
        <w:t>管理人和托管人应完整保存各自的记录理财业务活动的原始凭证、记账凭证、理财产品协议、划款指令、划款凭证等，保存期限为自理财产品终止之日起十五年。</w:t>
      </w:r>
    </w:p>
    <w:p>
      <w:pPr>
        <w:pStyle w:val="2"/>
        <w:tabs>
          <w:tab w:val="left" w:pos="0"/>
          <w:tab w:val="left" w:pos="993"/>
          <w:tab w:val="clear" w:pos="4266"/>
        </w:tabs>
        <w:spacing w:before="156" w:beforeLines="50" w:after="156" w:afterLines="50" w:line="440" w:lineRule="exact"/>
        <w:ind w:left="0" w:firstLine="0"/>
        <w:rPr>
          <w:sz w:val="24"/>
          <w:szCs w:val="24"/>
        </w:rPr>
      </w:pPr>
      <w:bookmarkStart w:id="16" w:name="_Toc393827610"/>
      <w:bookmarkEnd w:id="16"/>
      <w:bookmarkStart w:id="17" w:name="_Toc393827611"/>
      <w:bookmarkEnd w:id="17"/>
      <w:bookmarkStart w:id="18" w:name="_Toc184038923"/>
      <w:bookmarkEnd w:id="18"/>
      <w:bookmarkStart w:id="19" w:name="_Toc393827612"/>
      <w:bookmarkEnd w:id="19"/>
      <w:bookmarkStart w:id="20" w:name="_Toc393827613"/>
      <w:bookmarkEnd w:id="20"/>
      <w:bookmarkStart w:id="21" w:name="_Toc393827614"/>
      <w:r>
        <w:rPr>
          <w:rFonts w:hint="eastAsia"/>
          <w:sz w:val="24"/>
          <w:szCs w:val="24"/>
        </w:rPr>
        <w:t xml:space="preserve">  免责条款</w:t>
      </w:r>
      <w:bookmarkEnd w:id="21"/>
    </w:p>
    <w:p>
      <w:pPr>
        <w:numPr>
          <w:ilvl w:val="1"/>
          <w:numId w:val="23"/>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不可抗力。</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不可抗力是指当事人不能预见、不能避免并无法克服的客观情况。</w:t>
      </w:r>
    </w:p>
    <w:p>
      <w:pPr>
        <w:numPr>
          <w:ilvl w:val="1"/>
          <w:numId w:val="23"/>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不可抗力事件的应对</w:t>
      </w:r>
    </w:p>
    <w:p>
      <w:pPr>
        <w:numPr>
          <w:ilvl w:val="0"/>
          <w:numId w:val="2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不可抗力发生时，遭受不可抗力的一方当事人应及时通知其他方当事人，并尽最大努力保护其他方当事人、受益人的合法权益。</w:t>
      </w:r>
    </w:p>
    <w:p>
      <w:pPr>
        <w:numPr>
          <w:ilvl w:val="0"/>
          <w:numId w:val="2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双方当事人应通过磋商，决定是否终止本协议或根据不可抗力事件对本协议的影响免除或延迟相关义务的履行。</w:t>
      </w:r>
    </w:p>
    <w:p>
      <w:pPr>
        <w:numPr>
          <w:ilvl w:val="1"/>
          <w:numId w:val="23"/>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其他责任限制</w:t>
      </w:r>
    </w:p>
    <w:p>
      <w:pPr>
        <w:numPr>
          <w:ilvl w:val="0"/>
          <w:numId w:val="25"/>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托管人仅应履行本协议明文规定的职责，包括执行管理人按本协议及其附件规定出具的任何指令。托管人不承担任何默示的职责和义务。</w:t>
      </w:r>
    </w:p>
    <w:p>
      <w:pPr>
        <w:numPr>
          <w:ilvl w:val="0"/>
          <w:numId w:val="25"/>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托管人对由于按照管理人有效指令行事而造成的损失不承担责任。</w:t>
      </w:r>
    </w:p>
    <w:p>
      <w:pPr>
        <w:numPr>
          <w:ilvl w:val="0"/>
          <w:numId w:val="25"/>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第三方失误，包括但不限于：</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交易对方的失误；</w:t>
      </w:r>
      <w:r>
        <w:rPr>
          <w:rFonts w:hint="eastAsia" w:ascii="宋体" w:hAnsi="宋体"/>
          <w:kern w:val="0"/>
          <w:sz w:val="24"/>
          <w:szCs w:val="24"/>
        </w:rPr>
        <w:t>超出</w:t>
      </w:r>
      <w:r>
        <w:rPr>
          <w:rFonts w:hint="eastAsia" w:ascii="宋体" w:hAnsi="宋体" w:cs="Arial"/>
          <w:kern w:val="0"/>
          <w:sz w:val="24"/>
          <w:szCs w:val="24"/>
        </w:rPr>
        <w:t>了托管人的控制或选择范围的其他第三方失误。托管人不对第三方失误承担责任。</w:t>
      </w:r>
    </w:p>
    <w:p>
      <w:pPr>
        <w:pStyle w:val="2"/>
        <w:tabs>
          <w:tab w:val="left" w:pos="0"/>
          <w:tab w:val="left" w:pos="993"/>
          <w:tab w:val="clear" w:pos="4266"/>
        </w:tabs>
        <w:spacing w:before="156" w:beforeLines="50" w:after="156" w:afterLines="50" w:line="440" w:lineRule="exact"/>
        <w:ind w:left="0" w:firstLine="0"/>
        <w:rPr>
          <w:sz w:val="24"/>
          <w:szCs w:val="24"/>
        </w:rPr>
      </w:pPr>
      <w:bookmarkStart w:id="22" w:name="_Toc393827615"/>
      <w:bookmarkEnd w:id="22"/>
      <w:bookmarkStart w:id="23" w:name="_Toc393827616"/>
      <w:bookmarkEnd w:id="23"/>
      <w:bookmarkStart w:id="24" w:name="_Toc393827617"/>
      <w:bookmarkEnd w:id="24"/>
      <w:bookmarkStart w:id="25" w:name="_Toc393827618"/>
      <w:bookmarkEnd w:id="25"/>
      <w:bookmarkStart w:id="26" w:name="_Toc393827619"/>
      <w:bookmarkEnd w:id="26"/>
      <w:bookmarkStart w:id="27" w:name="_Toc393827620"/>
      <w:r>
        <w:rPr>
          <w:rFonts w:hint="eastAsia"/>
          <w:sz w:val="24"/>
          <w:szCs w:val="24"/>
        </w:rPr>
        <w:t xml:space="preserve">  违约责任及争议解决</w:t>
      </w:r>
      <w:bookmarkEnd w:id="27"/>
    </w:p>
    <w:p>
      <w:pPr>
        <w:numPr>
          <w:ilvl w:val="0"/>
          <w:numId w:val="26"/>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当事人违约责任</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在理财产品期限内管理人和托管人应严格按照法律法规的规定和理财产品协议的约定，全面履行</w:t>
      </w:r>
      <w:r>
        <w:rPr>
          <w:rFonts w:hint="eastAsia" w:ascii="宋体" w:hAnsi="宋体"/>
          <w:kern w:val="0"/>
          <w:sz w:val="24"/>
          <w:szCs w:val="24"/>
        </w:rPr>
        <w:t>各自</w:t>
      </w:r>
      <w:r>
        <w:rPr>
          <w:rFonts w:hint="eastAsia" w:ascii="宋体" w:hAnsi="宋体" w:cs="Arial"/>
          <w:kern w:val="0"/>
          <w:sz w:val="24"/>
          <w:szCs w:val="24"/>
        </w:rPr>
        <w:t>的义务；任何一方违反法律法规的规定和本协议的约定，均构成违约，应承担违约责任。</w:t>
      </w:r>
    </w:p>
    <w:p>
      <w:pPr>
        <w:numPr>
          <w:ilvl w:val="1"/>
          <w:numId w:val="27"/>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协议一方不履行本协议中约定的义务或者履行义务不符合本协议规定的，该方应当赔偿由此给对方造成的损失。</w:t>
      </w:r>
    </w:p>
    <w:p>
      <w:pPr>
        <w:numPr>
          <w:ilvl w:val="1"/>
          <w:numId w:val="27"/>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因双方不履行本托管协议约定的义务或者履行义务不符合本托管协议规定的，双方应分别承担相应的违约责任。</w:t>
      </w:r>
    </w:p>
    <w:p>
      <w:pPr>
        <w:numPr>
          <w:ilvl w:val="1"/>
          <w:numId w:val="27"/>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因托管人已按理财产品协议及本协议约定尽到监督职能而仍未能控制的管理人行为且由管理人违反本协议约定造成理财资产或受益人损失的，由管理人自行承担责任，托管人不承担赔偿责任。</w:t>
      </w:r>
    </w:p>
    <w:p>
      <w:pPr>
        <w:numPr>
          <w:ilvl w:val="1"/>
          <w:numId w:val="27"/>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因管理人已按理财产品协议及本协议约定尽职履行其职能和义务而仍未能控制的托管人行为且由托管人违反本协议约定造成理财资产或受益人损失的，由托管人自行承担责任，管理人不承担赔偿责任。 </w:t>
      </w:r>
    </w:p>
    <w:p>
      <w:pPr>
        <w:numPr>
          <w:ilvl w:val="1"/>
          <w:numId w:val="27"/>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因本协议一方违反本托管协议的约定给对方、或给理财资产或受益人造成实际损害的,应由违约方赔偿损失。</w:t>
      </w:r>
    </w:p>
    <w:p>
      <w:pPr>
        <w:numPr>
          <w:ilvl w:val="0"/>
          <w:numId w:val="26"/>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免责事由</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在发生下列情况，</w:t>
      </w:r>
      <w:r>
        <w:rPr>
          <w:rFonts w:hint="eastAsia" w:ascii="宋体" w:hAnsi="宋体"/>
          <w:kern w:val="0"/>
          <w:sz w:val="24"/>
          <w:szCs w:val="24"/>
        </w:rPr>
        <w:t>当事人</w:t>
      </w:r>
      <w:r>
        <w:rPr>
          <w:rFonts w:hint="eastAsia" w:ascii="宋体" w:hAnsi="宋体" w:cs="Arial"/>
          <w:kern w:val="0"/>
          <w:sz w:val="24"/>
          <w:szCs w:val="24"/>
        </w:rPr>
        <w:t>可以免责：</w:t>
      </w:r>
    </w:p>
    <w:p>
      <w:pPr>
        <w:numPr>
          <w:ilvl w:val="0"/>
          <w:numId w:val="28"/>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管理人按照理财产品协议约定的方式进行理财资产管理而造成的损失等；</w:t>
      </w:r>
    </w:p>
    <w:p>
      <w:pPr>
        <w:numPr>
          <w:ilvl w:val="0"/>
          <w:numId w:val="28"/>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上述第十</w:t>
      </w:r>
      <w:r>
        <w:rPr>
          <w:rFonts w:hint="eastAsia" w:ascii="宋体" w:hAnsi="宋体" w:cs="Arial"/>
          <w:kern w:val="0"/>
          <w:sz w:val="24"/>
          <w:szCs w:val="24"/>
          <w:lang w:eastAsia="zh-CN"/>
        </w:rPr>
        <w:t>四</w:t>
      </w:r>
      <w:r>
        <w:rPr>
          <w:rFonts w:hint="eastAsia" w:ascii="宋体" w:hAnsi="宋体" w:cs="Arial"/>
          <w:kern w:val="0"/>
          <w:sz w:val="24"/>
          <w:szCs w:val="24"/>
        </w:rPr>
        <w:t>章</w:t>
      </w:r>
    </w:p>
    <w:p>
      <w:pPr>
        <w:numPr>
          <w:ilvl w:val="0"/>
          <w:numId w:val="28"/>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约定的不可抗力。</w:t>
      </w:r>
    </w:p>
    <w:p>
      <w:pPr>
        <w:numPr>
          <w:ilvl w:val="0"/>
          <w:numId w:val="26"/>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防护措施 </w:t>
      </w:r>
    </w:p>
    <w:p>
      <w:pPr>
        <w:spacing w:line="440" w:lineRule="exact"/>
        <w:ind w:firstLine="424" w:firstLineChars="177"/>
        <w:rPr>
          <w:rFonts w:ascii="宋体" w:hAnsi="宋体" w:cs="Arial"/>
          <w:kern w:val="0"/>
          <w:sz w:val="24"/>
          <w:szCs w:val="24"/>
        </w:rPr>
      </w:pPr>
      <w:r>
        <w:rPr>
          <w:rFonts w:hint="eastAsia" w:ascii="宋体" w:hAnsi="宋体" w:cs="Arial"/>
          <w:kern w:val="0"/>
          <w:sz w:val="24"/>
          <w:szCs w:val="24"/>
        </w:rPr>
        <w:t>本协议一方违约，另一方在职责范围内有义务及时采取必要的措施，尽力防止损失的扩大。</w:t>
      </w:r>
    </w:p>
    <w:p>
      <w:pPr>
        <w:numPr>
          <w:ilvl w:val="0"/>
          <w:numId w:val="26"/>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争议解决 </w:t>
      </w:r>
    </w:p>
    <w:p>
      <w:pPr>
        <w:spacing w:line="440" w:lineRule="exact"/>
        <w:ind w:firstLine="424" w:firstLineChars="177"/>
        <w:rPr>
          <w:rFonts w:ascii="宋体" w:hAnsi="宋体" w:cs="Arial"/>
          <w:kern w:val="0"/>
          <w:sz w:val="24"/>
          <w:szCs w:val="24"/>
        </w:rPr>
      </w:pPr>
      <w:r>
        <w:rPr>
          <w:rFonts w:hint="eastAsia" w:ascii="宋体" w:hAnsi="宋体" w:cs="Arial"/>
          <w:kern w:val="0"/>
          <w:sz w:val="24"/>
          <w:szCs w:val="24"/>
        </w:rPr>
        <w:t>本协议在履行过程中若发生争议或纠纷，双方应通过友好协商，尽力解决争议或纠纷。协商不成，提交管理人所在地人民法院诉讼解决。</w:t>
      </w:r>
    </w:p>
    <w:p>
      <w:pPr>
        <w:spacing w:line="440" w:lineRule="exact"/>
        <w:ind w:firstLine="424" w:firstLineChars="177"/>
        <w:rPr>
          <w:rFonts w:ascii="宋体" w:hAnsi="宋体" w:cs="Arial"/>
          <w:kern w:val="0"/>
          <w:sz w:val="24"/>
          <w:szCs w:val="24"/>
        </w:rPr>
      </w:pPr>
      <w:r>
        <w:rPr>
          <w:rFonts w:hint="eastAsia" w:ascii="宋体" w:hAnsi="宋体" w:cs="Arial"/>
          <w:kern w:val="0"/>
          <w:sz w:val="24"/>
          <w:szCs w:val="24"/>
        </w:rPr>
        <w:t>在诉讼期间，本协议中不涉及争议的条款仍须履行。</w:t>
      </w:r>
    </w:p>
    <w:p>
      <w:pPr>
        <w:pStyle w:val="2"/>
        <w:tabs>
          <w:tab w:val="left" w:pos="0"/>
          <w:tab w:val="left" w:pos="993"/>
          <w:tab w:val="clear" w:pos="4266"/>
        </w:tabs>
        <w:spacing w:before="156" w:beforeLines="50" w:after="156" w:afterLines="50" w:line="440" w:lineRule="exact"/>
        <w:ind w:left="0" w:firstLine="0"/>
        <w:rPr>
          <w:sz w:val="24"/>
          <w:szCs w:val="24"/>
        </w:rPr>
      </w:pPr>
      <w:bookmarkStart w:id="28" w:name="_Toc184038930"/>
      <w:bookmarkEnd w:id="28"/>
      <w:bookmarkStart w:id="29" w:name="_Toc393827621"/>
      <w:r>
        <w:rPr>
          <w:rFonts w:hint="eastAsia"/>
          <w:sz w:val="24"/>
          <w:szCs w:val="24"/>
        </w:rPr>
        <w:t xml:space="preserve">  协议成立与生效</w:t>
      </w:r>
      <w:bookmarkEnd w:id="29"/>
    </w:p>
    <w:p>
      <w:pPr>
        <w:numPr>
          <w:ilvl w:val="0"/>
          <w:numId w:val="29"/>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本协议成立与生效</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本协议经管理人、托管人加盖单位公章或</w:t>
      </w:r>
      <w:r>
        <w:rPr>
          <w:rFonts w:hint="eastAsia" w:ascii="宋体" w:hAnsi="宋体" w:cs="Arial"/>
          <w:kern w:val="0"/>
          <w:sz w:val="24"/>
          <w:szCs w:val="24"/>
          <w:lang w:eastAsia="zh-CN"/>
        </w:rPr>
        <w:t>合同</w:t>
      </w:r>
      <w:r>
        <w:rPr>
          <w:rFonts w:hint="eastAsia" w:ascii="宋体" w:hAnsi="宋体" w:cs="Arial"/>
          <w:kern w:val="0"/>
          <w:sz w:val="24"/>
          <w:szCs w:val="24"/>
        </w:rPr>
        <w:t>专用章，并经双方法定代表人（负责人）或法定代表人（负责人）授权的代理人签字（或签章）之日起生效。</w:t>
      </w:r>
    </w:p>
    <w:p>
      <w:pPr>
        <w:numPr>
          <w:ilvl w:val="0"/>
          <w:numId w:val="29"/>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本协议终止</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本协议的有效期自生效日起至下述第十</w:t>
      </w:r>
      <w:r>
        <w:rPr>
          <w:rFonts w:hint="eastAsia" w:ascii="宋体" w:hAnsi="宋体" w:cs="Arial"/>
          <w:kern w:val="0"/>
          <w:sz w:val="24"/>
          <w:szCs w:val="24"/>
          <w:lang w:eastAsia="zh-CN"/>
        </w:rPr>
        <w:t>七</w:t>
      </w:r>
      <w:r>
        <w:rPr>
          <w:rFonts w:hint="eastAsia" w:ascii="宋体" w:hAnsi="宋体" w:cs="Arial"/>
          <w:kern w:val="0"/>
          <w:sz w:val="24"/>
          <w:szCs w:val="24"/>
        </w:rPr>
        <w:t>章所列的任一协议终止事由发生时止。</w:t>
      </w:r>
    </w:p>
    <w:p>
      <w:pPr>
        <w:pStyle w:val="2"/>
        <w:tabs>
          <w:tab w:val="left" w:pos="0"/>
          <w:tab w:val="left" w:pos="993"/>
          <w:tab w:val="clear" w:pos="4266"/>
        </w:tabs>
        <w:spacing w:before="156" w:beforeLines="50" w:after="156" w:afterLines="50" w:line="440" w:lineRule="exact"/>
        <w:ind w:left="0" w:firstLine="0"/>
        <w:rPr>
          <w:sz w:val="24"/>
          <w:szCs w:val="24"/>
        </w:rPr>
      </w:pPr>
      <w:bookmarkStart w:id="30" w:name="_Toc184038932"/>
      <w:bookmarkEnd w:id="30"/>
      <w:bookmarkStart w:id="31" w:name="_Toc393827622"/>
      <w:r>
        <w:rPr>
          <w:rFonts w:hint="eastAsia"/>
          <w:sz w:val="24"/>
          <w:szCs w:val="24"/>
        </w:rPr>
        <w:t xml:space="preserve">  协议修改和终止</w:t>
      </w:r>
      <w:bookmarkEnd w:id="31"/>
    </w:p>
    <w:p>
      <w:pPr>
        <w:numPr>
          <w:ilvl w:val="1"/>
          <w:numId w:val="30"/>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本协议中未尽事宜，应由双方依据有关法律、法规的规定和理财产品协议的约定协商解决。</w:t>
      </w:r>
    </w:p>
    <w:p>
      <w:pPr>
        <w:numPr>
          <w:ilvl w:val="1"/>
          <w:numId w:val="30"/>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对本协议的任何修改或补充，须经协议双方一致书面同意。修改后签订的补充协议，其内容不得与有关法律、法规的规定和理财产品协议的约定有任何冲突。</w:t>
      </w:r>
    </w:p>
    <w:p>
      <w:pPr>
        <w:numPr>
          <w:ilvl w:val="1"/>
          <w:numId w:val="30"/>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发生以下情形，本协议终止。</w:t>
      </w:r>
    </w:p>
    <w:p>
      <w:pPr>
        <w:numPr>
          <w:ilvl w:val="0"/>
          <w:numId w:val="31"/>
        </w:numPr>
        <w:spacing w:line="440" w:lineRule="exact"/>
        <w:ind w:left="0" w:firstLine="480" w:firstLineChars="200"/>
        <w:rPr>
          <w:rFonts w:ascii="宋体" w:hAnsi="宋体" w:cs="Arial"/>
          <w:kern w:val="0"/>
          <w:sz w:val="24"/>
          <w:szCs w:val="24"/>
        </w:rPr>
      </w:pPr>
      <w:r>
        <w:rPr>
          <w:rFonts w:hint="eastAsia" w:ascii="宋体" w:hAnsi="宋体"/>
          <w:kern w:val="0"/>
          <w:sz w:val="24"/>
          <w:szCs w:val="24"/>
        </w:rPr>
        <w:t>本协议项下托管人托管的、管理人发行的理财产品全部终止，且本协议项下全部理财资产均已按本协议的约定进行划付完毕</w:t>
      </w:r>
      <w:r>
        <w:rPr>
          <w:rFonts w:hint="eastAsia" w:ascii="宋体" w:hAnsi="宋体" w:cs="Arial"/>
          <w:kern w:val="0"/>
          <w:sz w:val="24"/>
          <w:szCs w:val="24"/>
        </w:rPr>
        <w:t>；</w:t>
      </w:r>
    </w:p>
    <w:p>
      <w:pPr>
        <w:numPr>
          <w:ilvl w:val="0"/>
          <w:numId w:val="31"/>
        </w:numPr>
        <w:spacing w:line="440" w:lineRule="exact"/>
        <w:ind w:left="0" w:firstLine="480" w:firstLineChars="200"/>
        <w:rPr>
          <w:rFonts w:ascii="宋体" w:hAnsi="宋体" w:cs="Arial"/>
          <w:kern w:val="0"/>
          <w:sz w:val="24"/>
          <w:szCs w:val="24"/>
        </w:rPr>
      </w:pPr>
      <w:r>
        <w:rPr>
          <w:rFonts w:hint="eastAsia" w:ascii="宋体" w:hAnsi="宋体" w:cs="Arial"/>
          <w:kern w:val="0"/>
          <w:sz w:val="24"/>
          <w:szCs w:val="24"/>
        </w:rPr>
        <w:t>托管人解散、撤销、破产；</w:t>
      </w:r>
    </w:p>
    <w:p>
      <w:pPr>
        <w:numPr>
          <w:ilvl w:val="0"/>
          <w:numId w:val="31"/>
        </w:numPr>
        <w:spacing w:line="440" w:lineRule="exact"/>
        <w:ind w:left="0" w:firstLine="480" w:firstLineChars="200"/>
        <w:rPr>
          <w:rFonts w:ascii="宋体" w:hAnsi="宋体" w:cs="Arial"/>
          <w:kern w:val="0"/>
          <w:sz w:val="24"/>
          <w:szCs w:val="24"/>
        </w:rPr>
      </w:pPr>
      <w:r>
        <w:rPr>
          <w:rFonts w:hint="eastAsia" w:ascii="宋体" w:hAnsi="宋体" w:cs="Arial"/>
          <w:kern w:val="0"/>
          <w:sz w:val="24"/>
          <w:szCs w:val="24"/>
        </w:rPr>
        <w:t>管理人解散、撤销、破产。</w:t>
      </w:r>
    </w:p>
    <w:p>
      <w:pPr>
        <w:numPr>
          <w:ilvl w:val="1"/>
          <w:numId w:val="30"/>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发生以下情形，本托管协议终止，并签订新的托管协议：</w:t>
      </w:r>
    </w:p>
    <w:p>
      <w:pPr>
        <w:spacing w:line="440" w:lineRule="exact"/>
        <w:ind w:firstLine="480" w:firstLineChars="200"/>
        <w:rPr>
          <w:rFonts w:ascii="宋体" w:hAnsi="宋体" w:cs="Arial"/>
          <w:kern w:val="0"/>
          <w:sz w:val="24"/>
          <w:szCs w:val="24"/>
        </w:rPr>
      </w:pPr>
      <w:r>
        <w:rPr>
          <w:rFonts w:hint="eastAsia" w:ascii="宋体" w:hAnsi="宋体" w:cs="Arial"/>
          <w:kern w:val="0"/>
          <w:sz w:val="24"/>
          <w:szCs w:val="24"/>
        </w:rPr>
        <w:t>（1）由其他托管人依法接管理财资产；</w:t>
      </w:r>
    </w:p>
    <w:p>
      <w:pPr>
        <w:spacing w:line="440" w:lineRule="exact"/>
        <w:ind w:firstLine="480" w:firstLineChars="200"/>
        <w:rPr>
          <w:rFonts w:ascii="宋体" w:hAnsi="宋体" w:cs="Arial"/>
          <w:kern w:val="0"/>
          <w:sz w:val="24"/>
          <w:szCs w:val="24"/>
        </w:rPr>
      </w:pPr>
      <w:r>
        <w:rPr>
          <w:rFonts w:hint="eastAsia" w:ascii="宋体" w:hAnsi="宋体" w:cs="Arial"/>
          <w:kern w:val="0"/>
          <w:sz w:val="24"/>
          <w:szCs w:val="24"/>
        </w:rPr>
        <w:t>（2）由其他管理人依法接替担任理财产品的资产管理人。</w:t>
      </w:r>
    </w:p>
    <w:p>
      <w:pPr>
        <w:numPr>
          <w:ilvl w:val="1"/>
          <w:numId w:val="30"/>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协议终止的处理</w:t>
      </w:r>
      <w:r>
        <w:rPr>
          <w:rFonts w:hint="eastAsia" w:ascii="宋体" w:hAnsi="宋体" w:cs="Arial"/>
          <w:kern w:val="0"/>
          <w:sz w:val="24"/>
          <w:szCs w:val="24"/>
        </w:rPr>
        <w:tab/>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托管协议终止时，若需进行理财产品的终止清算，管理人和托管人参照本协议的规定办理具体理财产品的终止清算事宜，并办理账户注销事宜。</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托管协议终止时，若理财产品继续存续，托管人将继续保管理财资产，直至管理人发出全部</w:t>
      </w:r>
      <w:r>
        <w:rPr>
          <w:rFonts w:hint="eastAsia" w:ascii="宋体" w:hAnsi="宋体"/>
          <w:kern w:val="0"/>
          <w:sz w:val="24"/>
          <w:szCs w:val="24"/>
        </w:rPr>
        <w:t>支付</w:t>
      </w:r>
      <w:r>
        <w:rPr>
          <w:rFonts w:hint="eastAsia" w:ascii="宋体" w:hAnsi="宋体" w:cs="Arial"/>
          <w:kern w:val="0"/>
          <w:sz w:val="24"/>
          <w:szCs w:val="24"/>
        </w:rPr>
        <w:t>该理财资产的指令。但在此期间，除了托管账户收取和持有任何现金分配外，托管人不再提供任何其他服务。管理人确认，托管人在托管协议终止前所发生的托管费用应由理财产品承担。</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对于发生本协议中规定的协议终止情形，管理人和托管人均应积极与接替管理人或接替托管人</w:t>
      </w:r>
      <w:r>
        <w:rPr>
          <w:rFonts w:hint="eastAsia" w:ascii="宋体" w:hAnsi="宋体"/>
          <w:kern w:val="0"/>
          <w:sz w:val="24"/>
          <w:szCs w:val="24"/>
        </w:rPr>
        <w:t>做好</w:t>
      </w:r>
      <w:r>
        <w:rPr>
          <w:rFonts w:hint="eastAsia" w:ascii="宋体" w:hAnsi="宋体" w:cs="Arial"/>
          <w:kern w:val="0"/>
          <w:sz w:val="24"/>
          <w:szCs w:val="24"/>
        </w:rPr>
        <w:t>职责交接和财产移交工作。</w:t>
      </w:r>
    </w:p>
    <w:p>
      <w:pPr>
        <w:pStyle w:val="2"/>
        <w:tabs>
          <w:tab w:val="left" w:pos="0"/>
          <w:tab w:val="clear" w:pos="1431"/>
          <w:tab w:val="clear" w:pos="4266"/>
        </w:tabs>
        <w:spacing w:before="156" w:beforeLines="50" w:after="156" w:afterLines="50" w:line="440" w:lineRule="exact"/>
        <w:ind w:left="0" w:firstLine="0"/>
        <w:rPr>
          <w:sz w:val="24"/>
          <w:szCs w:val="24"/>
        </w:rPr>
      </w:pPr>
      <w:bookmarkStart w:id="32" w:name="_Toc184038934"/>
      <w:bookmarkEnd w:id="32"/>
      <w:bookmarkStart w:id="33" w:name="_Toc393827623"/>
      <w:r>
        <w:rPr>
          <w:rFonts w:hint="eastAsia"/>
          <w:sz w:val="24"/>
          <w:szCs w:val="24"/>
        </w:rPr>
        <w:t>附则</w:t>
      </w:r>
      <w:bookmarkEnd w:id="33"/>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适用法律</w:t>
      </w:r>
    </w:p>
    <w:p>
      <w:pPr>
        <w:numPr>
          <w:ilvl w:val="1"/>
          <w:numId w:val="33"/>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本协议的成立、效力、解释、履行及争议的解决适用中华人民共和国法律法规（不包括香港、澳门特别行政区及台湾地区法律）并受其管辖。</w:t>
      </w:r>
    </w:p>
    <w:p>
      <w:pPr>
        <w:numPr>
          <w:ilvl w:val="1"/>
          <w:numId w:val="33"/>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如果理财产品计划成立后，由于我国立法机构或政府（含地方政府）制定了新的法律、法规，致使管理人、托管人的经济利益在本协议生效后发生了实质性不利变动，应按照我国《合同法》的有关规定由双方协商处理。</w:t>
      </w:r>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通知 </w:t>
      </w:r>
    </w:p>
    <w:p>
      <w:pPr>
        <w:numPr>
          <w:ilvl w:val="0"/>
          <w:numId w:val="3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所有有关履行本协议的通知均要求书面写成，通过邮寄或传真、电子邮件等方式发送到协议当事人。本协议项下管理人、托管人指定以下传真号码或电子邮箱地址用以接收、发送本协议约定的相关通知、指令：</w:t>
      </w:r>
    </w:p>
    <w:p>
      <w:pPr>
        <w:spacing w:line="440" w:lineRule="exact"/>
        <w:ind w:left="425"/>
        <w:rPr>
          <w:rFonts w:ascii="宋体" w:hAnsi="宋体" w:cs="Arial"/>
          <w:kern w:val="0"/>
          <w:sz w:val="24"/>
          <w:szCs w:val="24"/>
          <w:u w:val="single"/>
        </w:rPr>
      </w:pPr>
      <w:r>
        <w:rPr>
          <w:rFonts w:hint="eastAsia" w:ascii="宋体" w:hAnsi="宋体" w:cs="Arial"/>
          <w:kern w:val="0"/>
          <w:sz w:val="24"/>
          <w:szCs w:val="24"/>
        </w:rPr>
        <w:t>（1）管理人传真号码：</w:t>
      </w:r>
      <w:r>
        <w:rPr>
          <w:rFonts w:ascii="宋体" w:hAnsi="宋体" w:cs="Arial"/>
          <w:kern w:val="0"/>
          <w:sz w:val="24"/>
          <w:szCs w:val="24"/>
          <w:u w:val="single"/>
        </w:rPr>
        <w:t>0592</w:t>
      </w:r>
      <w:r>
        <w:rPr>
          <w:rFonts w:hint="eastAsia" w:ascii="宋体" w:hAnsi="宋体" w:cs="Arial"/>
          <w:kern w:val="0"/>
          <w:sz w:val="24"/>
          <w:szCs w:val="24"/>
          <w:u w:val="single"/>
        </w:rPr>
        <w:t>-</w:t>
      </w:r>
      <w:r>
        <w:rPr>
          <w:rFonts w:ascii="宋体" w:hAnsi="宋体" w:cs="Arial"/>
          <w:kern w:val="0"/>
          <w:sz w:val="24"/>
          <w:szCs w:val="24"/>
          <w:u w:val="single"/>
        </w:rPr>
        <w:t>2100752</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rPr>
        <w:t>；管理人电子邮箱地址：</w:t>
      </w:r>
      <w:r>
        <w:rPr>
          <w:rStyle w:val="20"/>
          <w:rFonts w:cs="宋体"/>
        </w:rPr>
        <w:t>zhzcglbcpyx@xib.com.cn</w:t>
      </w:r>
      <w:r>
        <w:rPr>
          <w:rFonts w:hint="eastAsia" w:ascii="宋体" w:hAnsi="宋体" w:cs="Arial"/>
          <w:kern w:val="0"/>
          <w:sz w:val="24"/>
          <w:szCs w:val="24"/>
        </w:rPr>
        <w:t>。</w:t>
      </w:r>
    </w:p>
    <w:p>
      <w:pPr>
        <w:spacing w:line="440" w:lineRule="exact"/>
        <w:ind w:left="425"/>
        <w:rPr>
          <w:rFonts w:ascii="宋体" w:hAnsi="宋体" w:cs="Arial"/>
          <w:kern w:val="0"/>
          <w:sz w:val="24"/>
          <w:szCs w:val="24"/>
        </w:rPr>
      </w:pPr>
      <w:r>
        <w:rPr>
          <w:rFonts w:hint="eastAsia" w:ascii="宋体" w:hAnsi="宋体" w:cs="Arial"/>
          <w:kern w:val="0"/>
          <w:sz w:val="24"/>
          <w:szCs w:val="24"/>
        </w:rPr>
        <w:t>（2）托管人传真号码：</w:t>
      </w:r>
      <w:r>
        <w:rPr>
          <w:rFonts w:hint="eastAsia" w:ascii="宋体" w:hAnsi="宋体" w:cs="Arial"/>
          <w:kern w:val="0"/>
          <w:sz w:val="24"/>
          <w:szCs w:val="24"/>
          <w:u w:val="single"/>
        </w:rPr>
        <w:t xml:space="preserve"> 详见附件1-</w:t>
      </w:r>
      <w:r>
        <w:rPr>
          <w:rFonts w:ascii="宋体" w:hAnsi="宋体" w:cs="Arial"/>
          <w:kern w:val="0"/>
          <w:sz w:val="24"/>
          <w:szCs w:val="24"/>
          <w:u w:val="single"/>
        </w:rPr>
        <w:t>6</w:t>
      </w:r>
      <w:r>
        <w:rPr>
          <w:rFonts w:hint="eastAsia" w:ascii="宋体" w:hAnsi="宋体" w:cs="Arial"/>
          <w:kern w:val="0"/>
          <w:sz w:val="24"/>
          <w:szCs w:val="24"/>
          <w:u w:val="single"/>
        </w:rPr>
        <w:t xml:space="preserve"> </w:t>
      </w:r>
      <w:r>
        <w:rPr>
          <w:rFonts w:hint="eastAsia" w:ascii="宋体" w:hAnsi="宋体" w:cs="Arial"/>
          <w:kern w:val="0"/>
          <w:sz w:val="24"/>
          <w:szCs w:val="24"/>
        </w:rPr>
        <w:t>_；托管人电子邮箱地址：</w:t>
      </w:r>
      <w:r>
        <w:fldChar w:fldCharType="begin"/>
      </w:r>
      <w:r>
        <w:instrText xml:space="preserve"> HYPERLINK "mailto:xmtuoguan@cmbchina.com" </w:instrText>
      </w:r>
      <w:r>
        <w:fldChar w:fldCharType="separate"/>
      </w:r>
      <w:r>
        <w:fldChar w:fldCharType="end"/>
      </w:r>
      <w:r>
        <w:rPr>
          <w:rFonts w:hint="eastAsia" w:ascii="宋体" w:hAnsi="宋体" w:cs="Arial"/>
          <w:kern w:val="0"/>
          <w:sz w:val="24"/>
          <w:szCs w:val="24"/>
          <w:u w:val="single"/>
        </w:rPr>
        <w:t>详见附件1-</w:t>
      </w:r>
      <w:r>
        <w:rPr>
          <w:rFonts w:ascii="宋体" w:hAnsi="宋体" w:cs="Arial"/>
          <w:kern w:val="0"/>
          <w:sz w:val="24"/>
          <w:szCs w:val="24"/>
          <w:u w:val="single"/>
        </w:rPr>
        <w:t>6</w:t>
      </w:r>
      <w:r>
        <w:rPr>
          <w:rFonts w:hint="eastAsia" w:ascii="宋体" w:hAnsi="宋体" w:cs="Arial"/>
          <w:kern w:val="0"/>
          <w:sz w:val="24"/>
          <w:szCs w:val="24"/>
          <w:u w:val="single"/>
        </w:rPr>
        <w:t xml:space="preserve"> </w:t>
      </w:r>
      <w:r>
        <w:rPr>
          <w:rStyle w:val="20"/>
          <w:rFonts w:hint="eastAsia"/>
        </w:rPr>
        <w:t xml:space="preserve"> </w:t>
      </w:r>
      <w:r>
        <w:rPr>
          <w:rFonts w:hint="eastAsia"/>
        </w:rPr>
        <w:t>。</w:t>
      </w:r>
    </w:p>
    <w:p>
      <w:pPr>
        <w:numPr>
          <w:ilvl w:val="0"/>
          <w:numId w:val="3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在本协议及其附件上填写的联系地址为本协议各方同意的邮寄通讯地址。</w:t>
      </w:r>
    </w:p>
    <w:p>
      <w:pPr>
        <w:numPr>
          <w:ilvl w:val="0"/>
          <w:numId w:val="3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除本协议另有约定外，通知的收讫日期按下列约定确定： </w:t>
      </w:r>
    </w:p>
    <w:p>
      <w:pPr>
        <w:numPr>
          <w:ilvl w:val="0"/>
          <w:numId w:val="35"/>
        </w:numPr>
        <w:spacing w:line="440" w:lineRule="exact"/>
        <w:ind w:left="0" w:firstLine="480" w:firstLineChars="200"/>
        <w:rPr>
          <w:rFonts w:ascii="宋体" w:hAnsi="宋体" w:cs="Arial"/>
          <w:kern w:val="0"/>
          <w:sz w:val="24"/>
          <w:szCs w:val="24"/>
        </w:rPr>
      </w:pPr>
      <w:r>
        <w:rPr>
          <w:rFonts w:hint="eastAsia" w:ascii="宋体" w:hAnsi="宋体" w:cs="Arial"/>
          <w:kern w:val="0"/>
          <w:sz w:val="24"/>
          <w:szCs w:val="24"/>
        </w:rPr>
        <w:t xml:space="preserve">如通过邮寄方式发送，则以收件地邮戳记载之日视为收讫； </w:t>
      </w:r>
    </w:p>
    <w:p>
      <w:pPr>
        <w:numPr>
          <w:ilvl w:val="0"/>
          <w:numId w:val="35"/>
        </w:numPr>
        <w:spacing w:line="440" w:lineRule="exact"/>
        <w:ind w:left="0" w:firstLine="480" w:firstLineChars="200"/>
        <w:rPr>
          <w:rFonts w:ascii="宋体" w:hAnsi="宋体" w:cs="Arial"/>
          <w:kern w:val="0"/>
          <w:sz w:val="24"/>
          <w:szCs w:val="24"/>
        </w:rPr>
      </w:pPr>
      <w:r>
        <w:rPr>
          <w:rFonts w:hint="eastAsia" w:ascii="宋体" w:hAnsi="宋体" w:cs="Arial"/>
          <w:kern w:val="0"/>
          <w:sz w:val="24"/>
          <w:szCs w:val="24"/>
        </w:rPr>
        <w:t>以电传、电报传送，在收到电码或成功发送确认的情况下，则以发出后的第1个工作日视为收讫；</w:t>
      </w:r>
    </w:p>
    <w:p>
      <w:pPr>
        <w:numPr>
          <w:ilvl w:val="0"/>
          <w:numId w:val="35"/>
        </w:numPr>
        <w:spacing w:line="440" w:lineRule="exact"/>
        <w:ind w:left="0" w:firstLine="480" w:firstLineChars="200"/>
        <w:rPr>
          <w:rFonts w:ascii="宋体" w:hAnsi="宋体" w:cs="Arial"/>
          <w:kern w:val="0"/>
          <w:sz w:val="24"/>
          <w:szCs w:val="24"/>
        </w:rPr>
      </w:pPr>
      <w:r>
        <w:rPr>
          <w:rFonts w:hint="eastAsia" w:ascii="宋体" w:hAnsi="宋体" w:cs="Arial"/>
          <w:kern w:val="0"/>
          <w:sz w:val="24"/>
          <w:szCs w:val="24"/>
        </w:rPr>
        <w:t>如通过电子邮件方式发送，在发件人邮箱成功发送确认的情况下，则以发出后的第1个工作日视为收讫。</w:t>
      </w:r>
    </w:p>
    <w:p>
      <w:pPr>
        <w:numPr>
          <w:ilvl w:val="0"/>
          <w:numId w:val="3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本协议续存期内，管理人、托管人可以更改其通知地址、电话、传真号码及邮箱地址等，但需以书面形式附有效证明文件，在更改之日前三个工作日内通知对方当事人。</w:t>
      </w:r>
    </w:p>
    <w:p>
      <w:pPr>
        <w:numPr>
          <w:ilvl w:val="0"/>
          <w:numId w:val="34"/>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因当事人通讯地址、联系方式发生变化而未通知另一方，所造成的后果及其损失由变化的一方负责或承担。</w:t>
      </w:r>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弃权 </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任何一方未能行使或延迟行使本协议项下的任何权利，或未宣布对方违约仅适用某一特定</w:t>
      </w:r>
      <w:r>
        <w:rPr>
          <w:rFonts w:hint="eastAsia" w:ascii="宋体" w:hAnsi="宋体"/>
          <w:kern w:val="0"/>
          <w:sz w:val="24"/>
          <w:szCs w:val="24"/>
        </w:rPr>
        <w:t>情势</w:t>
      </w:r>
      <w:r>
        <w:rPr>
          <w:rFonts w:hint="eastAsia" w:ascii="宋体" w:hAnsi="宋体" w:cs="Arial"/>
          <w:kern w:val="0"/>
          <w:sz w:val="24"/>
          <w:szCs w:val="24"/>
        </w:rPr>
        <w:t>，不能视作弃权，也不能视为继续对权利的放弃，致使无法对今后违约方的违约行为行使权利。任何一方未行使任何权利，也不会构成对对方当事人的弃权。</w:t>
      </w:r>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可分割性</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 xml:space="preserve">本协议的任何某一或某部分条款的无效或不能执行都不应影响本协议的其他条款，而且本协议应在各方面都被视作不包含这些无效或不可执行的条款。 </w:t>
      </w:r>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未尽事宜 </w:t>
      </w:r>
    </w:p>
    <w:p>
      <w:pPr>
        <w:numPr>
          <w:ilvl w:val="0"/>
          <w:numId w:val="36"/>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本协议如有未尽事宜，由协议当事人共同协商解决，并签订补充协议。经按上述第十六章的约定签订的补充协议与本协议具有同等法律效力。</w:t>
      </w:r>
    </w:p>
    <w:p>
      <w:pPr>
        <w:numPr>
          <w:ilvl w:val="0"/>
          <w:numId w:val="36"/>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本协议非经管理人和托管人双方书面同意，不得修改。</w:t>
      </w:r>
    </w:p>
    <w:p>
      <w:pPr>
        <w:numPr>
          <w:ilvl w:val="0"/>
          <w:numId w:val="36"/>
        </w:numPr>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如果本协议任何条款与国家有关法律规定不符而构成无效或不可执行，并不影响本协议其他条款的效力及可执行性。在出现这种情况时，管理人和托管人双方应当立即进行协商，谈判修改该条款。</w:t>
      </w:r>
    </w:p>
    <w:p>
      <w:pPr>
        <w:numPr>
          <w:ilvl w:val="0"/>
          <w:numId w:val="32"/>
        </w:numPr>
        <w:autoSpaceDE w:val="0"/>
        <w:autoSpaceDN w:val="0"/>
        <w:adjustRightInd w:val="0"/>
        <w:spacing w:line="440" w:lineRule="exact"/>
        <w:ind w:left="0" w:firstLine="424" w:firstLineChars="177"/>
        <w:rPr>
          <w:rFonts w:ascii="宋体" w:hAnsi="宋体" w:cs="Arial"/>
          <w:kern w:val="0"/>
          <w:sz w:val="24"/>
          <w:szCs w:val="24"/>
        </w:rPr>
      </w:pPr>
      <w:r>
        <w:rPr>
          <w:rFonts w:hint="eastAsia" w:ascii="宋体" w:hAnsi="宋体" w:cs="Arial"/>
          <w:kern w:val="0"/>
          <w:sz w:val="24"/>
          <w:szCs w:val="24"/>
        </w:rPr>
        <w:t xml:space="preserve">协议效力 </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本协议附件构成本协议不可分割的一部分，与本协议具有同等法律效力。本协议一式肆份，</w:t>
      </w:r>
      <w:r>
        <w:rPr>
          <w:rFonts w:hint="eastAsia" w:ascii="宋体" w:hAnsi="宋体"/>
          <w:kern w:val="0"/>
          <w:sz w:val="24"/>
          <w:szCs w:val="24"/>
        </w:rPr>
        <w:t>管理</w:t>
      </w:r>
      <w:r>
        <w:rPr>
          <w:rFonts w:hint="eastAsia" w:ascii="宋体" w:hAnsi="宋体" w:cs="Arial"/>
          <w:kern w:val="0"/>
          <w:sz w:val="24"/>
          <w:szCs w:val="24"/>
        </w:rPr>
        <w:t>人贰份，托管人贰份，每份具有同等法律效力。</w:t>
      </w:r>
    </w:p>
    <w:p>
      <w:pPr>
        <w:autoSpaceDE w:val="0"/>
        <w:autoSpaceDN w:val="0"/>
        <w:adjustRightInd w:val="0"/>
        <w:spacing w:line="440" w:lineRule="exact"/>
        <w:ind w:firstLine="424" w:firstLineChars="177"/>
        <w:rPr>
          <w:rFonts w:ascii="宋体" w:hAnsi="宋体" w:cs="Arial"/>
          <w:kern w:val="0"/>
          <w:sz w:val="24"/>
          <w:szCs w:val="24"/>
        </w:rPr>
      </w:pPr>
      <w:r>
        <w:rPr>
          <w:rFonts w:hint="eastAsia" w:ascii="宋体" w:hAnsi="宋体" w:cs="Arial"/>
          <w:kern w:val="0"/>
          <w:sz w:val="24"/>
          <w:szCs w:val="24"/>
        </w:rPr>
        <w:t>特别提示：未经过协议当事人书面同意，协议当事人一方不得对外披露本协议内容，不得将本协议作其他用途。因任何一方违反指定用途而产生的任何后果对方当事人不承担责任。</w:t>
      </w:r>
    </w:p>
    <w:p>
      <w:pPr>
        <w:spacing w:line="440" w:lineRule="exact"/>
        <w:ind w:right="-199"/>
        <w:jc w:val="center"/>
        <w:rPr>
          <w:rFonts w:ascii="宋体" w:hAnsi="宋体"/>
          <w:b/>
          <w:sz w:val="24"/>
          <w:szCs w:val="24"/>
        </w:rPr>
      </w:pPr>
      <w:r>
        <w:rPr>
          <w:rFonts w:ascii="宋体" w:hAnsi="宋体"/>
          <w:b/>
          <w:sz w:val="24"/>
          <w:szCs w:val="24"/>
        </w:rPr>
        <w:br w:type="page"/>
      </w:r>
      <w:r>
        <w:rPr>
          <w:rFonts w:hint="eastAsia" w:ascii="宋体" w:hAnsi="宋体"/>
          <w:b/>
          <w:sz w:val="24"/>
          <w:szCs w:val="24"/>
        </w:rPr>
        <w:t>[本页以下为空白，签署页附后]</w:t>
      </w:r>
    </w:p>
    <w:p>
      <w:pPr>
        <w:adjustRightInd w:val="0"/>
        <w:snapToGrid w:val="0"/>
        <w:spacing w:line="440" w:lineRule="exact"/>
        <w:jc w:val="center"/>
        <w:rPr>
          <w:rFonts w:ascii="宋体" w:hAnsi="宋体"/>
          <w:b/>
          <w:sz w:val="24"/>
          <w:szCs w:val="24"/>
        </w:rPr>
      </w:pPr>
      <w:r>
        <w:rPr>
          <w:rFonts w:hint="eastAsia" w:ascii="宋体" w:hAnsi="宋体"/>
          <w:b/>
          <w:sz w:val="24"/>
          <w:szCs w:val="24"/>
        </w:rPr>
        <w:t>（此页无正文，为编号：</w:t>
      </w:r>
      <w:r>
        <w:rPr>
          <w:rFonts w:hint="eastAsia" w:ascii="宋体" w:hAnsi="宋体"/>
          <w:b/>
          <w:sz w:val="24"/>
          <w:szCs w:val="24"/>
          <w:u w:val="single"/>
        </w:rPr>
        <w:t>YZFB</w:t>
      </w:r>
      <w:r>
        <w:rPr>
          <w:rFonts w:ascii="宋体" w:hAnsi="宋体"/>
          <w:b/>
          <w:sz w:val="24"/>
          <w:szCs w:val="24"/>
          <w:u w:val="single"/>
        </w:rPr>
        <w:t xml:space="preserve">2019 </w:t>
      </w:r>
      <w:r>
        <w:rPr>
          <w:rFonts w:hint="eastAsia" w:ascii="宋体" w:hAnsi="宋体"/>
          <w:b/>
          <w:sz w:val="24"/>
          <w:szCs w:val="24"/>
        </w:rPr>
        <w:t>《</w:t>
      </w:r>
      <w:r>
        <w:rPr>
          <w:rFonts w:hint="eastAsia" w:ascii="宋体" w:hAnsi="宋体"/>
          <w:b/>
          <w:bCs w:val="0"/>
          <w:sz w:val="24"/>
          <w:szCs w:val="24"/>
        </w:rPr>
        <w:t>厦门国际银行股份有限公司</w:t>
      </w:r>
      <w:r>
        <w:rPr>
          <w:rFonts w:hint="eastAsia" w:ascii="宋体" w:hAnsi="宋体" w:cs="宋体"/>
          <w:b/>
          <w:bCs w:val="0"/>
          <w:kern w:val="0"/>
          <w:sz w:val="24"/>
          <w:szCs w:val="24"/>
          <w:u w:val="single"/>
        </w:rPr>
        <w:t>赢展（封闭）系列净值型</w:t>
      </w:r>
      <w:r>
        <w:rPr>
          <w:rFonts w:hint="eastAsia" w:ascii="宋体" w:hAnsi="宋体"/>
          <w:b/>
          <w:bCs w:val="0"/>
          <w:sz w:val="24"/>
          <w:szCs w:val="24"/>
        </w:rPr>
        <w:t>理财产品托管协议</w:t>
      </w:r>
      <w:r>
        <w:rPr>
          <w:rFonts w:hint="eastAsia" w:ascii="宋体" w:hAnsi="宋体"/>
          <w:b/>
          <w:sz w:val="24"/>
          <w:szCs w:val="24"/>
        </w:rPr>
        <w:t>》之签署页）</w:t>
      </w:r>
    </w:p>
    <w:p>
      <w:pPr>
        <w:spacing w:line="440" w:lineRule="exact"/>
        <w:ind w:firstLine="480" w:firstLineChars="200"/>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highlight w:val="none"/>
        </w:rPr>
      </w:pPr>
      <w:r>
        <w:rPr>
          <w:rFonts w:hint="eastAsia" w:ascii="宋体" w:hAnsi="宋体"/>
          <w:sz w:val="24"/>
          <w:szCs w:val="24"/>
        </w:rPr>
        <w:t>管理人：厦门国际银行股份有</w:t>
      </w:r>
      <w:r>
        <w:rPr>
          <w:rFonts w:hint="eastAsia" w:ascii="宋体" w:hAnsi="宋体"/>
          <w:sz w:val="24"/>
          <w:szCs w:val="24"/>
          <w:highlight w:val="none"/>
        </w:rPr>
        <w:t>限公司</w:t>
      </w:r>
      <w:r>
        <w:rPr>
          <w:rFonts w:hint="eastAsia" w:ascii="宋体" w:hAnsi="宋体"/>
          <w:sz w:val="24"/>
          <w:szCs w:val="24"/>
          <w:highlight w:val="none"/>
        </w:rPr>
        <w:fldChar w:fldCharType="begin">
          <w:ffData>
            <w:name w:val="Text2"/>
            <w:enabled/>
            <w:calcOnExit w:val="0"/>
            <w:textInput/>
          </w:ffData>
        </w:fldChar>
      </w:r>
      <w:bookmarkStart w:id="34" w:name="Text2"/>
      <w:r>
        <w:rPr>
          <w:rFonts w:hint="eastAsia" w:ascii="宋体" w:hAnsi="宋体"/>
          <w:sz w:val="24"/>
          <w:szCs w:val="24"/>
          <w:highlight w:val="none"/>
        </w:rPr>
        <w:instrText xml:space="preserve">FORMTEXT</w:instrText>
      </w:r>
      <w:r>
        <w:rPr>
          <w:rFonts w:hint="eastAsia" w:ascii="宋体" w:hAnsi="宋体"/>
          <w:sz w:val="24"/>
          <w:szCs w:val="24"/>
          <w:highlight w:val="none"/>
        </w:rPr>
        <w:fldChar w:fldCharType="separate"/>
      </w:r>
      <w:r>
        <w:rPr>
          <w:rFonts w:hint="default" w:ascii="宋体" w:hAnsi="宋体"/>
          <w:sz w:val="24"/>
          <w:szCs w:val="24"/>
          <w:highlight w:val="none"/>
          <w:lang w:val="en-US"/>
        </w:rPr>
        <w:t> </w:t>
      </w:r>
      <w:r>
        <w:rPr>
          <w:rFonts w:hint="eastAsia" w:ascii="宋体" w:hAnsi="宋体"/>
          <w:sz w:val="24"/>
          <w:szCs w:val="24"/>
          <w:highlight w:val="none"/>
        </w:rPr>
        <w:t>厦门分行</w:t>
      </w:r>
      <w:r>
        <w:rPr>
          <w:rFonts w:hint="default" w:ascii="宋体" w:hAnsi="宋体"/>
          <w:sz w:val="24"/>
          <w:szCs w:val="24"/>
          <w:highlight w:val="none"/>
          <w:lang w:val="en-US"/>
        </w:rPr>
        <w:t>  </w:t>
      </w:r>
      <w:r>
        <w:rPr>
          <w:rFonts w:hint="eastAsia" w:ascii="宋体" w:hAnsi="宋体"/>
          <w:sz w:val="24"/>
          <w:szCs w:val="24"/>
          <w:highlight w:val="none"/>
        </w:rPr>
        <w:fldChar w:fldCharType="end"/>
      </w:r>
      <w:bookmarkEnd w:id="34"/>
      <w:r>
        <w:rPr>
          <w:rFonts w:hint="eastAsia" w:ascii="宋体" w:hAnsi="宋体"/>
          <w:sz w:val="24"/>
          <w:szCs w:val="24"/>
          <w:highlight w:val="none"/>
        </w:rPr>
        <w:tab/>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负责人：</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jc w:val="left"/>
        <w:rPr>
          <w:rFonts w:ascii="宋体" w:hAnsi="宋体"/>
          <w:sz w:val="24"/>
          <w:szCs w:val="24"/>
        </w:rPr>
      </w:pPr>
      <w:r>
        <w:rPr>
          <w:rFonts w:hint="eastAsia" w:ascii="宋体" w:hAnsi="宋体"/>
          <w:sz w:val="24"/>
          <w:szCs w:val="24"/>
        </w:rPr>
        <w:t>托管人：中国民生银行股份有限公司</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负责人：</w:t>
      </w:r>
    </w:p>
    <w:p>
      <w:pPr>
        <w:spacing w:line="440" w:lineRule="exact"/>
        <w:rPr>
          <w:rFonts w:ascii="宋体" w:hAnsi="宋体"/>
          <w:sz w:val="24"/>
          <w:szCs w:val="24"/>
        </w:rPr>
      </w:pPr>
    </w:p>
    <w:p>
      <w:pPr>
        <w:spacing w:line="440" w:lineRule="exact"/>
        <w:rPr>
          <w:rFonts w:ascii="宋体" w:hAnsi="宋体"/>
          <w:sz w:val="24"/>
          <w:szCs w:val="24"/>
        </w:rPr>
      </w:pPr>
    </w:p>
    <w:p>
      <w:pPr>
        <w:tabs>
          <w:tab w:val="left" w:pos="1650"/>
        </w:tabs>
        <w:spacing w:line="440" w:lineRule="exact"/>
        <w:rPr>
          <w:rFonts w:ascii="宋体" w:hAnsi="宋体" w:cs="宋体"/>
          <w:sz w:val="24"/>
          <w:szCs w:val="24"/>
        </w:rPr>
      </w:pPr>
      <w:r>
        <w:rPr>
          <w:rFonts w:hint="eastAsia" w:ascii="宋体" w:hAnsi="宋体" w:cs="宋体"/>
          <w:sz w:val="24"/>
          <w:szCs w:val="24"/>
        </w:rPr>
        <w:t xml:space="preserve">日期：   </w:t>
      </w:r>
      <w:bookmarkStart w:id="35" w:name="Text1"/>
      <w:r>
        <w:rPr>
          <w:rFonts w:hint="eastAsia" w:ascii="宋体" w:hAnsi="宋体" w:cs="宋体"/>
          <w:sz w:val="21"/>
          <w:szCs w:val="21"/>
        </w:rPr>
        <w:fldChar w:fldCharType="begin">
          <w:ffData>
            <w:name w:val="Text1"/>
            <w:enabled/>
            <w:calcOnExit w:val="0"/>
            <w:textInput/>
          </w:ffData>
        </w:fldChar>
      </w:r>
      <w:r>
        <w:rPr>
          <w:rFonts w:hint="eastAsia" w:ascii="宋体" w:hAnsi="宋体" w:cs="宋体"/>
          <w:sz w:val="21"/>
          <w:szCs w:val="21"/>
        </w:rPr>
        <w:instrText xml:space="preserve">FORMTEXT</w:instrText>
      </w:r>
      <w:r>
        <w:rPr>
          <w:rFonts w:hint="eastAsia" w:ascii="宋体" w:hAnsi="宋体" w:cs="宋体"/>
          <w:sz w:val="21"/>
          <w:szCs w:val="21"/>
        </w:rPr>
        <w:fldChar w:fldCharType="separate"/>
      </w:r>
      <w:r>
        <w:rPr>
          <w:rFonts w:hint="eastAsia" w:ascii="宋体" w:hAnsi="宋体" w:cs="宋体"/>
          <w:sz w:val="21"/>
          <w:szCs w:val="21"/>
          <w:lang w:val="en-US"/>
        </w:rPr>
        <w:t>     </w:t>
      </w:r>
      <w:r>
        <w:rPr>
          <w:rFonts w:hint="eastAsia" w:ascii="宋体" w:hAnsi="宋体" w:cs="宋体"/>
          <w:sz w:val="21"/>
          <w:szCs w:val="21"/>
        </w:rPr>
        <w:fldChar w:fldCharType="end"/>
      </w:r>
      <w:bookmarkEnd w:id="35"/>
      <w:r>
        <w:rPr>
          <w:rFonts w:hint="eastAsia" w:ascii="宋体" w:hAnsi="宋体" w:cs="宋体"/>
          <w:sz w:val="24"/>
          <w:szCs w:val="24"/>
        </w:rPr>
        <w:t>年</w:t>
      </w:r>
      <w:r>
        <w:rPr>
          <w:rFonts w:hint="eastAsia" w:ascii="宋体" w:hAnsi="宋体" w:cs="宋体"/>
          <w:sz w:val="21"/>
          <w:szCs w:val="21"/>
        </w:rPr>
        <w:fldChar w:fldCharType="begin">
          <w:ffData>
            <w:name w:val="Text1"/>
            <w:enabled/>
            <w:calcOnExit w:val="0"/>
            <w:textInput/>
          </w:ffData>
        </w:fldChar>
      </w:r>
      <w:r>
        <w:rPr>
          <w:rFonts w:hint="eastAsia" w:ascii="宋体" w:hAnsi="宋体" w:cs="宋体"/>
          <w:sz w:val="21"/>
          <w:szCs w:val="21"/>
        </w:rPr>
        <w:instrText xml:space="preserve">FORMTEXT</w:instrText>
      </w:r>
      <w:r>
        <w:rPr>
          <w:rFonts w:hint="eastAsia" w:ascii="宋体" w:hAnsi="宋体" w:cs="宋体"/>
          <w:sz w:val="21"/>
          <w:szCs w:val="21"/>
        </w:rPr>
        <w:fldChar w:fldCharType="separate"/>
      </w:r>
      <w:r>
        <w:rPr>
          <w:rFonts w:hint="eastAsia" w:ascii="宋体" w:hAnsi="宋体" w:cs="宋体"/>
          <w:sz w:val="21"/>
          <w:szCs w:val="21"/>
          <w:lang w:val="en-US"/>
        </w:rPr>
        <w:t>     </w:t>
      </w:r>
      <w:r>
        <w:rPr>
          <w:rFonts w:hint="eastAsia" w:ascii="宋体" w:hAnsi="宋体" w:cs="宋体"/>
          <w:sz w:val="21"/>
          <w:szCs w:val="21"/>
        </w:rPr>
        <w:fldChar w:fldCharType="end"/>
      </w:r>
      <w:r>
        <w:rPr>
          <w:rFonts w:hint="eastAsia" w:ascii="宋体" w:hAnsi="宋体" w:cs="宋体"/>
          <w:sz w:val="24"/>
          <w:szCs w:val="24"/>
        </w:rPr>
        <w:t>月</w:t>
      </w:r>
      <w:r>
        <w:rPr>
          <w:rFonts w:hint="eastAsia" w:ascii="宋体" w:hAnsi="宋体" w:cs="宋体"/>
          <w:sz w:val="21"/>
          <w:szCs w:val="21"/>
        </w:rPr>
        <w:fldChar w:fldCharType="begin">
          <w:ffData>
            <w:name w:val="Text1"/>
            <w:enabled/>
            <w:calcOnExit w:val="0"/>
            <w:textInput/>
          </w:ffData>
        </w:fldChar>
      </w:r>
      <w:r>
        <w:rPr>
          <w:rFonts w:hint="eastAsia" w:ascii="宋体" w:hAnsi="宋体" w:cs="宋体"/>
          <w:sz w:val="21"/>
          <w:szCs w:val="21"/>
        </w:rPr>
        <w:instrText xml:space="preserve">FORMTEXT</w:instrText>
      </w:r>
      <w:r>
        <w:rPr>
          <w:rFonts w:hint="eastAsia" w:ascii="宋体" w:hAnsi="宋体" w:cs="宋体"/>
          <w:sz w:val="21"/>
          <w:szCs w:val="21"/>
        </w:rPr>
        <w:fldChar w:fldCharType="separate"/>
      </w:r>
      <w:r>
        <w:rPr>
          <w:rFonts w:hint="eastAsia" w:ascii="宋体" w:hAnsi="宋体" w:cs="宋体"/>
          <w:sz w:val="21"/>
          <w:szCs w:val="21"/>
          <w:lang w:val="en-US"/>
        </w:rPr>
        <w:t>     </w:t>
      </w:r>
      <w:r>
        <w:rPr>
          <w:rFonts w:hint="eastAsia" w:ascii="宋体" w:hAnsi="宋体" w:cs="宋体"/>
          <w:sz w:val="21"/>
          <w:szCs w:val="21"/>
        </w:rPr>
        <w:fldChar w:fldCharType="end"/>
      </w:r>
      <w:r>
        <w:rPr>
          <w:rFonts w:hint="eastAsia" w:ascii="宋体" w:hAnsi="宋体" w:cs="宋体"/>
          <w:sz w:val="24"/>
          <w:szCs w:val="24"/>
        </w:rPr>
        <w:t>日</w:t>
      </w:r>
    </w:p>
    <w:p>
      <w:pPr>
        <w:tabs>
          <w:tab w:val="left" w:pos="1650"/>
        </w:tabs>
        <w:spacing w:line="440" w:lineRule="exact"/>
        <w:rPr>
          <w:rFonts w:ascii="宋体" w:hAnsi="宋体" w:cs="宋体"/>
          <w:sz w:val="24"/>
          <w:szCs w:val="24"/>
        </w:rPr>
      </w:pPr>
    </w:p>
    <w:p>
      <w:pPr>
        <w:tabs>
          <w:tab w:val="left" w:pos="1650"/>
        </w:tabs>
        <w:spacing w:line="440" w:lineRule="exact"/>
        <w:rPr>
          <w:rFonts w:ascii="宋体" w:hAnsi="宋体" w:cs="宋体"/>
          <w:sz w:val="24"/>
          <w:szCs w:val="24"/>
        </w:rPr>
      </w:pPr>
    </w:p>
    <w:p>
      <w:pPr>
        <w:tabs>
          <w:tab w:val="left" w:pos="1650"/>
        </w:tabs>
        <w:spacing w:line="440" w:lineRule="exact"/>
        <w:rPr>
          <w:rFonts w:ascii="宋体" w:hAnsi="宋体" w:cs="宋体"/>
          <w:sz w:val="24"/>
          <w:szCs w:val="24"/>
          <w:u w:val="single"/>
        </w:rPr>
      </w:pPr>
      <w:r>
        <w:rPr>
          <w:rFonts w:hint="eastAsia" w:ascii="宋体" w:hAnsi="宋体" w:cs="宋体"/>
          <w:sz w:val="24"/>
          <w:szCs w:val="24"/>
        </w:rPr>
        <w:t>见证人：________________</w:t>
      </w:r>
    </w:p>
    <w:p>
      <w:pPr>
        <w:autoSpaceDE w:val="0"/>
        <w:autoSpaceDN w:val="0"/>
        <w:adjustRightInd w:val="0"/>
        <w:spacing w:line="440" w:lineRule="exact"/>
        <w:jc w:val="left"/>
        <w:rPr>
          <w:rFonts w:ascii="宋体" w:hAnsi="宋体" w:cs="宋体"/>
          <w:kern w:val="0"/>
          <w:sz w:val="24"/>
          <w:szCs w:val="24"/>
        </w:rPr>
      </w:pPr>
      <w:bookmarkStart w:id="36" w:name="_GoBack"/>
      <w:bookmarkEnd w:id="36"/>
    </w:p>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39</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000000B"/>
    <w:multiLevelType w:val="multilevel"/>
    <w:tmpl w:val="000000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C"/>
    <w:multiLevelType w:val="multilevel"/>
    <w:tmpl w:val="000000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D"/>
    <w:multiLevelType w:val="multilevel"/>
    <w:tmpl w:val="0000000D"/>
    <w:lvl w:ilvl="0" w:tentative="0">
      <w:start w:val="1"/>
      <w:numFmt w:val="chineseCountingThousand"/>
      <w:lvlText w:val="(%1)"/>
      <w:lvlJc w:val="left"/>
      <w:pPr>
        <w:ind w:left="902" w:hanging="420"/>
      </w:pPr>
    </w:lvl>
    <w:lvl w:ilvl="1" w:tentative="0">
      <w:start w:val="1"/>
      <w:numFmt w:val="decimal"/>
      <w:lvlText w:val="%2."/>
      <w:lvlJc w:val="left"/>
      <w:pPr>
        <w:ind w:left="846"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E"/>
    <w:multiLevelType w:val="multilevel"/>
    <w:tmpl w:val="0000000E"/>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F"/>
    <w:multiLevelType w:val="multilevel"/>
    <w:tmpl w:val="0000000F"/>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10"/>
    <w:multiLevelType w:val="multilevel"/>
    <w:tmpl w:val="00000010"/>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11"/>
    <w:multiLevelType w:val="multilevel"/>
    <w:tmpl w:val="00000011"/>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2"/>
    <w:multiLevelType w:val="multilevel"/>
    <w:tmpl w:val="00000012"/>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13"/>
    <w:multiLevelType w:val="multilevel"/>
    <w:tmpl w:val="0000001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00000015"/>
    <w:multiLevelType w:val="multilevel"/>
    <w:tmpl w:val="00000015"/>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00000016"/>
    <w:multiLevelType w:val="multilevel"/>
    <w:tmpl w:val="0000001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0000017"/>
    <w:multiLevelType w:val="multilevel"/>
    <w:tmpl w:val="00000017"/>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4">
    <w:nsid w:val="00000018"/>
    <w:multiLevelType w:val="multilevel"/>
    <w:tmpl w:val="00000018"/>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0000001A"/>
    <w:multiLevelType w:val="multilevel"/>
    <w:tmpl w:val="0000001A"/>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
    <w:nsid w:val="0000001B"/>
    <w:multiLevelType w:val="multilevel"/>
    <w:tmpl w:val="0000001B"/>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000001C"/>
    <w:multiLevelType w:val="multilevel"/>
    <w:tmpl w:val="0000001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D"/>
    <w:multiLevelType w:val="multilevel"/>
    <w:tmpl w:val="0000001D"/>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0000001E"/>
    <w:multiLevelType w:val="multilevel"/>
    <w:tmpl w:val="0000001E"/>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1">
    <w:nsid w:val="0000001F"/>
    <w:multiLevelType w:val="multilevel"/>
    <w:tmpl w:val="0000001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20"/>
    <w:multiLevelType w:val="multilevel"/>
    <w:tmpl w:val="00000020"/>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3">
    <w:nsid w:val="00000021"/>
    <w:multiLevelType w:val="multilevel"/>
    <w:tmpl w:val="00000021"/>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4">
    <w:nsid w:val="00000022"/>
    <w:multiLevelType w:val="multilevel"/>
    <w:tmpl w:val="0000002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23"/>
    <w:multiLevelType w:val="multilevel"/>
    <w:tmpl w:val="00000023"/>
    <w:lvl w:ilvl="0" w:tentative="0">
      <w:start w:val="1"/>
      <w:numFmt w:val="decimal"/>
      <w:lvlText w:val="（%1）"/>
      <w:lvlJc w:val="left"/>
      <w:pPr>
        <w:ind w:left="396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0000024"/>
    <w:multiLevelType w:val="multilevel"/>
    <w:tmpl w:val="000000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00000025"/>
    <w:multiLevelType w:val="multilevel"/>
    <w:tmpl w:val="0000002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00000026"/>
    <w:multiLevelType w:val="multilevel"/>
    <w:tmpl w:val="00000026"/>
    <w:lvl w:ilvl="0" w:tentative="0">
      <w:start w:val="1"/>
      <w:numFmt w:val="decimal"/>
      <w:lvlText w:val="（%1）"/>
      <w:lvlJc w:val="left"/>
      <w:pPr>
        <w:ind w:left="846" w:hanging="420"/>
      </w:pPr>
      <w:rPr>
        <w:rFonts w:hint="eastAsia"/>
      </w:rPr>
    </w:lvl>
    <w:lvl w:ilvl="1" w:tentative="0">
      <w:start w:val="1"/>
      <w:numFmt w:val="lowerLetter"/>
      <w:lvlText w:val="%2)"/>
      <w:lvlJc w:val="left"/>
      <w:pPr>
        <w:ind w:left="-1232" w:hanging="420"/>
      </w:pPr>
    </w:lvl>
    <w:lvl w:ilvl="2" w:tentative="0">
      <w:start w:val="1"/>
      <w:numFmt w:val="lowerRoman"/>
      <w:lvlText w:val="%3."/>
      <w:lvlJc w:val="right"/>
      <w:pPr>
        <w:ind w:left="-812" w:hanging="420"/>
      </w:pPr>
    </w:lvl>
    <w:lvl w:ilvl="3" w:tentative="0">
      <w:start w:val="1"/>
      <w:numFmt w:val="decimal"/>
      <w:lvlText w:val="%4."/>
      <w:lvlJc w:val="left"/>
      <w:pPr>
        <w:ind w:left="-392" w:hanging="420"/>
      </w:pPr>
    </w:lvl>
    <w:lvl w:ilvl="4" w:tentative="0">
      <w:start w:val="1"/>
      <w:numFmt w:val="lowerLetter"/>
      <w:lvlText w:val="%5)"/>
      <w:lvlJc w:val="left"/>
      <w:pPr>
        <w:ind w:left="28" w:hanging="420"/>
      </w:pPr>
    </w:lvl>
    <w:lvl w:ilvl="5" w:tentative="0">
      <w:start w:val="1"/>
      <w:numFmt w:val="lowerRoman"/>
      <w:lvlText w:val="%6."/>
      <w:lvlJc w:val="right"/>
      <w:pPr>
        <w:ind w:left="448" w:hanging="420"/>
      </w:pPr>
    </w:lvl>
    <w:lvl w:ilvl="6" w:tentative="0">
      <w:start w:val="1"/>
      <w:numFmt w:val="decimal"/>
      <w:lvlText w:val="%7."/>
      <w:lvlJc w:val="left"/>
      <w:pPr>
        <w:ind w:left="868" w:hanging="420"/>
      </w:pPr>
    </w:lvl>
    <w:lvl w:ilvl="7" w:tentative="0">
      <w:start w:val="1"/>
      <w:numFmt w:val="lowerLetter"/>
      <w:lvlText w:val="%8)"/>
      <w:lvlJc w:val="left"/>
      <w:pPr>
        <w:ind w:left="1288" w:hanging="420"/>
      </w:pPr>
    </w:lvl>
    <w:lvl w:ilvl="8" w:tentative="0">
      <w:start w:val="1"/>
      <w:numFmt w:val="lowerRoman"/>
      <w:lvlText w:val="%9."/>
      <w:lvlJc w:val="right"/>
      <w:pPr>
        <w:ind w:left="1708" w:hanging="420"/>
      </w:pPr>
    </w:lvl>
  </w:abstractNum>
  <w:abstractNum w:abstractNumId="29">
    <w:nsid w:val="00000027"/>
    <w:multiLevelType w:val="multilevel"/>
    <w:tmpl w:val="000000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00000028"/>
    <w:multiLevelType w:val="multilevel"/>
    <w:tmpl w:val="00000028"/>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b w:val="0"/>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00000029"/>
    <w:multiLevelType w:val="multilevel"/>
    <w:tmpl w:val="00000029"/>
    <w:lvl w:ilvl="0" w:tentative="0">
      <w:start w:val="1"/>
      <w:numFmt w:val="chineseCountingThousand"/>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0000002A"/>
    <w:multiLevelType w:val="multilevel"/>
    <w:tmpl w:val="0000002A"/>
    <w:lvl w:ilvl="0" w:tentative="0">
      <w:start w:val="1"/>
      <w:numFmt w:val="japaneseCounting"/>
      <w:pStyle w:val="2"/>
      <w:lvlText w:val="第%1章"/>
      <w:lvlJc w:val="left"/>
      <w:pPr>
        <w:tabs>
          <w:tab w:val="left" w:pos="1431"/>
        </w:tabs>
        <w:ind w:left="1431" w:hanging="1005"/>
      </w:pPr>
      <w:rPr>
        <w:rFonts w:hint="eastAsia" w:ascii="宋体" w:hAnsi="宋体" w:eastAsia="宋体"/>
        <w:sz w:val="24"/>
        <w:szCs w:val="24"/>
        <w:lang w:val="en-US"/>
      </w:rPr>
    </w:lvl>
    <w:lvl w:ilvl="1" w:tentative="0">
      <w:start w:val="1"/>
      <w:numFmt w:val="decimal"/>
      <w:lvlText w:val="%2、"/>
      <w:lvlJc w:val="left"/>
      <w:pPr>
        <w:ind w:left="1260" w:hanging="840"/>
      </w:pPr>
      <w:rPr>
        <w:rFonts w:hint="default"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2B"/>
    <w:multiLevelType w:val="multilevel"/>
    <w:tmpl w:val="0000002B"/>
    <w:lvl w:ilvl="0" w:tentative="0">
      <w:start w:val="1"/>
      <w:numFmt w:val="chineseCountingThousand"/>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4">
    <w:nsid w:val="0000002C"/>
    <w:multiLevelType w:val="multilevel"/>
    <w:tmpl w:val="0000002C"/>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5">
    <w:nsid w:val="0000002D"/>
    <w:multiLevelType w:val="multilevel"/>
    <w:tmpl w:val="0000002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2"/>
  </w:num>
  <w:num w:numId="2">
    <w:abstractNumId w:val="33"/>
  </w:num>
  <w:num w:numId="3">
    <w:abstractNumId w:val="10"/>
  </w:num>
  <w:num w:numId="4">
    <w:abstractNumId w:val="31"/>
  </w:num>
  <w:num w:numId="5">
    <w:abstractNumId w:val="18"/>
  </w:num>
  <w:num w:numId="6">
    <w:abstractNumId w:val="28"/>
  </w:num>
  <w:num w:numId="7">
    <w:abstractNumId w:val="25"/>
  </w:num>
  <w:num w:numId="8">
    <w:abstractNumId w:val="24"/>
  </w:num>
  <w:num w:numId="9">
    <w:abstractNumId w:val="1"/>
  </w:num>
  <w:num w:numId="10">
    <w:abstractNumId w:val="35"/>
  </w:num>
  <w:num w:numId="11">
    <w:abstractNumId w:val="4"/>
  </w:num>
  <w:num w:numId="12">
    <w:abstractNumId w:val="27"/>
  </w:num>
  <w:num w:numId="13">
    <w:abstractNumId w:val="12"/>
  </w:num>
  <w:num w:numId="14">
    <w:abstractNumId w:val="3"/>
  </w:num>
  <w:num w:numId="15">
    <w:abstractNumId w:val="15"/>
  </w:num>
  <w:num w:numId="16">
    <w:abstractNumId w:val="7"/>
  </w:num>
  <w:num w:numId="17">
    <w:abstractNumId w:val="30"/>
  </w:num>
  <w:num w:numId="18">
    <w:abstractNumId w:val="16"/>
  </w:num>
  <w:num w:numId="19">
    <w:abstractNumId w:val="22"/>
  </w:num>
  <w:num w:numId="20">
    <w:abstractNumId w:val="13"/>
  </w:num>
  <w:num w:numId="21">
    <w:abstractNumId w:val="14"/>
  </w:num>
  <w:num w:numId="22">
    <w:abstractNumId w:val="0"/>
  </w:num>
  <w:num w:numId="23">
    <w:abstractNumId w:val="5"/>
  </w:num>
  <w:num w:numId="24">
    <w:abstractNumId w:val="2"/>
  </w:num>
  <w:num w:numId="25">
    <w:abstractNumId w:val="21"/>
  </w:num>
  <w:num w:numId="26">
    <w:abstractNumId w:val="34"/>
  </w:num>
  <w:num w:numId="27">
    <w:abstractNumId w:val="6"/>
  </w:num>
  <w:num w:numId="28">
    <w:abstractNumId w:val="9"/>
  </w:num>
  <w:num w:numId="29">
    <w:abstractNumId w:val="11"/>
  </w:num>
  <w:num w:numId="30">
    <w:abstractNumId w:val="17"/>
  </w:num>
  <w:num w:numId="31">
    <w:abstractNumId w:val="26"/>
  </w:num>
  <w:num w:numId="32">
    <w:abstractNumId w:val="19"/>
  </w:num>
  <w:num w:numId="33">
    <w:abstractNumId w:val="8"/>
  </w:num>
  <w:num w:numId="34">
    <w:abstractNumId w:val="20"/>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dit="readOnly" w:formatting="1"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83"/>
    <w:rsid w:val="00004A3F"/>
    <w:rsid w:val="0000543D"/>
    <w:rsid w:val="0001023D"/>
    <w:rsid w:val="000107A5"/>
    <w:rsid w:val="000112BA"/>
    <w:rsid w:val="00015EDD"/>
    <w:rsid w:val="000218E0"/>
    <w:rsid w:val="00023B10"/>
    <w:rsid w:val="00033531"/>
    <w:rsid w:val="00041387"/>
    <w:rsid w:val="00041FF5"/>
    <w:rsid w:val="00051C86"/>
    <w:rsid w:val="00053FD1"/>
    <w:rsid w:val="000665AB"/>
    <w:rsid w:val="000671CA"/>
    <w:rsid w:val="0007059D"/>
    <w:rsid w:val="00092F94"/>
    <w:rsid w:val="00094331"/>
    <w:rsid w:val="00097314"/>
    <w:rsid w:val="000A086E"/>
    <w:rsid w:val="000A42CA"/>
    <w:rsid w:val="000B1FF6"/>
    <w:rsid w:val="000B4728"/>
    <w:rsid w:val="000B618D"/>
    <w:rsid w:val="000C4480"/>
    <w:rsid w:val="000C45B3"/>
    <w:rsid w:val="000C7473"/>
    <w:rsid w:val="000D1B8B"/>
    <w:rsid w:val="000D25D6"/>
    <w:rsid w:val="000D573C"/>
    <w:rsid w:val="000F2FAE"/>
    <w:rsid w:val="00105C28"/>
    <w:rsid w:val="00110A38"/>
    <w:rsid w:val="00115AB5"/>
    <w:rsid w:val="00116931"/>
    <w:rsid w:val="001176BC"/>
    <w:rsid w:val="001178E4"/>
    <w:rsid w:val="00121B8B"/>
    <w:rsid w:val="00122C14"/>
    <w:rsid w:val="00123F2F"/>
    <w:rsid w:val="001246EA"/>
    <w:rsid w:val="00131A82"/>
    <w:rsid w:val="00132944"/>
    <w:rsid w:val="00133F0E"/>
    <w:rsid w:val="00134417"/>
    <w:rsid w:val="00136C17"/>
    <w:rsid w:val="0014548D"/>
    <w:rsid w:val="001558C9"/>
    <w:rsid w:val="0016409A"/>
    <w:rsid w:val="00170E55"/>
    <w:rsid w:val="0017259C"/>
    <w:rsid w:val="00172A27"/>
    <w:rsid w:val="00174BB9"/>
    <w:rsid w:val="00185456"/>
    <w:rsid w:val="001920ED"/>
    <w:rsid w:val="00193B3D"/>
    <w:rsid w:val="00195B4E"/>
    <w:rsid w:val="001A0150"/>
    <w:rsid w:val="001A1E57"/>
    <w:rsid w:val="001A3A98"/>
    <w:rsid w:val="001A69CE"/>
    <w:rsid w:val="001B1F18"/>
    <w:rsid w:val="001B29A3"/>
    <w:rsid w:val="001B7205"/>
    <w:rsid w:val="001C04B5"/>
    <w:rsid w:val="001D05C0"/>
    <w:rsid w:val="001D09B4"/>
    <w:rsid w:val="001D2601"/>
    <w:rsid w:val="001D41C2"/>
    <w:rsid w:val="001E3DF8"/>
    <w:rsid w:val="001E43EC"/>
    <w:rsid w:val="001E5D08"/>
    <w:rsid w:val="001E6A7F"/>
    <w:rsid w:val="001F2484"/>
    <w:rsid w:val="001F66C1"/>
    <w:rsid w:val="00200608"/>
    <w:rsid w:val="00202B18"/>
    <w:rsid w:val="00204642"/>
    <w:rsid w:val="00207684"/>
    <w:rsid w:val="0022041D"/>
    <w:rsid w:val="002261B4"/>
    <w:rsid w:val="002270B3"/>
    <w:rsid w:val="002273A4"/>
    <w:rsid w:val="00227B1D"/>
    <w:rsid w:val="002351A5"/>
    <w:rsid w:val="00236018"/>
    <w:rsid w:val="00236022"/>
    <w:rsid w:val="00240C56"/>
    <w:rsid w:val="002422B1"/>
    <w:rsid w:val="0024707C"/>
    <w:rsid w:val="00247E76"/>
    <w:rsid w:val="00251B89"/>
    <w:rsid w:val="00264802"/>
    <w:rsid w:val="00266E77"/>
    <w:rsid w:val="00270C32"/>
    <w:rsid w:val="00272262"/>
    <w:rsid w:val="002747A8"/>
    <w:rsid w:val="0027624E"/>
    <w:rsid w:val="002769D0"/>
    <w:rsid w:val="00284145"/>
    <w:rsid w:val="002860E5"/>
    <w:rsid w:val="002A1C2B"/>
    <w:rsid w:val="002A33F4"/>
    <w:rsid w:val="002A3F52"/>
    <w:rsid w:val="002A48F4"/>
    <w:rsid w:val="002A7411"/>
    <w:rsid w:val="002B0006"/>
    <w:rsid w:val="002B1AE3"/>
    <w:rsid w:val="002B2E74"/>
    <w:rsid w:val="002C1415"/>
    <w:rsid w:val="002C557C"/>
    <w:rsid w:val="002D48F4"/>
    <w:rsid w:val="002E495C"/>
    <w:rsid w:val="002E615B"/>
    <w:rsid w:val="002E7124"/>
    <w:rsid w:val="002F3C8B"/>
    <w:rsid w:val="002F4609"/>
    <w:rsid w:val="002F4997"/>
    <w:rsid w:val="002F5C7D"/>
    <w:rsid w:val="002F5D34"/>
    <w:rsid w:val="002F6000"/>
    <w:rsid w:val="002F681C"/>
    <w:rsid w:val="003004E0"/>
    <w:rsid w:val="00302D1C"/>
    <w:rsid w:val="0030582A"/>
    <w:rsid w:val="003115B6"/>
    <w:rsid w:val="00311965"/>
    <w:rsid w:val="00314EFB"/>
    <w:rsid w:val="00315CD8"/>
    <w:rsid w:val="0031650E"/>
    <w:rsid w:val="00316FEF"/>
    <w:rsid w:val="003205B3"/>
    <w:rsid w:val="00324E97"/>
    <w:rsid w:val="003268A1"/>
    <w:rsid w:val="00334562"/>
    <w:rsid w:val="00342830"/>
    <w:rsid w:val="0035229E"/>
    <w:rsid w:val="003542C1"/>
    <w:rsid w:val="003646EC"/>
    <w:rsid w:val="00365D93"/>
    <w:rsid w:val="00374016"/>
    <w:rsid w:val="00381AA4"/>
    <w:rsid w:val="00382D15"/>
    <w:rsid w:val="00387673"/>
    <w:rsid w:val="00394D59"/>
    <w:rsid w:val="003952F7"/>
    <w:rsid w:val="003960DA"/>
    <w:rsid w:val="003964D3"/>
    <w:rsid w:val="003A3366"/>
    <w:rsid w:val="003A50E1"/>
    <w:rsid w:val="003A781F"/>
    <w:rsid w:val="003C4A44"/>
    <w:rsid w:val="003C7F78"/>
    <w:rsid w:val="003D122D"/>
    <w:rsid w:val="003D6853"/>
    <w:rsid w:val="003E2369"/>
    <w:rsid w:val="003E40DE"/>
    <w:rsid w:val="003E41C1"/>
    <w:rsid w:val="003E68F0"/>
    <w:rsid w:val="003F2E17"/>
    <w:rsid w:val="003F64BD"/>
    <w:rsid w:val="00406439"/>
    <w:rsid w:val="004102F6"/>
    <w:rsid w:val="00413DC0"/>
    <w:rsid w:val="004141F3"/>
    <w:rsid w:val="00420C6A"/>
    <w:rsid w:val="00421B1A"/>
    <w:rsid w:val="0042249F"/>
    <w:rsid w:val="004224BF"/>
    <w:rsid w:val="00422994"/>
    <w:rsid w:val="004241A2"/>
    <w:rsid w:val="00424940"/>
    <w:rsid w:val="0042789A"/>
    <w:rsid w:val="00431875"/>
    <w:rsid w:val="00433368"/>
    <w:rsid w:val="0043791C"/>
    <w:rsid w:val="00443A67"/>
    <w:rsid w:val="0047169A"/>
    <w:rsid w:val="00475F9A"/>
    <w:rsid w:val="004762F8"/>
    <w:rsid w:val="0047662D"/>
    <w:rsid w:val="00477148"/>
    <w:rsid w:val="004861BE"/>
    <w:rsid w:val="00492943"/>
    <w:rsid w:val="00495120"/>
    <w:rsid w:val="004A5DC0"/>
    <w:rsid w:val="004A745D"/>
    <w:rsid w:val="004B0B39"/>
    <w:rsid w:val="004B2BE1"/>
    <w:rsid w:val="004B601B"/>
    <w:rsid w:val="004B6ACB"/>
    <w:rsid w:val="004C183F"/>
    <w:rsid w:val="004C3ED3"/>
    <w:rsid w:val="004D3367"/>
    <w:rsid w:val="004D6CED"/>
    <w:rsid w:val="004E196F"/>
    <w:rsid w:val="004E6208"/>
    <w:rsid w:val="004E6962"/>
    <w:rsid w:val="004F2558"/>
    <w:rsid w:val="004F3C34"/>
    <w:rsid w:val="00505662"/>
    <w:rsid w:val="00512767"/>
    <w:rsid w:val="00514A4C"/>
    <w:rsid w:val="005218CC"/>
    <w:rsid w:val="00525AD7"/>
    <w:rsid w:val="00530ED0"/>
    <w:rsid w:val="00535678"/>
    <w:rsid w:val="0054122A"/>
    <w:rsid w:val="00542721"/>
    <w:rsid w:val="00546FE8"/>
    <w:rsid w:val="00555011"/>
    <w:rsid w:val="00564497"/>
    <w:rsid w:val="00567601"/>
    <w:rsid w:val="0057054B"/>
    <w:rsid w:val="00573B2A"/>
    <w:rsid w:val="005751C7"/>
    <w:rsid w:val="00575475"/>
    <w:rsid w:val="0058018C"/>
    <w:rsid w:val="00580470"/>
    <w:rsid w:val="00582A9C"/>
    <w:rsid w:val="00584153"/>
    <w:rsid w:val="00584AC8"/>
    <w:rsid w:val="00591835"/>
    <w:rsid w:val="005967FF"/>
    <w:rsid w:val="005B30DE"/>
    <w:rsid w:val="005B3E7C"/>
    <w:rsid w:val="005C2DE4"/>
    <w:rsid w:val="005D0D62"/>
    <w:rsid w:val="005D1A6D"/>
    <w:rsid w:val="005D4059"/>
    <w:rsid w:val="005D7FF9"/>
    <w:rsid w:val="005F29BB"/>
    <w:rsid w:val="00606237"/>
    <w:rsid w:val="00607B49"/>
    <w:rsid w:val="00611F42"/>
    <w:rsid w:val="00624AE9"/>
    <w:rsid w:val="00631AD7"/>
    <w:rsid w:val="00634FFB"/>
    <w:rsid w:val="006356A0"/>
    <w:rsid w:val="00636452"/>
    <w:rsid w:val="006434C2"/>
    <w:rsid w:val="0065183E"/>
    <w:rsid w:val="0065248C"/>
    <w:rsid w:val="006720EA"/>
    <w:rsid w:val="00675F53"/>
    <w:rsid w:val="006760F8"/>
    <w:rsid w:val="00680ACD"/>
    <w:rsid w:val="00686945"/>
    <w:rsid w:val="00690F94"/>
    <w:rsid w:val="006B07D7"/>
    <w:rsid w:val="006B09EE"/>
    <w:rsid w:val="006B147B"/>
    <w:rsid w:val="006B6BB7"/>
    <w:rsid w:val="006C339E"/>
    <w:rsid w:val="006C5552"/>
    <w:rsid w:val="006C56D6"/>
    <w:rsid w:val="006C6B68"/>
    <w:rsid w:val="006D27A3"/>
    <w:rsid w:val="006D2CCA"/>
    <w:rsid w:val="006D40F5"/>
    <w:rsid w:val="006E2749"/>
    <w:rsid w:val="006E4320"/>
    <w:rsid w:val="006F4AB6"/>
    <w:rsid w:val="00704DAC"/>
    <w:rsid w:val="007050A7"/>
    <w:rsid w:val="0070512B"/>
    <w:rsid w:val="007059B2"/>
    <w:rsid w:val="00705B46"/>
    <w:rsid w:val="00711A89"/>
    <w:rsid w:val="007522F0"/>
    <w:rsid w:val="00755363"/>
    <w:rsid w:val="007578BF"/>
    <w:rsid w:val="007579EF"/>
    <w:rsid w:val="007802E6"/>
    <w:rsid w:val="0078427D"/>
    <w:rsid w:val="00784F82"/>
    <w:rsid w:val="00787A3B"/>
    <w:rsid w:val="007906B7"/>
    <w:rsid w:val="007967A3"/>
    <w:rsid w:val="007A0FB1"/>
    <w:rsid w:val="007A3BA1"/>
    <w:rsid w:val="007A3EA4"/>
    <w:rsid w:val="007A4534"/>
    <w:rsid w:val="007A4CD1"/>
    <w:rsid w:val="007B035D"/>
    <w:rsid w:val="007B2FEC"/>
    <w:rsid w:val="007B33C5"/>
    <w:rsid w:val="007B6C9D"/>
    <w:rsid w:val="007C0DA1"/>
    <w:rsid w:val="007D6BB0"/>
    <w:rsid w:val="007D6C93"/>
    <w:rsid w:val="007E1CBA"/>
    <w:rsid w:val="007F2233"/>
    <w:rsid w:val="007F2E96"/>
    <w:rsid w:val="008018BB"/>
    <w:rsid w:val="00802934"/>
    <w:rsid w:val="008034E1"/>
    <w:rsid w:val="00804955"/>
    <w:rsid w:val="00813073"/>
    <w:rsid w:val="00820667"/>
    <w:rsid w:val="00820C58"/>
    <w:rsid w:val="0082709C"/>
    <w:rsid w:val="00840CB6"/>
    <w:rsid w:val="00843A36"/>
    <w:rsid w:val="00843B0F"/>
    <w:rsid w:val="00846C3C"/>
    <w:rsid w:val="00851D70"/>
    <w:rsid w:val="00856970"/>
    <w:rsid w:val="00857135"/>
    <w:rsid w:val="00861BE2"/>
    <w:rsid w:val="00861C46"/>
    <w:rsid w:val="008705B2"/>
    <w:rsid w:val="008752E6"/>
    <w:rsid w:val="008773D6"/>
    <w:rsid w:val="0089099E"/>
    <w:rsid w:val="008A294C"/>
    <w:rsid w:val="008A2FCC"/>
    <w:rsid w:val="008A4208"/>
    <w:rsid w:val="008A4CE3"/>
    <w:rsid w:val="008B2487"/>
    <w:rsid w:val="008B4D42"/>
    <w:rsid w:val="008C1CAE"/>
    <w:rsid w:val="008C2F85"/>
    <w:rsid w:val="008D12B2"/>
    <w:rsid w:val="008E20DD"/>
    <w:rsid w:val="008F20BC"/>
    <w:rsid w:val="008F74BB"/>
    <w:rsid w:val="0090508A"/>
    <w:rsid w:val="00906AC6"/>
    <w:rsid w:val="00907495"/>
    <w:rsid w:val="00910D83"/>
    <w:rsid w:val="00911976"/>
    <w:rsid w:val="009234F2"/>
    <w:rsid w:val="0092498F"/>
    <w:rsid w:val="00924BD5"/>
    <w:rsid w:val="009261AE"/>
    <w:rsid w:val="00930F7E"/>
    <w:rsid w:val="0093278E"/>
    <w:rsid w:val="00932E0A"/>
    <w:rsid w:val="00933CC1"/>
    <w:rsid w:val="00944E7B"/>
    <w:rsid w:val="00955568"/>
    <w:rsid w:val="009555BC"/>
    <w:rsid w:val="009611BC"/>
    <w:rsid w:val="0096436B"/>
    <w:rsid w:val="00965562"/>
    <w:rsid w:val="00965A96"/>
    <w:rsid w:val="00976CAF"/>
    <w:rsid w:val="00980109"/>
    <w:rsid w:val="00981087"/>
    <w:rsid w:val="0098428C"/>
    <w:rsid w:val="00991F63"/>
    <w:rsid w:val="009962CD"/>
    <w:rsid w:val="00997C3B"/>
    <w:rsid w:val="009A0AA2"/>
    <w:rsid w:val="009A0B7E"/>
    <w:rsid w:val="009A574F"/>
    <w:rsid w:val="009A5F44"/>
    <w:rsid w:val="009B0CF1"/>
    <w:rsid w:val="009B1F50"/>
    <w:rsid w:val="009B3060"/>
    <w:rsid w:val="009B5932"/>
    <w:rsid w:val="009B680D"/>
    <w:rsid w:val="009C7187"/>
    <w:rsid w:val="009C71F5"/>
    <w:rsid w:val="009C755F"/>
    <w:rsid w:val="009D4DB9"/>
    <w:rsid w:val="009D4E46"/>
    <w:rsid w:val="009D6C83"/>
    <w:rsid w:val="009E17CC"/>
    <w:rsid w:val="009E5915"/>
    <w:rsid w:val="009E6031"/>
    <w:rsid w:val="009E7579"/>
    <w:rsid w:val="009F3A51"/>
    <w:rsid w:val="009F4C69"/>
    <w:rsid w:val="009F53FE"/>
    <w:rsid w:val="009F5910"/>
    <w:rsid w:val="009F6FAA"/>
    <w:rsid w:val="00A022C0"/>
    <w:rsid w:val="00A03241"/>
    <w:rsid w:val="00A032D4"/>
    <w:rsid w:val="00A038DA"/>
    <w:rsid w:val="00A14D57"/>
    <w:rsid w:val="00A20641"/>
    <w:rsid w:val="00A20AF1"/>
    <w:rsid w:val="00A21BD0"/>
    <w:rsid w:val="00A27146"/>
    <w:rsid w:val="00A30DE1"/>
    <w:rsid w:val="00A30EF0"/>
    <w:rsid w:val="00A360AF"/>
    <w:rsid w:val="00A379A2"/>
    <w:rsid w:val="00A40DD5"/>
    <w:rsid w:val="00A513D9"/>
    <w:rsid w:val="00A56171"/>
    <w:rsid w:val="00A61589"/>
    <w:rsid w:val="00A62101"/>
    <w:rsid w:val="00A702E6"/>
    <w:rsid w:val="00A74F8C"/>
    <w:rsid w:val="00A75925"/>
    <w:rsid w:val="00A7658C"/>
    <w:rsid w:val="00A803E6"/>
    <w:rsid w:val="00A90D46"/>
    <w:rsid w:val="00A926E2"/>
    <w:rsid w:val="00AB318A"/>
    <w:rsid w:val="00AB36E4"/>
    <w:rsid w:val="00AB473B"/>
    <w:rsid w:val="00AC4A51"/>
    <w:rsid w:val="00AC5620"/>
    <w:rsid w:val="00AD0FFB"/>
    <w:rsid w:val="00AD6242"/>
    <w:rsid w:val="00AE612E"/>
    <w:rsid w:val="00AF001C"/>
    <w:rsid w:val="00AF473F"/>
    <w:rsid w:val="00AF6226"/>
    <w:rsid w:val="00AF66A5"/>
    <w:rsid w:val="00B0159C"/>
    <w:rsid w:val="00B15EB8"/>
    <w:rsid w:val="00B20567"/>
    <w:rsid w:val="00B26421"/>
    <w:rsid w:val="00B277BF"/>
    <w:rsid w:val="00B3015C"/>
    <w:rsid w:val="00B305A2"/>
    <w:rsid w:val="00B312A5"/>
    <w:rsid w:val="00B436AE"/>
    <w:rsid w:val="00B4453A"/>
    <w:rsid w:val="00B44E10"/>
    <w:rsid w:val="00B50C05"/>
    <w:rsid w:val="00B5124C"/>
    <w:rsid w:val="00B516EF"/>
    <w:rsid w:val="00B51F03"/>
    <w:rsid w:val="00B536DD"/>
    <w:rsid w:val="00B537ED"/>
    <w:rsid w:val="00B55432"/>
    <w:rsid w:val="00B55CF4"/>
    <w:rsid w:val="00B62B62"/>
    <w:rsid w:val="00B6340A"/>
    <w:rsid w:val="00B66710"/>
    <w:rsid w:val="00B668B3"/>
    <w:rsid w:val="00B67097"/>
    <w:rsid w:val="00B67657"/>
    <w:rsid w:val="00B7233D"/>
    <w:rsid w:val="00B751EF"/>
    <w:rsid w:val="00B80A60"/>
    <w:rsid w:val="00BA0E6E"/>
    <w:rsid w:val="00BA11A6"/>
    <w:rsid w:val="00BA39CA"/>
    <w:rsid w:val="00BA7CD5"/>
    <w:rsid w:val="00BB27FC"/>
    <w:rsid w:val="00BB651B"/>
    <w:rsid w:val="00BC2918"/>
    <w:rsid w:val="00BC6D04"/>
    <w:rsid w:val="00BD4709"/>
    <w:rsid w:val="00BD4B42"/>
    <w:rsid w:val="00BD60DE"/>
    <w:rsid w:val="00BD7DC2"/>
    <w:rsid w:val="00BE7419"/>
    <w:rsid w:val="00BF1070"/>
    <w:rsid w:val="00BF415C"/>
    <w:rsid w:val="00C0162D"/>
    <w:rsid w:val="00C02912"/>
    <w:rsid w:val="00C02C86"/>
    <w:rsid w:val="00C0592F"/>
    <w:rsid w:val="00C06B8E"/>
    <w:rsid w:val="00C11512"/>
    <w:rsid w:val="00C12FC2"/>
    <w:rsid w:val="00C17C75"/>
    <w:rsid w:val="00C34B76"/>
    <w:rsid w:val="00C355A1"/>
    <w:rsid w:val="00C36660"/>
    <w:rsid w:val="00C46302"/>
    <w:rsid w:val="00C477E5"/>
    <w:rsid w:val="00C5417C"/>
    <w:rsid w:val="00C55300"/>
    <w:rsid w:val="00C553AB"/>
    <w:rsid w:val="00C56F19"/>
    <w:rsid w:val="00C57067"/>
    <w:rsid w:val="00C57923"/>
    <w:rsid w:val="00C606F0"/>
    <w:rsid w:val="00C620D7"/>
    <w:rsid w:val="00C637AA"/>
    <w:rsid w:val="00C76A1F"/>
    <w:rsid w:val="00C8161E"/>
    <w:rsid w:val="00C82802"/>
    <w:rsid w:val="00C870D5"/>
    <w:rsid w:val="00C92AF9"/>
    <w:rsid w:val="00C939AC"/>
    <w:rsid w:val="00C93C3F"/>
    <w:rsid w:val="00C9528A"/>
    <w:rsid w:val="00CA1DD6"/>
    <w:rsid w:val="00CA3CDC"/>
    <w:rsid w:val="00CA4F91"/>
    <w:rsid w:val="00CA521E"/>
    <w:rsid w:val="00CC4C8D"/>
    <w:rsid w:val="00CC69D8"/>
    <w:rsid w:val="00CD6371"/>
    <w:rsid w:val="00CE4E1A"/>
    <w:rsid w:val="00CE77A7"/>
    <w:rsid w:val="00CF15AC"/>
    <w:rsid w:val="00CF4C40"/>
    <w:rsid w:val="00CF50AF"/>
    <w:rsid w:val="00CF6316"/>
    <w:rsid w:val="00D005D8"/>
    <w:rsid w:val="00D02560"/>
    <w:rsid w:val="00D0286D"/>
    <w:rsid w:val="00D05A7E"/>
    <w:rsid w:val="00D06288"/>
    <w:rsid w:val="00D13E4F"/>
    <w:rsid w:val="00D14556"/>
    <w:rsid w:val="00D17E94"/>
    <w:rsid w:val="00D206AC"/>
    <w:rsid w:val="00D2281E"/>
    <w:rsid w:val="00D260D6"/>
    <w:rsid w:val="00D26CB3"/>
    <w:rsid w:val="00D27773"/>
    <w:rsid w:val="00D51ED7"/>
    <w:rsid w:val="00D56866"/>
    <w:rsid w:val="00D57AFC"/>
    <w:rsid w:val="00D605A9"/>
    <w:rsid w:val="00D628D6"/>
    <w:rsid w:val="00D71E1B"/>
    <w:rsid w:val="00D7226B"/>
    <w:rsid w:val="00D77850"/>
    <w:rsid w:val="00D90A6A"/>
    <w:rsid w:val="00D90A81"/>
    <w:rsid w:val="00D97D04"/>
    <w:rsid w:val="00DA0254"/>
    <w:rsid w:val="00DA4FFF"/>
    <w:rsid w:val="00DB1C46"/>
    <w:rsid w:val="00DC046E"/>
    <w:rsid w:val="00DC069F"/>
    <w:rsid w:val="00DC2AC1"/>
    <w:rsid w:val="00DC32F5"/>
    <w:rsid w:val="00DC3396"/>
    <w:rsid w:val="00DC5084"/>
    <w:rsid w:val="00DD16EC"/>
    <w:rsid w:val="00DD1938"/>
    <w:rsid w:val="00DD6A8B"/>
    <w:rsid w:val="00DE37DB"/>
    <w:rsid w:val="00DF0EAB"/>
    <w:rsid w:val="00DF24E5"/>
    <w:rsid w:val="00E00633"/>
    <w:rsid w:val="00E00CF2"/>
    <w:rsid w:val="00E00D74"/>
    <w:rsid w:val="00E116F9"/>
    <w:rsid w:val="00E14196"/>
    <w:rsid w:val="00E16549"/>
    <w:rsid w:val="00E17AF8"/>
    <w:rsid w:val="00E17D52"/>
    <w:rsid w:val="00E26CC1"/>
    <w:rsid w:val="00E26F0E"/>
    <w:rsid w:val="00E349B3"/>
    <w:rsid w:val="00E41F44"/>
    <w:rsid w:val="00E477FB"/>
    <w:rsid w:val="00E5101D"/>
    <w:rsid w:val="00E55A99"/>
    <w:rsid w:val="00E62B51"/>
    <w:rsid w:val="00E6490F"/>
    <w:rsid w:val="00E754BD"/>
    <w:rsid w:val="00E90212"/>
    <w:rsid w:val="00EA140B"/>
    <w:rsid w:val="00EA61D0"/>
    <w:rsid w:val="00EB0091"/>
    <w:rsid w:val="00EB3AAB"/>
    <w:rsid w:val="00EC4805"/>
    <w:rsid w:val="00ED7870"/>
    <w:rsid w:val="00EE04FB"/>
    <w:rsid w:val="00EE15F9"/>
    <w:rsid w:val="00EF003A"/>
    <w:rsid w:val="00EF0932"/>
    <w:rsid w:val="00EF2CBF"/>
    <w:rsid w:val="00EF532D"/>
    <w:rsid w:val="00EF5E59"/>
    <w:rsid w:val="00EF6D6A"/>
    <w:rsid w:val="00F01714"/>
    <w:rsid w:val="00F023D1"/>
    <w:rsid w:val="00F0675C"/>
    <w:rsid w:val="00F11A78"/>
    <w:rsid w:val="00F232EA"/>
    <w:rsid w:val="00F30184"/>
    <w:rsid w:val="00F37DE2"/>
    <w:rsid w:val="00F41B6C"/>
    <w:rsid w:val="00F52296"/>
    <w:rsid w:val="00F80595"/>
    <w:rsid w:val="00F81CA9"/>
    <w:rsid w:val="00F851C8"/>
    <w:rsid w:val="00F93C24"/>
    <w:rsid w:val="00F972FA"/>
    <w:rsid w:val="00FA6D64"/>
    <w:rsid w:val="00FB220A"/>
    <w:rsid w:val="00FB226A"/>
    <w:rsid w:val="00FB3C77"/>
    <w:rsid w:val="00FC170C"/>
    <w:rsid w:val="00FC2B81"/>
    <w:rsid w:val="00FC4441"/>
    <w:rsid w:val="00FC45E4"/>
    <w:rsid w:val="00FC7650"/>
    <w:rsid w:val="023D45D6"/>
    <w:rsid w:val="07DE2DE7"/>
    <w:rsid w:val="0B526E27"/>
    <w:rsid w:val="14524832"/>
    <w:rsid w:val="1A81445B"/>
    <w:rsid w:val="211E3F4E"/>
    <w:rsid w:val="21FE26C3"/>
    <w:rsid w:val="223955B2"/>
    <w:rsid w:val="26AE5E6E"/>
    <w:rsid w:val="2E4153FE"/>
    <w:rsid w:val="2FC05901"/>
    <w:rsid w:val="40522E22"/>
    <w:rsid w:val="489E55FD"/>
    <w:rsid w:val="4CD24117"/>
    <w:rsid w:val="540E5586"/>
    <w:rsid w:val="57ED37BF"/>
    <w:rsid w:val="769C5B61"/>
    <w:rsid w:val="799522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numPr>
        <w:ilvl w:val="0"/>
        <w:numId w:val="1"/>
      </w:numPr>
      <w:tabs>
        <w:tab w:val="left" w:pos="4266"/>
      </w:tabs>
      <w:autoSpaceDE w:val="0"/>
      <w:autoSpaceDN w:val="0"/>
      <w:adjustRightInd w:val="0"/>
      <w:jc w:val="center"/>
      <w:outlineLvl w:val="0"/>
    </w:pPr>
    <w:rPr>
      <w:rFonts w:ascii="宋体" w:hAnsi="宋体"/>
      <w:b/>
      <w:kern w:val="0"/>
      <w:szCs w:val="21"/>
      <w:lang w:val="zh-CN"/>
    </w:rPr>
  </w:style>
  <w:style w:type="character" w:default="1" w:styleId="18">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59"/>
    <w:qFormat/>
    <w:uiPriority w:val="0"/>
    <w:rPr>
      <w:rFonts w:ascii="Calibri" w:hAnsi="Calibri"/>
      <w:b/>
      <w:bCs/>
      <w:kern w:val="2"/>
      <w:sz w:val="21"/>
      <w:szCs w:val="22"/>
      <w:lang w:val="en-US"/>
    </w:rPr>
  </w:style>
  <w:style w:type="paragraph" w:styleId="4">
    <w:name w:val="annotation text"/>
    <w:basedOn w:val="1"/>
    <w:link w:val="29"/>
    <w:qFormat/>
    <w:uiPriority w:val="0"/>
    <w:pPr>
      <w:jc w:val="left"/>
    </w:pPr>
    <w:rPr>
      <w:rFonts w:ascii="Times New Roman" w:hAnsi="Times New Roman"/>
      <w:kern w:val="0"/>
      <w:sz w:val="20"/>
      <w:szCs w:val="24"/>
      <w:lang w:val="zh-CN"/>
    </w:rPr>
  </w:style>
  <w:style w:type="paragraph" w:styleId="5">
    <w:name w:val="toc 7"/>
    <w:basedOn w:val="1"/>
    <w:next w:val="1"/>
    <w:qFormat/>
    <w:uiPriority w:val="0"/>
    <w:pPr>
      <w:ind w:left="1260"/>
      <w:jc w:val="left"/>
    </w:pPr>
    <w:rPr>
      <w:rFonts w:ascii="Times New Roman" w:hAnsi="Times New Roman"/>
      <w:sz w:val="18"/>
      <w:szCs w:val="18"/>
    </w:rPr>
  </w:style>
  <w:style w:type="paragraph" w:styleId="6">
    <w:name w:val="toc 5"/>
    <w:basedOn w:val="1"/>
    <w:next w:val="1"/>
    <w:qFormat/>
    <w:uiPriority w:val="0"/>
    <w:pPr>
      <w:ind w:left="840"/>
      <w:jc w:val="left"/>
    </w:pPr>
    <w:rPr>
      <w:rFonts w:ascii="Times New Roman" w:hAnsi="Times New Roman"/>
      <w:sz w:val="18"/>
      <w:szCs w:val="18"/>
    </w:rPr>
  </w:style>
  <w:style w:type="paragraph" w:styleId="7">
    <w:name w:val="toc 3"/>
    <w:basedOn w:val="1"/>
    <w:next w:val="1"/>
    <w:qFormat/>
    <w:uiPriority w:val="0"/>
    <w:pPr>
      <w:ind w:left="420"/>
      <w:jc w:val="left"/>
    </w:pPr>
    <w:rPr>
      <w:rFonts w:ascii="Times New Roman" w:hAnsi="Times New Roman"/>
      <w:i/>
      <w:iCs/>
      <w:sz w:val="20"/>
      <w:szCs w:val="20"/>
    </w:rPr>
  </w:style>
  <w:style w:type="paragraph" w:styleId="8">
    <w:name w:val="toc 8"/>
    <w:basedOn w:val="1"/>
    <w:next w:val="1"/>
    <w:uiPriority w:val="0"/>
    <w:pPr>
      <w:ind w:left="1470"/>
      <w:jc w:val="left"/>
    </w:pPr>
    <w:rPr>
      <w:rFonts w:ascii="Times New Roman" w:hAnsi="Times New Roman"/>
      <w:sz w:val="18"/>
      <w:szCs w:val="18"/>
    </w:rPr>
  </w:style>
  <w:style w:type="paragraph" w:styleId="9">
    <w:name w:val="Balloon Text"/>
    <w:basedOn w:val="1"/>
    <w:link w:val="39"/>
    <w:qFormat/>
    <w:uiPriority w:val="0"/>
    <w:rPr>
      <w:rFonts w:ascii="Times New Roman" w:hAnsi="Times New Roman"/>
      <w:kern w:val="0"/>
      <w:sz w:val="18"/>
      <w:szCs w:val="18"/>
      <w:lang w:val="zh-CN"/>
    </w:rPr>
  </w:style>
  <w:style w:type="paragraph" w:styleId="10">
    <w:name w:val="footer"/>
    <w:basedOn w:val="1"/>
    <w:link w:val="44"/>
    <w:qFormat/>
    <w:uiPriority w:val="0"/>
    <w:pPr>
      <w:tabs>
        <w:tab w:val="center" w:pos="4153"/>
        <w:tab w:val="right" w:pos="8306"/>
      </w:tabs>
      <w:snapToGrid w:val="0"/>
      <w:jc w:val="left"/>
    </w:pPr>
    <w:rPr>
      <w:kern w:val="0"/>
      <w:sz w:val="18"/>
      <w:szCs w:val="18"/>
      <w:lang w:val="zh-CN"/>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2">
    <w:name w:val="toc 1"/>
    <w:basedOn w:val="1"/>
    <w:next w:val="1"/>
    <w:qFormat/>
    <w:uiPriority w:val="0"/>
    <w:pPr>
      <w:tabs>
        <w:tab w:val="right" w:leader="dot" w:pos="8296"/>
      </w:tabs>
      <w:spacing w:before="120" w:after="120"/>
      <w:jc w:val="left"/>
    </w:pPr>
    <w:rPr>
      <w:rFonts w:ascii="Times New Roman" w:hAnsi="Times New Roman"/>
      <w:b/>
      <w:bCs/>
      <w:caps/>
      <w:sz w:val="20"/>
      <w:szCs w:val="20"/>
    </w:rPr>
  </w:style>
  <w:style w:type="paragraph" w:styleId="13">
    <w:name w:val="toc 4"/>
    <w:basedOn w:val="1"/>
    <w:next w:val="1"/>
    <w:qFormat/>
    <w:uiPriority w:val="0"/>
    <w:pPr>
      <w:ind w:left="630"/>
      <w:jc w:val="left"/>
    </w:pPr>
    <w:rPr>
      <w:rFonts w:ascii="Times New Roman" w:hAnsi="Times New Roman"/>
      <w:sz w:val="18"/>
      <w:szCs w:val="18"/>
    </w:rPr>
  </w:style>
  <w:style w:type="paragraph" w:styleId="14">
    <w:name w:val="footnote text"/>
    <w:basedOn w:val="1"/>
    <w:link w:val="45"/>
    <w:qFormat/>
    <w:uiPriority w:val="0"/>
    <w:pPr>
      <w:snapToGrid w:val="0"/>
      <w:jc w:val="left"/>
    </w:pPr>
    <w:rPr>
      <w:rFonts w:ascii="Times New Roman" w:hAnsi="Times New Roman"/>
      <w:kern w:val="0"/>
      <w:sz w:val="18"/>
      <w:szCs w:val="18"/>
      <w:lang w:val="zh-CN"/>
    </w:rPr>
  </w:style>
  <w:style w:type="paragraph" w:styleId="15">
    <w:name w:val="toc 6"/>
    <w:basedOn w:val="1"/>
    <w:next w:val="1"/>
    <w:qFormat/>
    <w:uiPriority w:val="0"/>
    <w:pPr>
      <w:ind w:left="1050"/>
      <w:jc w:val="left"/>
    </w:pPr>
    <w:rPr>
      <w:rFonts w:ascii="Times New Roman" w:hAnsi="Times New Roman"/>
      <w:sz w:val="18"/>
      <w:szCs w:val="18"/>
    </w:rPr>
  </w:style>
  <w:style w:type="paragraph" w:styleId="16">
    <w:name w:val="toc 2"/>
    <w:basedOn w:val="1"/>
    <w:next w:val="1"/>
    <w:qFormat/>
    <w:uiPriority w:val="0"/>
    <w:pPr>
      <w:ind w:left="210"/>
      <w:jc w:val="left"/>
    </w:pPr>
    <w:rPr>
      <w:rFonts w:ascii="Times New Roman" w:hAnsi="Times New Roman"/>
      <w:smallCaps/>
      <w:sz w:val="20"/>
      <w:szCs w:val="20"/>
    </w:rPr>
  </w:style>
  <w:style w:type="paragraph" w:styleId="17">
    <w:name w:val="toc 9"/>
    <w:basedOn w:val="1"/>
    <w:next w:val="1"/>
    <w:qFormat/>
    <w:uiPriority w:val="0"/>
    <w:pPr>
      <w:ind w:left="1680"/>
      <w:jc w:val="left"/>
    </w:pPr>
    <w:rPr>
      <w:rFonts w:ascii="Times New Roman" w:hAnsi="Times New Roman"/>
      <w:sz w:val="18"/>
      <w:szCs w:val="18"/>
    </w:rPr>
  </w:style>
  <w:style w:type="character" w:styleId="19">
    <w:name w:val="FollowedHyperlink"/>
    <w:basedOn w:val="18"/>
    <w:qFormat/>
    <w:uiPriority w:val="0"/>
    <w:rPr>
      <w:color w:val="800080"/>
      <w:u w:val="single"/>
    </w:rPr>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character" w:styleId="22">
    <w:name w:val="footnote reference"/>
    <w:qFormat/>
    <w:uiPriority w:val="0"/>
    <w:rPr>
      <w:vertAlign w:val="superscript"/>
    </w:rPr>
  </w:style>
  <w:style w:type="character" w:customStyle="1" w:styleId="24">
    <w:name w:val="正文文本缩进 2 字符"/>
    <w:basedOn w:val="18"/>
    <w:link w:val="25"/>
    <w:qFormat/>
    <w:uiPriority w:val="0"/>
    <w:rPr>
      <w:rFonts w:ascii="Calibri" w:hAnsi="Calibri" w:eastAsia="宋体" w:cs="Times New Roman"/>
    </w:rPr>
  </w:style>
  <w:style w:type="paragraph" w:customStyle="1" w:styleId="25">
    <w:name w:val="正文文本缩进 21"/>
    <w:basedOn w:val="1"/>
    <w:link w:val="24"/>
    <w:qFormat/>
    <w:uiPriority w:val="0"/>
    <w:pPr>
      <w:spacing w:after="120" w:line="480" w:lineRule="auto"/>
      <w:ind w:left="420" w:leftChars="200"/>
    </w:pPr>
  </w:style>
  <w:style w:type="character" w:customStyle="1" w:styleId="26">
    <w:name w:val="标题 1 Char"/>
    <w:basedOn w:val="18"/>
    <w:link w:val="2"/>
    <w:qFormat/>
    <w:uiPriority w:val="0"/>
    <w:rPr>
      <w:rFonts w:ascii="宋体" w:hAnsi="宋体"/>
      <w:b/>
      <w:sz w:val="21"/>
      <w:szCs w:val="21"/>
      <w:lang w:val="zh-CN"/>
    </w:rPr>
  </w:style>
  <w:style w:type="character" w:customStyle="1" w:styleId="27">
    <w:name w:val="正文文本缩进 Char1"/>
    <w:basedOn w:val="18"/>
    <w:qFormat/>
    <w:uiPriority w:val="0"/>
    <w:rPr>
      <w:rFonts w:ascii="Calibri" w:hAnsi="Calibri" w:eastAsia="宋体" w:cs="Times New Roman"/>
    </w:rPr>
  </w:style>
  <w:style w:type="character" w:customStyle="1" w:styleId="28">
    <w:name w:val="页眉 Char"/>
    <w:basedOn w:val="18"/>
    <w:link w:val="11"/>
    <w:qFormat/>
    <w:uiPriority w:val="0"/>
    <w:rPr>
      <w:rFonts w:ascii="Calibri" w:hAnsi="Calibri" w:eastAsia="宋体" w:cs="Times New Roman"/>
      <w:kern w:val="0"/>
      <w:sz w:val="18"/>
      <w:szCs w:val="18"/>
      <w:lang w:val="zh-CN" w:eastAsia="zh-CN"/>
    </w:rPr>
  </w:style>
  <w:style w:type="character" w:customStyle="1" w:styleId="29">
    <w:name w:val="批注文字 Char"/>
    <w:basedOn w:val="18"/>
    <w:link w:val="4"/>
    <w:qFormat/>
    <w:uiPriority w:val="0"/>
    <w:rPr>
      <w:rFonts w:ascii="Times New Roman" w:hAnsi="Times New Roman" w:eastAsia="宋体" w:cs="Times New Roman"/>
      <w:kern w:val="0"/>
      <w:sz w:val="20"/>
      <w:szCs w:val="24"/>
      <w:lang w:val="zh-CN" w:eastAsia="zh-CN"/>
    </w:rPr>
  </w:style>
  <w:style w:type="character" w:customStyle="1" w:styleId="30">
    <w:name w:val="批注引用1"/>
    <w:qFormat/>
    <w:uiPriority w:val="0"/>
    <w:rPr>
      <w:sz w:val="21"/>
      <w:szCs w:val="21"/>
    </w:rPr>
  </w:style>
  <w:style w:type="character" w:customStyle="1" w:styleId="31">
    <w:name w:val="正文文本缩进 字符"/>
    <w:link w:val="32"/>
    <w:qFormat/>
    <w:uiPriority w:val="0"/>
    <w:rPr>
      <w:rFonts w:ascii="宋体" w:hAnsi="宋体" w:cs="Arial"/>
      <w:sz w:val="24"/>
      <w:szCs w:val="21"/>
    </w:rPr>
  </w:style>
  <w:style w:type="paragraph" w:customStyle="1" w:styleId="32">
    <w:name w:val="正文文本缩进1"/>
    <w:basedOn w:val="1"/>
    <w:link w:val="31"/>
    <w:qFormat/>
    <w:uiPriority w:val="0"/>
    <w:pPr>
      <w:autoSpaceDE w:val="0"/>
      <w:autoSpaceDN w:val="0"/>
      <w:adjustRightInd w:val="0"/>
      <w:spacing w:line="360" w:lineRule="auto"/>
      <w:ind w:firstLine="478" w:firstLineChars="199"/>
    </w:pPr>
    <w:rPr>
      <w:rFonts w:ascii="宋体" w:hAnsi="宋体" w:cs="Arial"/>
      <w:sz w:val="24"/>
      <w:szCs w:val="21"/>
    </w:rPr>
  </w:style>
  <w:style w:type="character" w:customStyle="1" w:styleId="33">
    <w:name w:val="日期 字符"/>
    <w:basedOn w:val="18"/>
    <w:link w:val="34"/>
    <w:qFormat/>
    <w:uiPriority w:val="0"/>
    <w:rPr>
      <w:rFonts w:ascii="Times New Roman" w:hAnsi="Times New Roman" w:eastAsia="宋体" w:cs="Times New Roman"/>
      <w:kern w:val="0"/>
      <w:sz w:val="20"/>
      <w:szCs w:val="24"/>
      <w:lang w:val="zh-CN" w:eastAsia="zh-CN"/>
    </w:rPr>
  </w:style>
  <w:style w:type="paragraph" w:customStyle="1" w:styleId="34">
    <w:name w:val="日期1"/>
    <w:basedOn w:val="1"/>
    <w:next w:val="1"/>
    <w:link w:val="33"/>
    <w:qFormat/>
    <w:uiPriority w:val="0"/>
    <w:pPr>
      <w:ind w:left="100" w:leftChars="2500"/>
    </w:pPr>
    <w:rPr>
      <w:rFonts w:ascii="Times New Roman" w:hAnsi="Times New Roman"/>
      <w:kern w:val="0"/>
      <w:sz w:val="20"/>
      <w:szCs w:val="24"/>
      <w:lang w:val="zh-CN"/>
    </w:rPr>
  </w:style>
  <w:style w:type="character" w:customStyle="1" w:styleId="35">
    <w:name w:val="read"/>
    <w:basedOn w:val="18"/>
    <w:qFormat/>
    <w:uiPriority w:val="0"/>
  </w:style>
  <w:style w:type="character" w:customStyle="1" w:styleId="36">
    <w:name w:val="纯文本 Char1"/>
    <w:basedOn w:val="18"/>
    <w:qFormat/>
    <w:uiPriority w:val="0"/>
    <w:rPr>
      <w:rFonts w:ascii="宋体" w:hAnsi="Courier New" w:eastAsia="宋体" w:cs="Courier New"/>
      <w:szCs w:val="21"/>
    </w:rPr>
  </w:style>
  <w:style w:type="character" w:customStyle="1" w:styleId="37">
    <w:name w:val="纯文本 字符"/>
    <w:link w:val="38"/>
    <w:qFormat/>
    <w:uiPriority w:val="0"/>
    <w:rPr>
      <w:rFonts w:ascii="宋体" w:hAnsi="Courier New"/>
    </w:rPr>
  </w:style>
  <w:style w:type="paragraph" w:customStyle="1" w:styleId="38">
    <w:name w:val="纯文本1"/>
    <w:basedOn w:val="1"/>
    <w:link w:val="37"/>
    <w:qFormat/>
    <w:uiPriority w:val="0"/>
    <w:rPr>
      <w:rFonts w:ascii="宋体" w:hAnsi="Courier New"/>
    </w:rPr>
  </w:style>
  <w:style w:type="character" w:customStyle="1" w:styleId="39">
    <w:name w:val="批注框文本 Char"/>
    <w:basedOn w:val="18"/>
    <w:link w:val="9"/>
    <w:qFormat/>
    <w:uiPriority w:val="0"/>
    <w:rPr>
      <w:rFonts w:ascii="Times New Roman" w:hAnsi="Times New Roman" w:eastAsia="宋体" w:cs="Times New Roman"/>
      <w:kern w:val="0"/>
      <w:sz w:val="18"/>
      <w:szCs w:val="18"/>
      <w:lang w:val="zh-CN" w:eastAsia="zh-CN"/>
    </w:rPr>
  </w:style>
  <w:style w:type="character" w:customStyle="1" w:styleId="40">
    <w:name w:val="文档结构图 字符"/>
    <w:basedOn w:val="18"/>
    <w:link w:val="41"/>
    <w:qFormat/>
    <w:uiPriority w:val="0"/>
    <w:rPr>
      <w:rFonts w:ascii="Times New Roman" w:hAnsi="Times New Roman" w:eastAsia="宋体" w:cs="Times New Roman"/>
      <w:kern w:val="0"/>
      <w:sz w:val="20"/>
      <w:szCs w:val="24"/>
      <w:shd w:val="clear" w:color="auto" w:fill="000080"/>
      <w:lang w:val="zh-CN" w:eastAsia="zh-CN"/>
    </w:rPr>
  </w:style>
  <w:style w:type="paragraph" w:customStyle="1" w:styleId="41">
    <w:name w:val="文档结构图1"/>
    <w:basedOn w:val="1"/>
    <w:link w:val="40"/>
    <w:qFormat/>
    <w:uiPriority w:val="0"/>
    <w:pPr>
      <w:shd w:val="clear" w:color="auto" w:fill="000080"/>
    </w:pPr>
    <w:rPr>
      <w:rFonts w:ascii="Times New Roman" w:hAnsi="Times New Roman"/>
      <w:kern w:val="0"/>
      <w:sz w:val="20"/>
      <w:szCs w:val="24"/>
      <w:shd w:val="clear" w:color="auto" w:fill="000080"/>
      <w:lang w:val="zh-CN"/>
    </w:rPr>
  </w:style>
  <w:style w:type="character" w:customStyle="1" w:styleId="42">
    <w:name w:val="批注主题 字符"/>
    <w:basedOn w:val="29"/>
    <w:link w:val="43"/>
    <w:qFormat/>
    <w:uiPriority w:val="0"/>
    <w:rPr>
      <w:rFonts w:ascii="Times New Roman" w:hAnsi="Times New Roman" w:eastAsia="宋体" w:cs="Times New Roman"/>
      <w:b/>
      <w:bCs/>
      <w:kern w:val="0"/>
      <w:sz w:val="20"/>
      <w:szCs w:val="24"/>
      <w:lang w:val="zh-CN" w:eastAsia="zh-CN"/>
    </w:rPr>
  </w:style>
  <w:style w:type="paragraph" w:customStyle="1" w:styleId="43">
    <w:name w:val="批注主题1"/>
    <w:basedOn w:val="4"/>
    <w:next w:val="4"/>
    <w:link w:val="42"/>
    <w:qFormat/>
    <w:uiPriority w:val="0"/>
    <w:rPr>
      <w:b/>
      <w:bCs/>
    </w:rPr>
  </w:style>
  <w:style w:type="character" w:customStyle="1" w:styleId="44">
    <w:name w:val="页脚 Char"/>
    <w:basedOn w:val="18"/>
    <w:link w:val="10"/>
    <w:qFormat/>
    <w:uiPriority w:val="0"/>
    <w:rPr>
      <w:rFonts w:ascii="Calibri" w:hAnsi="Calibri" w:eastAsia="宋体" w:cs="Times New Roman"/>
      <w:kern w:val="0"/>
      <w:sz w:val="18"/>
      <w:szCs w:val="18"/>
      <w:lang w:val="zh-CN" w:eastAsia="zh-CN"/>
    </w:rPr>
  </w:style>
  <w:style w:type="character" w:customStyle="1" w:styleId="45">
    <w:name w:val="脚注文本 Char"/>
    <w:basedOn w:val="18"/>
    <w:link w:val="14"/>
    <w:qFormat/>
    <w:uiPriority w:val="0"/>
    <w:rPr>
      <w:rFonts w:ascii="Times New Roman" w:hAnsi="Times New Roman" w:eastAsia="宋体" w:cs="Times New Roman"/>
      <w:kern w:val="0"/>
      <w:sz w:val="18"/>
      <w:szCs w:val="18"/>
      <w:lang w:val="zh-CN" w:eastAsia="zh-CN"/>
    </w:rPr>
  </w:style>
  <w:style w:type="character" w:customStyle="1" w:styleId="46">
    <w:name w:val="页码1"/>
    <w:basedOn w:val="18"/>
    <w:qFormat/>
    <w:uiPriority w:val="0"/>
  </w:style>
  <w:style w:type="paragraph" w:customStyle="1" w:styleId="47">
    <w:name w:val="修订1"/>
    <w:qFormat/>
    <w:uiPriority w:val="0"/>
    <w:rPr>
      <w:rFonts w:ascii="Times New Roman" w:hAnsi="Times New Roman" w:eastAsia="宋体" w:cs="Times New Roman"/>
      <w:kern w:val="2"/>
      <w:sz w:val="21"/>
      <w:szCs w:val="24"/>
      <w:lang w:val="en-US" w:eastAsia="zh-CN" w:bidi="ar-SA"/>
    </w:rPr>
  </w:style>
  <w:style w:type="paragraph" w:customStyle="1" w:styleId="48">
    <w:name w:val="Char2"/>
    <w:basedOn w:val="1"/>
    <w:qFormat/>
    <w:uiPriority w:val="0"/>
    <w:rPr>
      <w:rFonts w:ascii="Times New Roman" w:hAnsi="Times New Roman"/>
      <w:szCs w:val="20"/>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列出段落1"/>
    <w:basedOn w:val="1"/>
    <w:qFormat/>
    <w:uiPriority w:val="0"/>
    <w:pPr>
      <w:ind w:firstLine="420" w:firstLineChars="200"/>
    </w:pPr>
  </w:style>
  <w:style w:type="paragraph" w:customStyle="1" w:styleId="51">
    <w:name w:val="东方2"/>
    <w:basedOn w:val="1"/>
    <w:qFormat/>
    <w:uiPriority w:val="0"/>
    <w:pPr>
      <w:tabs>
        <w:tab w:val="left" w:pos="0"/>
        <w:tab w:val="left" w:pos="1834"/>
      </w:tabs>
      <w:spacing w:before="156" w:line="360" w:lineRule="exact"/>
      <w:ind w:firstLine="424" w:firstLineChars="202"/>
    </w:pPr>
    <w:rPr>
      <w:rFonts w:ascii="宋体" w:hAnsi="宋体"/>
      <w:szCs w:val="20"/>
    </w:rPr>
  </w:style>
  <w:style w:type="paragraph" w:customStyle="1" w:styleId="52">
    <w:name w:val="访问过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字元 字元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5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6">
    <w:name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TOC 标题1"/>
    <w:basedOn w:val="2"/>
    <w:next w:val="1"/>
    <w:qFormat/>
    <w:uiPriority w:val="0"/>
    <w:pPr>
      <w:keepNext/>
      <w:keepLines/>
      <w:widowControl/>
      <w:numPr>
        <w:numId w:val="0"/>
      </w:numPr>
      <w:tabs>
        <w:tab w:val="clear" w:pos="4266"/>
      </w:tabs>
      <w:autoSpaceDE/>
      <w:autoSpaceDN/>
      <w:adjustRightInd/>
      <w:spacing w:before="480" w:line="276" w:lineRule="auto"/>
      <w:jc w:val="left"/>
      <w:outlineLvl w:val="9"/>
    </w:pPr>
    <w:rPr>
      <w:rFonts w:ascii="Cambria" w:hAnsi="Cambria"/>
      <w:bCs/>
      <w:color w:val="365F91"/>
      <w:sz w:val="28"/>
      <w:szCs w:val="28"/>
    </w:rPr>
  </w:style>
  <w:style w:type="paragraph" w:customStyle="1" w:styleId="58">
    <w:name w:val="修订2"/>
    <w:hidden/>
    <w:unhideWhenUsed/>
    <w:uiPriority w:val="99"/>
    <w:rPr>
      <w:rFonts w:ascii="Calibri" w:hAnsi="Calibri" w:eastAsia="宋体" w:cs="Times New Roman"/>
      <w:kern w:val="2"/>
      <w:sz w:val="21"/>
      <w:szCs w:val="22"/>
      <w:lang w:val="en-US" w:eastAsia="zh-CN" w:bidi="ar-SA"/>
    </w:rPr>
  </w:style>
  <w:style w:type="character" w:customStyle="1" w:styleId="59">
    <w:name w:val="批注主题 Char"/>
    <w:basedOn w:val="29"/>
    <w:link w:val="3"/>
    <w:qFormat/>
    <w:uiPriority w:val="0"/>
    <w:rPr>
      <w:rFonts w:ascii="Calibri" w:hAnsi="Calibri" w:eastAsia="宋体" w:cs="Times New Roman"/>
      <w:b/>
      <w:bCs/>
      <w:kern w:val="2"/>
      <w:sz w:val="21"/>
      <w:szCs w:val="22"/>
      <w:lang w:val="zh-CN" w:eastAsia="zh-CN"/>
    </w:rPr>
  </w:style>
  <w:style w:type="paragraph" w:customStyle="1" w:styleId="60">
    <w:name w:val="列出段落2"/>
    <w:basedOn w:val="1"/>
    <w:qFormat/>
    <w:uiPriority w:val="99"/>
    <w:pPr>
      <w:ind w:firstLine="420" w:firstLineChars="200"/>
    </w:pPr>
  </w:style>
  <w:style w:type="paragraph" w:customStyle="1" w:styleId="6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F8130-7CAF-403D-9D30-9BD5EAF840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3585</Words>
  <Characters>20437</Characters>
  <Lines>170</Lines>
  <Paragraphs>47</Paragraphs>
  <ScaleCrop>false</ScaleCrop>
  <LinksUpToDate>false</LinksUpToDate>
  <CharactersWithSpaces>23975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2019-03-08T02:00:00Z</dcterms:created>
  <dc:creator>阮琳</dc:creator>
  <cp:lastModifiedBy>曹峥</cp:lastModifiedBy>
  <dcterms:modified xsi:type="dcterms:W3CDTF">2020-05-22T08:42:56Z</dcterms:modified>
  <dc:title>邹琳新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