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&#65279;<?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 Id="DQWMP6GK79VQ0T9GQKR8RLJ87ZEMO7VREN0XLJEPXGH8TQ5TZ7BRVC0IFY9HP8RRBEMX9OLSZI778LNJQSFADFFX89CMWMCBAXOD0HB3387BBB31E971AFF4A35169AD68D22B9D" Type="http://schemas.microsoft.com/office/2006/relationships/officeDocumentMain" Target="docProps/cor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20" w:lineRule="exact"/>
        <w:rPr>
          <w:rFonts w:hint="eastAsia" w:ascii="宋体" w:hAnsi="宋体" w:eastAsia="宋体" w:cs="宋体"/>
          <w:sz w:val="24"/>
          <w:szCs w:val="24"/>
        </w:rPr>
      </w:pPr>
      <w:r>
        <w:rPr>
          <w:rFonts w:hint="eastAsia" w:ascii="宋体" w:hAnsi="宋体" w:eastAsia="宋体" w:cs="宋体"/>
          <w:sz w:val="24"/>
          <w:szCs w:val="24"/>
        </w:rPr>
        <w:t>文本编码：CMBC-HT-1005（托管2020）</w:t>
      </w:r>
      <w:r>
        <w:drawing>
          <wp:inline distT="0" distB="0" distL="0" distR="0">
            <wp:extent cx="0" cy="0"/>
            <wp:effectExtent l="0" t="0" r="0" b="0"/>
            <wp:docPr id="1" name="leag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agsoft"/>
                    <pic:cNvPicPr>
                      <a:picLocks noChangeAspect="1"/>
                    </pic:cNvPicPr>
                  </pic:nvPicPr>
                  <pic:blipFill>
                    <a:blip r:embed="rId8"/>
                    <a:stretch>
                      <a:fillRect/>
                    </a:stretch>
                  </pic:blipFill>
                  <pic:spPr>
                    <a:xfrm flipH="1">
                      <a:off x="0" y="0"/>
                      <a:ext cx="0" cy="0"/>
                    </a:xfrm>
                    <a:prstGeom prst="rect">
                      <a:avLst/>
                    </a:prstGeom>
                  </pic:spPr>
                </pic:pic>
              </a:graphicData>
            </a:graphic>
          </wp:inline>
        </w:drawing>
      </w:r>
    </w:p>
    <w:p>
      <w:pPr>
        <w:ind w:firstLine="482"/>
        <w:rPr>
          <w:rFonts w:hint="eastAsia" w:ascii="宋体" w:hAnsi="宋体" w:eastAsia="宋体" w:cs="宋体"/>
          <w:b/>
        </w:rPr>
      </w:pPr>
    </w:p>
    <w:p>
      <w:pPr>
        <w:ind w:firstLine="482"/>
        <w:rPr>
          <w:rFonts w:hint="eastAsia" w:ascii="宋体" w:hAnsi="宋体" w:eastAsia="宋体" w:cs="宋体"/>
          <w:b/>
        </w:rPr>
      </w:pPr>
    </w:p>
    <w:p>
      <w:pPr>
        <w:ind w:firstLine="482"/>
        <w:rPr>
          <w:rFonts w:hint="eastAsia" w:ascii="宋体" w:hAnsi="宋体" w:eastAsia="宋体" w:cs="宋体"/>
          <w:b/>
        </w:rPr>
      </w:pPr>
    </w:p>
    <w:p>
      <w:pPr>
        <w:ind w:firstLine="482"/>
        <w:rPr>
          <w:rFonts w:hint="eastAsia" w:ascii="宋体" w:hAnsi="宋体" w:eastAsia="宋体" w:cs="宋体"/>
          <w:b/>
        </w:rPr>
      </w:pPr>
    </w:p>
    <w:p>
      <w:pPr>
        <w:ind w:firstLine="482"/>
        <w:rPr>
          <w:rFonts w:hint="eastAsia" w:ascii="宋体" w:hAnsi="宋体" w:eastAsia="宋体" w:cs="宋体"/>
          <w:b/>
        </w:rPr>
      </w:pPr>
    </w:p>
    <w:p>
      <w:pPr>
        <w:ind w:firstLine="482"/>
        <w:jc w:val="center"/>
        <w:rPr>
          <w:rFonts w:hint="eastAsia" w:ascii="宋体" w:hAnsi="宋体" w:eastAsia="宋体" w:cs="宋体"/>
          <w:b/>
        </w:rPr>
      </w:pPr>
    </w:p>
    <w:p>
      <w:pPr>
        <w:spacing w:line="360" w:lineRule="auto"/>
        <w:jc w:val="center"/>
        <w:rPr>
          <w:rFonts w:hint="eastAsia" w:ascii="宋体" w:hAnsi="宋体" w:eastAsia="宋体" w:cs="宋体"/>
          <w:b/>
          <w:sz w:val="48"/>
          <w:szCs w:val="48"/>
          <w:shd w:val="clear" w:color="FFFFFF" w:fill="D9D9D9"/>
        </w:rPr>
      </w:pPr>
      <w:r>
        <w:rPr>
          <w:rFonts w:hint="eastAsia" w:ascii="宋体" w:hAnsi="宋体" w:eastAsia="宋体" w:cs="宋体"/>
          <w:b/>
          <w:sz w:val="48"/>
          <w:szCs w:val="48"/>
          <w:shd w:val="clear" w:color="FFFFFF" w:fill="D9D9D9"/>
        </w:rPr>
        <w:fldChar w:fldCharType="begin">
          <w:ffData>
            <w:enabled/>
            <w:calcOnExit w:val="0"/>
            <w:textInput/>
          </w:ffData>
        </w:fldChar>
      </w:r>
      <w:r>
        <w:rPr>
          <w:rFonts w:hint="eastAsia" w:ascii="宋体" w:hAnsi="宋体" w:eastAsia="宋体" w:cs="宋体"/>
          <w:b/>
          <w:sz w:val="48"/>
          <w:szCs w:val="48"/>
          <w:shd w:val="clear" w:color="FFFFFF" w:fill="D9D9D9"/>
        </w:rPr>
        <w:instrText xml:space="preserve">FORMTEXT</w:instrText>
      </w:r>
      <w:r>
        <w:rPr>
          <w:rFonts w:hint="eastAsia" w:ascii="宋体" w:hAnsi="宋体" w:eastAsia="宋体" w:cs="宋体"/>
          <w:b/>
          <w:sz w:val="48"/>
          <w:szCs w:val="48"/>
          <w:shd w:val="clear" w:color="FFFFFF" w:fill="D9D9D9"/>
        </w:rPr>
        <w:fldChar w:fldCharType="separate"/>
      </w:r>
      <w:r>
        <w:rPr>
          <w:rFonts w:hint="eastAsia" w:ascii="宋体" w:hAnsi="宋体" w:eastAsia="宋体" w:cs="宋体"/>
          <w:b/>
          <w:sz w:val="48"/>
          <w:szCs w:val="48"/>
          <w:u w:val="single"/>
          <w:shd w:val="clear" w:color="FFFFFF" w:fill="D9D9D9"/>
          <w:lang w:val="en-US" w:eastAsia="zh-CN"/>
        </w:rPr>
        <w:t>齐鲁银行泉心理财人民币理财计划</w:t>
      </w:r>
      <w:r>
        <w:rPr>
          <w:rFonts w:hint="eastAsia" w:ascii="宋体" w:hAnsi="宋体" w:eastAsia="宋体" w:cs="宋体"/>
          <w:b/>
          <w:sz w:val="48"/>
          <w:szCs w:val="48"/>
          <w:shd w:val="clear" w:color="FFFFFF" w:fill="D9D9D9"/>
        </w:rPr>
        <w:fldChar w:fldCharType="end"/>
      </w:r>
    </w:p>
    <w:p>
      <w:pPr>
        <w:spacing w:line="360" w:lineRule="auto"/>
        <w:jc w:val="center"/>
        <w:rPr>
          <w:rFonts w:hint="eastAsia" w:ascii="宋体" w:hAnsi="宋体" w:eastAsia="宋体" w:cs="宋体"/>
          <w:b/>
          <w:sz w:val="48"/>
          <w:szCs w:val="48"/>
          <w:u w:val="single"/>
        </w:rPr>
      </w:pPr>
      <w:r>
        <w:rPr>
          <w:rFonts w:hint="eastAsia" w:ascii="宋体" w:hAnsi="宋体" w:eastAsia="宋体" w:cs="宋体"/>
          <w:b/>
          <w:sz w:val="48"/>
          <w:szCs w:val="48"/>
        </w:rPr>
        <w:t>资金托管协议</w:t>
      </w:r>
    </w:p>
    <w:p>
      <w:pPr>
        <w:pStyle w:val="43"/>
        <w:spacing w:line="240" w:lineRule="auto"/>
        <w:jc w:val="center"/>
        <w:rPr>
          <w:rFonts w:hint="eastAsia" w:ascii="宋体" w:hAnsi="宋体" w:eastAsia="宋体" w:cs="宋体"/>
          <w:b/>
          <w:bCs/>
          <w:spacing w:val="-2"/>
          <w:sz w:val="24"/>
          <w:szCs w:val="24"/>
        </w:rPr>
      </w:pPr>
      <w:r>
        <w:rPr>
          <w:rFonts w:hint="eastAsia" w:ascii="宋体" w:hAnsi="宋体" w:eastAsia="宋体" w:cs="宋体"/>
          <w:b/>
          <w:bCs/>
          <w:spacing w:val="-2"/>
          <w:sz w:val="24"/>
          <w:szCs w:val="24"/>
        </w:rPr>
        <w:t>（证券类券商结算模式）</w:t>
      </w:r>
    </w:p>
    <w:p>
      <w:pPr>
        <w:jc w:val="center"/>
        <w:rPr>
          <w:rFonts w:hint="eastAsia" w:ascii="宋体" w:hAnsi="宋体" w:eastAsia="宋体" w:cs="宋体"/>
          <w:b/>
          <w:sz w:val="32"/>
        </w:rPr>
      </w:pPr>
    </w:p>
    <w:p>
      <w:pPr>
        <w:ind w:firstLine="643"/>
        <w:jc w:val="center"/>
        <w:rPr>
          <w:rFonts w:hint="eastAsia" w:ascii="宋体" w:hAnsi="宋体" w:eastAsia="宋体" w:cs="宋体"/>
          <w:spacing w:val="-2"/>
          <w:kern w:val="0"/>
          <w:sz w:val="30"/>
          <w:szCs w:val="30"/>
        </w:rPr>
      </w:pPr>
    </w:p>
    <w:p>
      <w:pPr>
        <w:ind w:firstLine="643"/>
        <w:jc w:val="center"/>
        <w:rPr>
          <w:rFonts w:hint="eastAsia" w:ascii="宋体" w:hAnsi="宋体" w:eastAsia="宋体" w:cs="宋体"/>
          <w:spacing w:val="-2"/>
          <w:kern w:val="0"/>
          <w:sz w:val="30"/>
          <w:szCs w:val="30"/>
        </w:rPr>
      </w:pPr>
    </w:p>
    <w:p>
      <w:pPr>
        <w:pStyle w:val="43"/>
        <w:spacing w:line="360" w:lineRule="auto"/>
        <w:jc w:val="center"/>
        <w:rPr>
          <w:rFonts w:hint="eastAsia" w:ascii="宋体" w:hAnsi="宋体" w:eastAsia="宋体" w:cs="宋体"/>
          <w:spacing w:val="-2"/>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  合同编号：</w:t>
      </w:r>
      <w:r>
        <w:rPr>
          <w:rFonts w:hint="eastAsia" w:ascii="宋体" w:hAnsi="宋体" w:cs="宋体"/>
          <w:sz w:val="24"/>
          <w:szCs w:val="24"/>
          <w:u w:val="single"/>
          <w:shd w:val="clear" w:color="FFFFFF" w:fill="D9D9D9"/>
          <w:lang w:val="en-US" w:eastAsia="zh-CN"/>
        </w:rPr>
        <w:t xml:space="preserve">           </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p>
    <w:p>
      <w:pPr>
        <w:ind w:firstLine="643"/>
        <w:jc w:val="center"/>
        <w:rPr>
          <w:rFonts w:hint="eastAsia" w:ascii="宋体" w:hAnsi="宋体" w:eastAsia="宋体" w:cs="宋体"/>
          <w:b/>
          <w:sz w:val="32"/>
        </w:rPr>
      </w:pPr>
    </w:p>
    <w:p>
      <w:pPr>
        <w:spacing w:line="420" w:lineRule="exact"/>
        <w:jc w:val="center"/>
        <w:rPr>
          <w:rFonts w:hint="eastAsia" w:ascii="宋体" w:hAnsi="宋体" w:eastAsia="宋体" w:cs="宋体"/>
          <w:b/>
          <w:spacing w:val="6"/>
          <w:sz w:val="30"/>
          <w:szCs w:val="30"/>
        </w:rPr>
      </w:pPr>
    </w:p>
    <w:p>
      <w:pPr>
        <w:spacing w:line="420" w:lineRule="exact"/>
        <w:jc w:val="center"/>
        <w:rPr>
          <w:rFonts w:hint="eastAsia" w:ascii="宋体" w:hAnsi="宋体" w:eastAsia="宋体" w:cs="宋体"/>
          <w:b/>
          <w:spacing w:val="6"/>
          <w:sz w:val="30"/>
          <w:szCs w:val="30"/>
        </w:rPr>
      </w:pPr>
    </w:p>
    <w:p>
      <w:pPr>
        <w:spacing w:line="420" w:lineRule="exact"/>
        <w:jc w:val="center"/>
        <w:rPr>
          <w:rFonts w:hint="eastAsia" w:ascii="宋体" w:hAnsi="宋体" w:eastAsia="宋体" w:cs="宋体"/>
          <w:b/>
          <w:spacing w:val="6"/>
          <w:sz w:val="30"/>
          <w:szCs w:val="30"/>
        </w:rPr>
      </w:pPr>
    </w:p>
    <w:p>
      <w:pPr>
        <w:spacing w:line="420" w:lineRule="exact"/>
        <w:jc w:val="center"/>
        <w:rPr>
          <w:rFonts w:hint="eastAsia" w:ascii="宋体" w:hAnsi="宋体" w:eastAsia="宋体" w:cs="宋体"/>
          <w:b/>
          <w:spacing w:val="6"/>
          <w:sz w:val="30"/>
          <w:szCs w:val="30"/>
        </w:rPr>
      </w:pPr>
    </w:p>
    <w:p>
      <w:pPr>
        <w:spacing w:line="420" w:lineRule="exact"/>
        <w:jc w:val="center"/>
        <w:rPr>
          <w:rFonts w:hint="eastAsia" w:ascii="宋体" w:hAnsi="宋体" w:eastAsia="宋体" w:cs="宋体"/>
          <w:b/>
          <w:spacing w:val="6"/>
          <w:sz w:val="30"/>
          <w:szCs w:val="30"/>
        </w:rPr>
      </w:pPr>
    </w:p>
    <w:p>
      <w:pPr>
        <w:spacing w:line="420" w:lineRule="exact"/>
        <w:jc w:val="center"/>
        <w:rPr>
          <w:rFonts w:hint="eastAsia" w:ascii="宋体" w:hAnsi="宋体" w:eastAsia="宋体" w:cs="宋体"/>
          <w:b/>
          <w:spacing w:val="6"/>
          <w:sz w:val="30"/>
          <w:szCs w:val="30"/>
        </w:rPr>
      </w:pPr>
    </w:p>
    <w:p>
      <w:pPr>
        <w:spacing w:line="420" w:lineRule="exact"/>
        <w:jc w:val="center"/>
        <w:rPr>
          <w:rFonts w:hint="eastAsia" w:ascii="宋体" w:hAnsi="宋体" w:eastAsia="宋体" w:cs="宋体"/>
          <w:b/>
          <w:spacing w:val="6"/>
          <w:sz w:val="30"/>
          <w:szCs w:val="30"/>
        </w:rPr>
      </w:pPr>
    </w:p>
    <w:p>
      <w:pPr>
        <w:jc w:val="center"/>
        <w:rPr>
          <w:rFonts w:hint="eastAsia" w:ascii="宋体" w:hAnsi="宋体" w:eastAsia="宋体" w:cs="宋体"/>
          <w:b/>
          <w:spacing w:val="6"/>
          <w:sz w:val="28"/>
          <w:szCs w:val="28"/>
          <w:u w:val="single"/>
          <w:shd w:val="clear" w:color="FFFFFF" w:fill="D9D9D9"/>
        </w:rPr>
      </w:pPr>
      <w:r>
        <w:rPr>
          <w:rFonts w:hint="eastAsia" w:ascii="宋体" w:hAnsi="宋体" w:eastAsia="宋体" w:cs="宋体"/>
          <w:b/>
          <w:spacing w:val="6"/>
          <w:sz w:val="28"/>
          <w:szCs w:val="28"/>
        </w:rPr>
        <w:t>管理人：</w:t>
      </w:r>
      <w:r>
        <w:rPr>
          <w:rFonts w:hint="eastAsia" w:ascii="宋体" w:hAnsi="宋体" w:eastAsia="宋体" w:cs="宋体"/>
          <w:sz w:val="28"/>
          <w:szCs w:val="28"/>
          <w:u w:val="single"/>
          <w:shd w:val="clear" w:color="FFFFFF" w:fill="D9D9D9"/>
        </w:rPr>
        <w:fldChar w:fldCharType="begin">
          <w:ffData>
            <w:enabled/>
            <w:calcOnExit w:val="0"/>
            <w:textInput/>
          </w:ffData>
        </w:fldChar>
      </w:r>
      <w:r>
        <w:rPr>
          <w:rFonts w:hint="eastAsia" w:ascii="宋体" w:hAnsi="宋体" w:eastAsia="宋体" w:cs="宋体"/>
          <w:sz w:val="28"/>
          <w:szCs w:val="28"/>
          <w:u w:val="single"/>
          <w:shd w:val="clear" w:color="FFFFFF" w:fill="D9D9D9"/>
        </w:rPr>
        <w:instrText xml:space="preserve">FORMTEXT</w:instrText>
      </w:r>
      <w:r>
        <w:rPr>
          <w:rFonts w:hint="eastAsia" w:ascii="宋体" w:hAnsi="宋体" w:eastAsia="宋体" w:cs="宋体"/>
          <w:sz w:val="28"/>
          <w:szCs w:val="28"/>
          <w:u w:val="single"/>
          <w:shd w:val="clear" w:color="FFFFFF" w:fill="D9D9D9"/>
        </w:rPr>
        <w:fldChar w:fldCharType="separate"/>
      </w:r>
      <w:r>
        <w:rPr>
          <w:rFonts w:hint="eastAsia" w:ascii="宋体" w:hAnsi="宋体" w:eastAsia="宋体" w:cs="宋体"/>
          <w:b/>
          <w:bCs/>
          <w:sz w:val="28"/>
          <w:szCs w:val="28"/>
          <w:highlight w:val="none"/>
          <w:u w:val="none"/>
          <w:shd w:val="clear" w:color="auto" w:fill="auto"/>
        </w:rPr>
        <w:fldChar w:fldCharType="begin">
          <w:ffData>
            <w:name w:val="Text6"/>
            <w:enabled/>
            <w:calcOnExit w:val="0"/>
            <w:textInput>
              <w:default w:val="贵州银行股份有限公司"/>
            </w:textInput>
          </w:ffData>
        </w:fldChar>
      </w:r>
      <w:r>
        <w:rPr>
          <w:rFonts w:hint="eastAsia" w:ascii="宋体" w:hAnsi="宋体" w:eastAsia="宋体" w:cs="宋体"/>
          <w:b/>
          <w:bCs/>
          <w:sz w:val="28"/>
          <w:szCs w:val="28"/>
          <w:highlight w:val="none"/>
          <w:u w:val="none"/>
          <w:shd w:val="clear" w:color="auto" w:fill="auto"/>
        </w:rPr>
        <w:instrText xml:space="preserve">FORMTEXT</w:instrText>
      </w:r>
      <w:r>
        <w:rPr>
          <w:rFonts w:hint="eastAsia" w:ascii="宋体" w:hAnsi="宋体" w:eastAsia="宋体" w:cs="宋体"/>
          <w:b/>
          <w:bCs/>
          <w:sz w:val="28"/>
          <w:szCs w:val="28"/>
          <w:highlight w:val="none"/>
          <w:u w:val="none"/>
          <w:shd w:val="clear" w:color="auto" w:fill="auto"/>
        </w:rPr>
        <w:fldChar w:fldCharType="separate"/>
      </w:r>
      <w:r>
        <w:rPr>
          <w:rFonts w:hint="eastAsia" w:ascii="宋体" w:hAnsi="宋体" w:eastAsia="宋体" w:cs="宋体"/>
          <w:b/>
          <w:bCs/>
          <w:sz w:val="28"/>
          <w:szCs w:val="28"/>
          <w:highlight w:val="none"/>
          <w:u w:val="none"/>
          <w:shd w:val="clear" w:color="auto" w:fill="auto"/>
          <w:lang w:val="en-US" w:eastAsia="zh-CN"/>
        </w:rPr>
        <w:t>齐鲁</w:t>
      </w:r>
      <w:r>
        <w:rPr>
          <w:rFonts w:hint="eastAsia" w:ascii="宋体" w:hAnsi="宋体" w:eastAsia="宋体" w:cs="宋体"/>
          <w:b/>
          <w:bCs/>
          <w:sz w:val="28"/>
          <w:szCs w:val="28"/>
          <w:highlight w:val="none"/>
          <w:u w:val="none"/>
          <w:shd w:val="clear" w:color="auto" w:fill="auto"/>
        </w:rPr>
        <w:t>银行股份有限公司</w:t>
      </w:r>
      <w:r>
        <w:rPr>
          <w:rFonts w:hint="eastAsia" w:ascii="宋体" w:hAnsi="宋体" w:eastAsia="宋体" w:cs="宋体"/>
          <w:b/>
          <w:bCs/>
          <w:sz w:val="28"/>
          <w:szCs w:val="28"/>
          <w:highlight w:val="none"/>
          <w:u w:val="none"/>
          <w:shd w:val="clear" w:color="auto" w:fill="auto"/>
        </w:rPr>
        <w:fldChar w:fldCharType="end"/>
      </w:r>
      <w:r>
        <w:rPr>
          <w:rFonts w:hint="eastAsia" w:ascii="宋体" w:hAnsi="宋体" w:eastAsia="宋体" w:cs="宋体"/>
          <w:sz w:val="28"/>
          <w:szCs w:val="28"/>
          <w:u w:val="single"/>
          <w:shd w:val="clear" w:color="FFFFFF" w:fill="D9D9D9"/>
        </w:rPr>
        <w:fldChar w:fldCharType="end"/>
      </w:r>
    </w:p>
    <w:p>
      <w:pPr>
        <w:jc w:val="center"/>
        <w:rPr>
          <w:rFonts w:hint="eastAsia" w:ascii="宋体" w:hAnsi="宋体" w:eastAsia="宋体" w:cs="宋体"/>
          <w:b/>
          <w:spacing w:val="6"/>
          <w:sz w:val="28"/>
          <w:szCs w:val="28"/>
        </w:rPr>
      </w:pPr>
      <w:r>
        <w:rPr>
          <w:rFonts w:hint="eastAsia" w:ascii="宋体" w:hAnsi="宋体" w:eastAsia="宋体" w:cs="宋体"/>
          <w:b/>
          <w:spacing w:val="6"/>
          <w:sz w:val="28"/>
          <w:szCs w:val="28"/>
        </w:rPr>
        <w:t>托管人：</w:t>
      </w:r>
      <w:r>
        <w:rPr>
          <w:rFonts w:hint="eastAsia" w:ascii="宋体" w:hAnsi="宋体" w:eastAsia="宋体" w:cs="宋体"/>
          <w:b/>
          <w:bCs/>
          <w:sz w:val="28"/>
          <w:szCs w:val="28"/>
          <w:u w:val="single"/>
          <w:shd w:val="clear" w:color="FFFFFF" w:fill="D9D9D9"/>
        </w:rPr>
        <w:fldChar w:fldCharType="begin">
          <w:ffData>
            <w:enabled/>
            <w:calcOnExit w:val="0"/>
            <w:textInput/>
          </w:ffData>
        </w:fldChar>
      </w:r>
      <w:r>
        <w:rPr>
          <w:rFonts w:hint="eastAsia" w:ascii="宋体" w:hAnsi="宋体" w:eastAsia="宋体" w:cs="宋体"/>
          <w:b/>
          <w:bCs/>
          <w:sz w:val="28"/>
          <w:szCs w:val="28"/>
          <w:u w:val="single"/>
          <w:shd w:val="clear" w:color="FFFFFF" w:fill="D9D9D9"/>
        </w:rPr>
        <w:instrText xml:space="preserve">FORMTEXT</w:instrText>
      </w:r>
      <w:r>
        <w:rPr>
          <w:rFonts w:hint="eastAsia" w:ascii="宋体" w:hAnsi="宋体" w:eastAsia="宋体" w:cs="宋体"/>
          <w:b/>
          <w:bCs/>
          <w:sz w:val="28"/>
          <w:szCs w:val="28"/>
          <w:u w:val="single"/>
          <w:shd w:val="clear" w:color="FFFFFF" w:fill="D9D9D9"/>
        </w:rPr>
        <w:fldChar w:fldCharType="separate"/>
      </w:r>
      <w:r>
        <w:rPr>
          <w:rFonts w:hint="eastAsia" w:ascii="宋体" w:hAnsi="宋体" w:eastAsia="宋体" w:cs="宋体"/>
          <w:b/>
          <w:bCs/>
          <w:sz w:val="28"/>
          <w:szCs w:val="28"/>
          <w:u w:val="single"/>
          <w:shd w:val="clear" w:color="FFFFFF" w:fill="D9D9D9"/>
        </w:rPr>
        <w:t>  中国民生银行股份有限公司   </w:t>
      </w:r>
      <w:r>
        <w:rPr>
          <w:rFonts w:hint="eastAsia" w:ascii="宋体" w:hAnsi="宋体" w:eastAsia="宋体" w:cs="宋体"/>
          <w:b/>
          <w:bCs/>
          <w:sz w:val="28"/>
          <w:szCs w:val="28"/>
          <w:u w:val="single"/>
          <w:shd w:val="clear" w:color="FFFFFF" w:fill="D9D9D9"/>
        </w:rPr>
        <w:fldChar w:fldCharType="end"/>
      </w:r>
      <w:r>
        <w:rPr>
          <w:rFonts w:hint="eastAsia" w:ascii="宋体" w:hAnsi="宋体" w:eastAsia="宋体" w:cs="宋体"/>
          <w:b/>
          <w:spacing w:val="6"/>
          <w:sz w:val="28"/>
          <w:szCs w:val="28"/>
        </w:rPr>
        <w:fldChar w:fldCharType="begin">
          <w:ffData>
            <w:name w:val="Text10"/>
            <w:enabled/>
            <w:calcOnExit w:val="0"/>
            <w:textInput/>
          </w:ffData>
        </w:fldChar>
      </w:r>
      <w:bookmarkStart w:id="0" w:name="Text10"/>
      <w:r>
        <w:rPr>
          <w:rFonts w:hint="eastAsia" w:ascii="宋体" w:hAnsi="宋体" w:eastAsia="宋体" w:cs="宋体"/>
          <w:b/>
          <w:spacing w:val="6"/>
          <w:sz w:val="28"/>
          <w:szCs w:val="28"/>
        </w:rPr>
        <w:instrText xml:space="preserve">FORMTEXT</w:instrText>
      </w:r>
      <w:r>
        <w:rPr>
          <w:rFonts w:hint="eastAsia" w:ascii="宋体" w:hAnsi="宋体" w:eastAsia="宋体" w:cs="宋体"/>
          <w:b/>
          <w:spacing w:val="6"/>
          <w:sz w:val="28"/>
          <w:szCs w:val="28"/>
        </w:rPr>
        <w:fldChar w:fldCharType="separate"/>
      </w:r>
      <w:r>
        <w:rPr>
          <w:rFonts w:hint="eastAsia" w:ascii="宋体" w:hAnsi="宋体" w:eastAsia="宋体" w:cs="宋体"/>
          <w:b/>
          <w:spacing w:val="6"/>
          <w:sz w:val="28"/>
          <w:szCs w:val="28"/>
        </w:rPr>
        <w:t> </w:t>
      </w:r>
      <w:r>
        <w:rPr>
          <w:rFonts w:hint="eastAsia" w:ascii="宋体" w:hAnsi="宋体" w:eastAsia="宋体" w:cs="宋体"/>
          <w:b/>
          <w:spacing w:val="6"/>
          <w:sz w:val="28"/>
          <w:szCs w:val="28"/>
        </w:rPr>
        <w:fldChar w:fldCharType="end"/>
      </w:r>
      <w:bookmarkEnd w:id="0"/>
    </w:p>
    <w:p>
      <w:pPr>
        <w:spacing w:line="420" w:lineRule="exact"/>
        <w:ind w:right="140" w:rightChars="67" w:firstLine="626"/>
        <w:rPr>
          <w:rFonts w:hint="eastAsia" w:ascii="宋体" w:hAnsi="宋体" w:eastAsia="宋体" w:cs="宋体"/>
          <w:b/>
          <w:spacing w:val="6"/>
          <w:sz w:val="30"/>
          <w:szCs w:val="30"/>
        </w:rPr>
      </w:pPr>
    </w:p>
    <w:p>
      <w:pPr>
        <w:spacing w:line="420" w:lineRule="exact"/>
        <w:ind w:right="140" w:rightChars="67" w:firstLine="626"/>
        <w:rPr>
          <w:rFonts w:hint="eastAsia" w:ascii="宋体" w:hAnsi="宋体" w:eastAsia="宋体" w:cs="宋体"/>
          <w:b/>
          <w:spacing w:val="6"/>
          <w:sz w:val="30"/>
          <w:szCs w:val="30"/>
        </w:rPr>
      </w:pPr>
    </w:p>
    <w:p>
      <w:pPr>
        <w:spacing w:line="420" w:lineRule="exact"/>
        <w:ind w:right="140" w:rightChars="67" w:firstLine="626"/>
        <w:rPr>
          <w:rFonts w:hint="eastAsia" w:ascii="宋体" w:hAnsi="宋体" w:eastAsia="宋体" w:cs="宋体"/>
          <w:b/>
          <w:spacing w:val="6"/>
          <w:sz w:val="30"/>
          <w:szCs w:val="30"/>
        </w:rPr>
      </w:pPr>
    </w:p>
    <w:p>
      <w:pPr>
        <w:pStyle w:val="41"/>
        <w:spacing w:before="0" w:line="360" w:lineRule="auto"/>
        <w:jc w:val="center"/>
        <w:rPr>
          <w:rFonts w:hint="eastAsia" w:ascii="宋体" w:hAnsi="宋体" w:eastAsia="宋体" w:cs="宋体"/>
          <w:color w:val="auto"/>
          <w:sz w:val="24"/>
          <w:szCs w:val="24"/>
          <w:lang w:val="zh-CN"/>
        </w:rPr>
      </w:pPr>
      <w:bookmarkStart w:id="1" w:name="_Toc12488"/>
      <w:r>
        <w:rPr>
          <w:rFonts w:hint="eastAsia" w:ascii="宋体" w:hAnsi="宋体" w:eastAsia="宋体" w:cs="宋体"/>
          <w:color w:val="auto"/>
          <w:sz w:val="24"/>
          <w:szCs w:val="24"/>
          <w:lang w:val="zh-CN"/>
        </w:rPr>
        <w:br w:type="page"/>
      </w:r>
      <w:bookmarkStart w:id="2" w:name="_Toc8640"/>
      <w:r>
        <w:rPr>
          <w:rFonts w:hint="eastAsia" w:ascii="宋体" w:hAnsi="宋体" w:eastAsia="宋体" w:cs="宋体"/>
          <w:color w:val="auto"/>
          <w:sz w:val="24"/>
          <w:szCs w:val="24"/>
          <w:lang w:val="zh-CN"/>
        </w:rPr>
        <w:t>目</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zh-CN"/>
        </w:rPr>
        <w:t>录</w:t>
      </w:r>
      <w:bookmarkEnd w:id="1"/>
      <w:bookmarkEnd w:id="2"/>
    </w:p>
    <w:p>
      <w:pPr>
        <w:spacing w:line="360" w:lineRule="auto"/>
        <w:rPr>
          <w:rFonts w:hint="eastAsia" w:ascii="宋体" w:hAnsi="宋体" w:eastAsia="宋体" w:cs="宋体"/>
          <w:sz w:val="24"/>
          <w:szCs w:val="24"/>
          <w:lang w:val="zh-CN"/>
        </w:rPr>
      </w:pP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TOC \o "1-3" \h \z \u </w:instrText>
      </w:r>
      <w:r>
        <w:rPr>
          <w:rFonts w:hint="eastAsia" w:ascii="宋体" w:hAnsi="宋体" w:eastAsia="宋体" w:cs="宋体"/>
          <w:szCs w:val="24"/>
        </w:rPr>
        <w:fldChar w:fldCharType="separate"/>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_Toc23023 </w:instrText>
      </w:r>
      <w:r>
        <w:rPr>
          <w:rFonts w:hint="eastAsia" w:ascii="宋体" w:hAnsi="宋体" w:eastAsia="宋体" w:cs="宋体"/>
          <w:szCs w:val="24"/>
        </w:rPr>
        <w:fldChar w:fldCharType="separate"/>
      </w:r>
      <w:r>
        <w:rPr>
          <w:rFonts w:hint="eastAsia" w:ascii="宋体" w:hAnsi="宋体" w:eastAsia="宋体" w:cs="宋体"/>
          <w:bCs/>
          <w:szCs w:val="24"/>
        </w:rPr>
        <w:t>第一条  释义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_Toc23023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_Toc18118 </w:instrText>
      </w:r>
      <w:r>
        <w:rPr>
          <w:rFonts w:hint="eastAsia" w:ascii="宋体" w:hAnsi="宋体" w:eastAsia="宋体" w:cs="宋体"/>
          <w:szCs w:val="24"/>
        </w:rPr>
        <w:fldChar w:fldCharType="separate"/>
      </w:r>
      <w:r>
        <w:rPr>
          <w:rFonts w:hint="eastAsia" w:ascii="宋体" w:hAnsi="宋体" w:eastAsia="宋体" w:cs="宋体"/>
          <w:bCs/>
          <w:szCs w:val="24"/>
        </w:rPr>
        <w:t>第二条  委托事项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_Toc18118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_Toc17983 </w:instrText>
      </w:r>
      <w:r>
        <w:rPr>
          <w:rFonts w:hint="eastAsia" w:ascii="宋体" w:hAnsi="宋体" w:eastAsia="宋体" w:cs="宋体"/>
          <w:szCs w:val="24"/>
        </w:rPr>
        <w:fldChar w:fldCharType="separate"/>
      </w:r>
      <w:r>
        <w:rPr>
          <w:rFonts w:hint="eastAsia" w:ascii="宋体" w:hAnsi="宋体" w:eastAsia="宋体" w:cs="宋体"/>
          <w:bCs/>
          <w:szCs w:val="24"/>
        </w:rPr>
        <w:t>第三条  当事人及权利义务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_Toc17983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_Toc31493 </w:instrText>
      </w:r>
      <w:r>
        <w:rPr>
          <w:rFonts w:hint="eastAsia" w:ascii="宋体" w:hAnsi="宋体" w:eastAsia="宋体" w:cs="宋体"/>
          <w:szCs w:val="24"/>
        </w:rPr>
        <w:fldChar w:fldCharType="separate"/>
      </w:r>
      <w:r>
        <w:rPr>
          <w:rFonts w:hint="eastAsia" w:ascii="宋体" w:hAnsi="宋体" w:eastAsia="宋体" w:cs="宋体"/>
          <w:bCs/>
          <w:szCs w:val="24"/>
        </w:rPr>
        <w:t>第四条  理财资金的保管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_Toc31493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_Toc29582 </w:instrText>
      </w:r>
      <w:r>
        <w:rPr>
          <w:rFonts w:hint="eastAsia" w:ascii="宋体" w:hAnsi="宋体" w:eastAsia="宋体" w:cs="宋体"/>
          <w:szCs w:val="24"/>
        </w:rPr>
        <w:fldChar w:fldCharType="separate"/>
      </w:r>
      <w:r>
        <w:rPr>
          <w:rFonts w:hint="eastAsia" w:ascii="宋体" w:hAnsi="宋体" w:eastAsia="宋体" w:cs="宋体"/>
          <w:bCs/>
          <w:szCs w:val="24"/>
        </w:rPr>
        <w:t>第五条  划款指令的发送、确认与执行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_Toc29582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_Toc29712 </w:instrText>
      </w:r>
      <w:r>
        <w:rPr>
          <w:rFonts w:hint="eastAsia" w:ascii="宋体" w:hAnsi="宋体" w:eastAsia="宋体" w:cs="宋体"/>
          <w:szCs w:val="24"/>
        </w:rPr>
        <w:fldChar w:fldCharType="separate"/>
      </w:r>
      <w:r>
        <w:rPr>
          <w:rFonts w:hint="eastAsia" w:ascii="宋体" w:hAnsi="宋体" w:eastAsia="宋体" w:cs="宋体"/>
          <w:bCs/>
          <w:szCs w:val="24"/>
        </w:rPr>
        <w:t>第六条  交易及清算交收安排</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_Toc29712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_Toc26663 </w:instrText>
      </w:r>
      <w:r>
        <w:rPr>
          <w:rFonts w:hint="eastAsia" w:ascii="宋体" w:hAnsi="宋体" w:eastAsia="宋体" w:cs="宋体"/>
          <w:szCs w:val="24"/>
        </w:rPr>
        <w:fldChar w:fldCharType="separate"/>
      </w:r>
      <w:r>
        <w:rPr>
          <w:rFonts w:hint="eastAsia" w:ascii="宋体" w:hAnsi="宋体" w:eastAsia="宋体" w:cs="宋体"/>
          <w:bCs/>
          <w:szCs w:val="24"/>
        </w:rPr>
        <w:t>第七条  理财产品运作流程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_Toc26663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_Toc20286 </w:instrText>
      </w:r>
      <w:r>
        <w:rPr>
          <w:rFonts w:hint="eastAsia" w:ascii="宋体" w:hAnsi="宋体" w:eastAsia="宋体" w:cs="宋体"/>
          <w:szCs w:val="24"/>
        </w:rPr>
        <w:fldChar w:fldCharType="separate"/>
      </w:r>
      <w:r>
        <w:rPr>
          <w:rFonts w:hint="eastAsia" w:ascii="宋体" w:hAnsi="宋体" w:eastAsia="宋体" w:cs="宋体"/>
          <w:bCs/>
          <w:szCs w:val="24"/>
        </w:rPr>
        <w:t>第八条  会计核算与资产估值</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_Toc20286 </w:instrText>
      </w:r>
      <w:r>
        <w:rPr>
          <w:rFonts w:hint="eastAsia" w:ascii="宋体" w:hAnsi="宋体" w:eastAsia="宋体" w:cs="宋体"/>
        </w:rPr>
        <w:fldChar w:fldCharType="separate"/>
      </w:r>
      <w:r>
        <w:rPr>
          <w:rFonts w:hint="eastAsia" w:ascii="宋体" w:hAnsi="宋体" w:eastAsia="宋体" w:cs="宋体"/>
        </w:rPr>
        <w:t>18</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_Toc9039 </w:instrText>
      </w:r>
      <w:r>
        <w:rPr>
          <w:rFonts w:hint="eastAsia" w:ascii="宋体" w:hAnsi="宋体" w:eastAsia="宋体" w:cs="宋体"/>
          <w:szCs w:val="24"/>
        </w:rPr>
        <w:fldChar w:fldCharType="separate"/>
      </w:r>
      <w:r>
        <w:rPr>
          <w:rFonts w:hint="eastAsia" w:ascii="宋体" w:hAnsi="宋体" w:eastAsia="宋体" w:cs="宋体"/>
          <w:bCs/>
          <w:szCs w:val="24"/>
        </w:rPr>
        <w:t>第九条  理财产品承担的各项费用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_Toc9039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_Toc20685 </w:instrText>
      </w:r>
      <w:r>
        <w:rPr>
          <w:rFonts w:hint="eastAsia" w:ascii="宋体" w:hAnsi="宋体" w:eastAsia="宋体" w:cs="宋体"/>
          <w:szCs w:val="24"/>
        </w:rPr>
        <w:fldChar w:fldCharType="separate"/>
      </w:r>
      <w:r>
        <w:rPr>
          <w:rFonts w:hint="eastAsia" w:ascii="宋体" w:hAnsi="宋体" w:eastAsia="宋体" w:cs="宋体"/>
          <w:bCs/>
          <w:szCs w:val="24"/>
        </w:rPr>
        <w:t>第十条  业务监督与核查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_Toc20685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_Toc14901 </w:instrText>
      </w:r>
      <w:r>
        <w:rPr>
          <w:rFonts w:hint="eastAsia" w:ascii="宋体" w:hAnsi="宋体" w:eastAsia="宋体" w:cs="宋体"/>
          <w:szCs w:val="24"/>
        </w:rPr>
        <w:fldChar w:fldCharType="separate"/>
      </w:r>
      <w:r>
        <w:rPr>
          <w:rFonts w:hint="eastAsia" w:ascii="宋体" w:hAnsi="宋体" w:eastAsia="宋体" w:cs="宋体"/>
          <w:bCs/>
          <w:szCs w:val="24"/>
        </w:rPr>
        <w:t>第十一条  理财产品档案保管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_Toc14901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_Toc7043 </w:instrText>
      </w:r>
      <w:r>
        <w:rPr>
          <w:rFonts w:hint="eastAsia" w:ascii="宋体" w:hAnsi="宋体" w:eastAsia="宋体" w:cs="宋体"/>
          <w:szCs w:val="24"/>
        </w:rPr>
        <w:fldChar w:fldCharType="separate"/>
      </w:r>
      <w:r>
        <w:rPr>
          <w:rFonts w:hint="eastAsia" w:ascii="宋体" w:hAnsi="宋体" w:eastAsia="宋体" w:cs="宋体"/>
          <w:bCs/>
          <w:szCs w:val="24"/>
        </w:rPr>
        <w:t>第十二条  信息披露</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_Toc7043 </w:instrText>
      </w:r>
      <w:r>
        <w:rPr>
          <w:rFonts w:hint="eastAsia" w:ascii="宋体" w:hAnsi="宋体" w:eastAsia="宋体" w:cs="宋体"/>
        </w:rPr>
        <w:fldChar w:fldCharType="separate"/>
      </w:r>
      <w:r>
        <w:rPr>
          <w:rFonts w:hint="eastAsia" w:ascii="宋体" w:hAnsi="宋体" w:eastAsia="宋体" w:cs="宋体"/>
        </w:rPr>
        <w:t>24</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_Toc1399 </w:instrText>
      </w:r>
      <w:r>
        <w:rPr>
          <w:rFonts w:hint="eastAsia" w:ascii="宋体" w:hAnsi="宋体" w:eastAsia="宋体" w:cs="宋体"/>
          <w:szCs w:val="24"/>
        </w:rPr>
        <w:fldChar w:fldCharType="separate"/>
      </w:r>
      <w:r>
        <w:rPr>
          <w:rFonts w:hint="eastAsia" w:ascii="宋体" w:hAnsi="宋体" w:eastAsia="宋体" w:cs="宋体"/>
          <w:bCs/>
          <w:szCs w:val="24"/>
        </w:rPr>
        <w:t>第十三条  保密条款</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_Toc1399 </w:instrText>
      </w:r>
      <w:r>
        <w:rPr>
          <w:rFonts w:hint="eastAsia" w:ascii="宋体" w:hAnsi="宋体" w:eastAsia="宋体" w:cs="宋体"/>
        </w:rPr>
        <w:fldChar w:fldCharType="separate"/>
      </w:r>
      <w:r>
        <w:rPr>
          <w:rFonts w:hint="eastAsia" w:ascii="宋体" w:hAnsi="宋体" w:eastAsia="宋体" w:cs="宋体"/>
        </w:rPr>
        <w:t>25</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_Toc10936 </w:instrText>
      </w:r>
      <w:r>
        <w:rPr>
          <w:rFonts w:hint="eastAsia" w:ascii="宋体" w:hAnsi="宋体" w:eastAsia="宋体" w:cs="宋体"/>
          <w:szCs w:val="24"/>
        </w:rPr>
        <w:fldChar w:fldCharType="separate"/>
      </w:r>
      <w:r>
        <w:rPr>
          <w:rFonts w:hint="eastAsia" w:ascii="宋体" w:hAnsi="宋体" w:eastAsia="宋体" w:cs="宋体"/>
          <w:bCs/>
          <w:szCs w:val="24"/>
        </w:rPr>
        <w:t>第十四条  违约责任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_Toc10936 </w:instrText>
      </w:r>
      <w:r>
        <w:rPr>
          <w:rFonts w:hint="eastAsia" w:ascii="宋体" w:hAnsi="宋体" w:eastAsia="宋体" w:cs="宋体"/>
        </w:rPr>
        <w:fldChar w:fldCharType="separate"/>
      </w:r>
      <w:r>
        <w:rPr>
          <w:rFonts w:hint="eastAsia" w:ascii="宋体" w:hAnsi="宋体" w:eastAsia="宋体" w:cs="宋体"/>
        </w:rPr>
        <w:t>26</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_Toc11148 </w:instrText>
      </w:r>
      <w:r>
        <w:rPr>
          <w:rFonts w:hint="eastAsia" w:ascii="宋体" w:hAnsi="宋体" w:eastAsia="宋体" w:cs="宋体"/>
          <w:szCs w:val="24"/>
        </w:rPr>
        <w:fldChar w:fldCharType="separate"/>
      </w:r>
      <w:r>
        <w:rPr>
          <w:rFonts w:hint="eastAsia" w:ascii="宋体" w:hAnsi="宋体" w:eastAsia="宋体" w:cs="宋体"/>
          <w:bCs/>
          <w:szCs w:val="24"/>
        </w:rPr>
        <w:t>第十五条  协议生效和终止</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_Toc11148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_Toc18810 </w:instrText>
      </w:r>
      <w:r>
        <w:rPr>
          <w:rFonts w:hint="eastAsia" w:ascii="宋体" w:hAnsi="宋体" w:eastAsia="宋体" w:cs="宋体"/>
          <w:szCs w:val="24"/>
        </w:rPr>
        <w:fldChar w:fldCharType="separate"/>
      </w:r>
      <w:r>
        <w:rPr>
          <w:rFonts w:hint="eastAsia" w:ascii="宋体" w:hAnsi="宋体" w:eastAsia="宋体" w:cs="宋体"/>
          <w:bCs/>
          <w:szCs w:val="24"/>
        </w:rPr>
        <w:t>第十六条  争议解决及其他</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_Toc18810 </w:instrText>
      </w:r>
      <w:r>
        <w:rPr>
          <w:rFonts w:hint="eastAsia" w:ascii="宋体" w:hAnsi="宋体" w:eastAsia="宋体" w:cs="宋体"/>
        </w:rPr>
        <w:fldChar w:fldCharType="separate"/>
      </w:r>
      <w:r>
        <w:rPr>
          <w:rFonts w:hint="eastAsia" w:ascii="宋体" w:hAnsi="宋体" w:eastAsia="宋体" w:cs="宋体"/>
        </w:rPr>
        <w:t>28</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_Toc30685 </w:instrText>
      </w:r>
      <w:r>
        <w:rPr>
          <w:rFonts w:hint="eastAsia" w:ascii="宋体" w:hAnsi="宋体" w:eastAsia="宋体" w:cs="宋体"/>
          <w:szCs w:val="24"/>
        </w:rPr>
        <w:fldChar w:fldCharType="separate"/>
      </w:r>
      <w:r>
        <w:rPr>
          <w:rFonts w:hint="eastAsia" w:ascii="宋体" w:hAnsi="宋体" w:eastAsia="宋体" w:cs="宋体"/>
          <w:szCs w:val="24"/>
        </w:rPr>
        <w:t>附件一：《资金到账通知书》（格式）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_Toc30685 </w:instrText>
      </w:r>
      <w:r>
        <w:rPr>
          <w:rFonts w:hint="eastAsia" w:ascii="宋体" w:hAnsi="宋体" w:eastAsia="宋体" w:cs="宋体"/>
        </w:rPr>
        <w:fldChar w:fldCharType="separate"/>
      </w:r>
      <w:r>
        <w:rPr>
          <w:rFonts w:hint="eastAsia" w:ascii="宋体" w:hAnsi="宋体" w:eastAsia="宋体" w:cs="宋体"/>
        </w:rPr>
        <w:t>31</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_Toc11095 </w:instrText>
      </w:r>
      <w:r>
        <w:rPr>
          <w:rFonts w:hint="eastAsia" w:ascii="宋体" w:hAnsi="宋体" w:eastAsia="宋体" w:cs="宋体"/>
          <w:szCs w:val="24"/>
        </w:rPr>
        <w:fldChar w:fldCharType="separate"/>
      </w:r>
      <w:r>
        <w:rPr>
          <w:rFonts w:hint="eastAsia" w:ascii="宋体" w:hAnsi="宋体" w:eastAsia="宋体" w:cs="宋体"/>
          <w:szCs w:val="24"/>
          <w:lang w:eastAsia="zh-CN"/>
        </w:rPr>
        <w:t>附件二</w:t>
      </w:r>
      <w:r>
        <w:rPr>
          <w:rFonts w:hint="eastAsia" w:ascii="宋体" w:hAnsi="宋体" w:eastAsia="宋体" w:cs="宋体"/>
          <w:szCs w:val="24"/>
        </w:rPr>
        <w:t>：《</w:t>
      </w:r>
      <w:r>
        <w:rPr>
          <w:rFonts w:hint="eastAsia" w:ascii="宋体" w:hAnsi="宋体" w:eastAsia="宋体" w:cs="宋体"/>
          <w:szCs w:val="24"/>
          <w:lang w:eastAsia="zh-CN"/>
        </w:rPr>
        <w:t>授权代表签名或印鉴样本通知书</w:t>
      </w:r>
      <w:r>
        <w:rPr>
          <w:rFonts w:hint="eastAsia" w:ascii="宋体" w:hAnsi="宋体" w:eastAsia="宋体" w:cs="宋体"/>
          <w:szCs w:val="24"/>
        </w:rPr>
        <w:t>》</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_Toc11095 </w:instrText>
      </w:r>
      <w:r>
        <w:rPr>
          <w:rFonts w:hint="eastAsia" w:ascii="宋体" w:hAnsi="宋体" w:eastAsia="宋体" w:cs="宋体"/>
        </w:rPr>
        <w:fldChar w:fldCharType="separate"/>
      </w:r>
      <w:r>
        <w:rPr>
          <w:rFonts w:hint="eastAsia" w:ascii="宋体" w:hAnsi="宋体" w:eastAsia="宋体" w:cs="宋体"/>
        </w:rPr>
        <w:t>33</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_Toc30642 </w:instrText>
      </w:r>
      <w:r>
        <w:rPr>
          <w:rFonts w:hint="eastAsia" w:ascii="宋体" w:hAnsi="宋体" w:eastAsia="宋体" w:cs="宋体"/>
          <w:szCs w:val="24"/>
        </w:rPr>
        <w:fldChar w:fldCharType="separate"/>
      </w:r>
      <w:r>
        <w:rPr>
          <w:rFonts w:hint="eastAsia" w:ascii="宋体" w:hAnsi="宋体" w:eastAsia="宋体" w:cs="宋体"/>
          <w:szCs w:val="24"/>
          <w:lang w:eastAsia="zh-CN"/>
        </w:rPr>
        <w:t>附件三</w:t>
      </w:r>
      <w:r>
        <w:rPr>
          <w:rFonts w:hint="eastAsia" w:ascii="宋体" w:hAnsi="宋体" w:eastAsia="宋体" w:cs="宋体"/>
          <w:szCs w:val="24"/>
        </w:rPr>
        <w:t>：《划款指令》（格式）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_Toc30642 </w:instrText>
      </w:r>
      <w:r>
        <w:rPr>
          <w:rFonts w:hint="eastAsia" w:ascii="宋体" w:hAnsi="宋体" w:eastAsia="宋体" w:cs="宋体"/>
        </w:rPr>
        <w:fldChar w:fldCharType="separate"/>
      </w:r>
      <w:r>
        <w:rPr>
          <w:rFonts w:hint="eastAsia" w:ascii="宋体" w:hAnsi="宋体" w:eastAsia="宋体" w:cs="宋体"/>
        </w:rPr>
        <w:t>34</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_Toc6828 </w:instrText>
      </w:r>
      <w:r>
        <w:rPr>
          <w:rFonts w:hint="eastAsia" w:ascii="宋体" w:hAnsi="宋体" w:eastAsia="宋体" w:cs="宋体"/>
          <w:szCs w:val="24"/>
        </w:rPr>
        <w:fldChar w:fldCharType="separate"/>
      </w:r>
      <w:r>
        <w:rPr>
          <w:rFonts w:hint="eastAsia" w:ascii="宋体" w:hAnsi="宋体" w:eastAsia="宋体" w:cs="宋体"/>
          <w:szCs w:val="24"/>
          <w:lang w:eastAsia="zh-CN"/>
        </w:rPr>
        <w:t>附件四</w:t>
      </w:r>
      <w:r>
        <w:rPr>
          <w:rFonts w:hint="eastAsia" w:ascii="宋体" w:hAnsi="宋体" w:eastAsia="宋体" w:cs="宋体"/>
          <w:szCs w:val="24"/>
        </w:rPr>
        <w:t>：《投资监督事项表》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_Toc6828 </w:instrText>
      </w:r>
      <w:r>
        <w:rPr>
          <w:rFonts w:hint="eastAsia" w:ascii="宋体" w:hAnsi="宋体" w:eastAsia="宋体" w:cs="宋体"/>
        </w:rPr>
        <w:fldChar w:fldCharType="separate"/>
      </w:r>
      <w:r>
        <w:rPr>
          <w:rFonts w:hint="eastAsia" w:ascii="宋体" w:hAnsi="宋体" w:eastAsia="宋体" w:cs="宋体"/>
        </w:rPr>
        <w:t>35</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_Toc17484 </w:instrText>
      </w:r>
      <w:r>
        <w:rPr>
          <w:rFonts w:hint="eastAsia" w:ascii="宋体" w:hAnsi="宋体" w:eastAsia="宋体" w:cs="宋体"/>
          <w:szCs w:val="24"/>
        </w:rPr>
        <w:fldChar w:fldCharType="separate"/>
      </w:r>
      <w:r>
        <w:rPr>
          <w:rFonts w:hint="eastAsia" w:ascii="宋体" w:hAnsi="宋体" w:eastAsia="宋体" w:cs="宋体"/>
          <w:szCs w:val="24"/>
          <w:lang w:eastAsia="zh-CN"/>
        </w:rPr>
        <w:t>附件五</w:t>
      </w:r>
      <w:r>
        <w:rPr>
          <w:rFonts w:hint="eastAsia" w:ascii="宋体" w:hAnsi="宋体" w:eastAsia="宋体" w:cs="宋体"/>
          <w:szCs w:val="24"/>
        </w:rPr>
        <w:t>：《托管报告》（格式）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_Toc17484 </w:instrText>
      </w:r>
      <w:r>
        <w:rPr>
          <w:rFonts w:hint="eastAsia" w:ascii="宋体" w:hAnsi="宋体" w:eastAsia="宋体" w:cs="宋体"/>
        </w:rPr>
        <w:fldChar w:fldCharType="separate"/>
      </w:r>
      <w:r>
        <w:rPr>
          <w:rFonts w:hint="eastAsia" w:ascii="宋体" w:hAnsi="宋体" w:eastAsia="宋体" w:cs="宋体"/>
        </w:rPr>
        <w:t>36</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_Toc20399 </w:instrText>
      </w:r>
      <w:r>
        <w:rPr>
          <w:rFonts w:hint="eastAsia" w:ascii="宋体" w:hAnsi="宋体" w:eastAsia="宋体" w:cs="宋体"/>
          <w:szCs w:val="24"/>
        </w:rPr>
        <w:fldChar w:fldCharType="separate"/>
      </w:r>
      <w:r>
        <w:rPr>
          <w:rFonts w:hint="eastAsia" w:ascii="宋体" w:hAnsi="宋体" w:eastAsia="宋体" w:cs="宋体"/>
          <w:szCs w:val="24"/>
          <w:lang w:eastAsia="zh-CN"/>
        </w:rPr>
        <w:t>附件六</w:t>
      </w:r>
      <w:r>
        <w:rPr>
          <w:rFonts w:hint="eastAsia" w:ascii="宋体" w:hAnsi="宋体" w:eastAsia="宋体" w:cs="宋体"/>
          <w:szCs w:val="24"/>
        </w:rPr>
        <w:t>：《复核函》（格式）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_Toc20399 </w:instrText>
      </w:r>
      <w:r>
        <w:rPr>
          <w:rFonts w:hint="eastAsia" w:ascii="宋体" w:hAnsi="宋体" w:eastAsia="宋体" w:cs="宋体"/>
        </w:rPr>
        <w:fldChar w:fldCharType="separate"/>
      </w:r>
      <w:r>
        <w:rPr>
          <w:rFonts w:hint="eastAsia" w:ascii="宋体" w:hAnsi="宋体" w:eastAsia="宋体" w:cs="宋体"/>
        </w:rPr>
        <w:t>37</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_Toc5359 </w:instrText>
      </w:r>
      <w:r>
        <w:rPr>
          <w:rFonts w:hint="eastAsia" w:ascii="宋体" w:hAnsi="宋体" w:eastAsia="宋体" w:cs="宋体"/>
          <w:szCs w:val="24"/>
        </w:rPr>
        <w:fldChar w:fldCharType="separate"/>
      </w:r>
      <w:r>
        <w:rPr>
          <w:rFonts w:hint="eastAsia" w:ascii="宋体" w:hAnsi="宋体" w:eastAsia="宋体" w:cs="宋体"/>
          <w:szCs w:val="24"/>
          <w:lang w:eastAsia="zh-CN"/>
        </w:rPr>
        <w:t>附件七</w:t>
      </w:r>
      <w:r>
        <w:rPr>
          <w:rFonts w:hint="eastAsia" w:ascii="宋体" w:hAnsi="宋体" w:eastAsia="宋体" w:cs="宋体"/>
          <w:szCs w:val="24"/>
        </w:rPr>
        <w:t>：业务联系单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_Toc5359 </w:instrText>
      </w:r>
      <w:r>
        <w:rPr>
          <w:rFonts w:hint="eastAsia" w:ascii="宋体" w:hAnsi="宋体" w:eastAsia="宋体" w:cs="宋体"/>
        </w:rPr>
        <w:fldChar w:fldCharType="separate"/>
      </w:r>
      <w:r>
        <w:rPr>
          <w:rFonts w:hint="eastAsia" w:ascii="宋体" w:hAnsi="宋体" w:eastAsia="宋体" w:cs="宋体"/>
        </w:rPr>
        <w:t>38</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_Toc20069 </w:instrText>
      </w:r>
      <w:r>
        <w:rPr>
          <w:rFonts w:hint="eastAsia" w:ascii="宋体" w:hAnsi="宋体" w:eastAsia="宋体" w:cs="宋体"/>
          <w:szCs w:val="24"/>
        </w:rPr>
        <w:fldChar w:fldCharType="separate"/>
      </w:r>
      <w:r>
        <w:rPr>
          <w:rFonts w:hint="eastAsia" w:ascii="宋体" w:hAnsi="宋体" w:eastAsia="宋体" w:cs="宋体"/>
          <w:szCs w:val="24"/>
          <w:lang w:eastAsia="zh-CN"/>
        </w:rPr>
        <w:t>附件七</w:t>
      </w:r>
      <w:r>
        <w:rPr>
          <w:rFonts w:hint="eastAsia" w:ascii="宋体" w:hAnsi="宋体" w:eastAsia="宋体" w:cs="宋体"/>
          <w:szCs w:val="24"/>
        </w:rPr>
        <w:t>-1：管理人业务联系单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_Toc20069 </w:instrText>
      </w:r>
      <w:r>
        <w:rPr>
          <w:rFonts w:hint="eastAsia" w:ascii="宋体" w:hAnsi="宋体" w:eastAsia="宋体" w:cs="宋体"/>
        </w:rPr>
        <w:fldChar w:fldCharType="separate"/>
      </w:r>
      <w:r>
        <w:rPr>
          <w:rFonts w:hint="eastAsia" w:ascii="宋体" w:hAnsi="宋体" w:eastAsia="宋体" w:cs="宋体"/>
        </w:rPr>
        <w:t>38</w:t>
      </w:r>
      <w:r>
        <w:rPr>
          <w:rFonts w:hint="eastAsia" w:ascii="宋体" w:hAnsi="宋体" w:eastAsia="宋体" w:cs="宋体"/>
        </w:rPr>
        <w:fldChar w:fldCharType="end"/>
      </w:r>
      <w:r>
        <w:rPr>
          <w:rFonts w:hint="eastAsia" w:ascii="宋体" w:hAnsi="宋体" w:eastAsia="宋体" w:cs="宋体"/>
          <w:szCs w:val="24"/>
        </w:rPr>
        <w:fldChar w:fldCharType="end"/>
      </w:r>
    </w:p>
    <w:p>
      <w:pPr>
        <w:pStyle w:val="11"/>
        <w:tabs>
          <w:tab w:val="right" w:leader="dot" w:pos="8243"/>
        </w:tabs>
        <w:ind w:firstLine="480"/>
        <w:rPr>
          <w:rFonts w:hint="eastAsia" w:ascii="宋体" w:hAnsi="宋体" w:eastAsia="宋体" w:cs="宋体"/>
          <w:b/>
          <w:bCs/>
          <w:szCs w:val="24"/>
        </w:rPr>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_Toc2069 </w:instrText>
      </w:r>
      <w:r>
        <w:rPr>
          <w:rFonts w:hint="eastAsia" w:ascii="宋体" w:hAnsi="宋体" w:eastAsia="宋体" w:cs="宋体"/>
          <w:szCs w:val="24"/>
        </w:rPr>
        <w:fldChar w:fldCharType="separate"/>
      </w:r>
      <w:r>
        <w:rPr>
          <w:rFonts w:hint="eastAsia" w:ascii="宋体" w:hAnsi="宋体" w:eastAsia="宋体" w:cs="宋体"/>
          <w:szCs w:val="24"/>
          <w:lang w:eastAsia="zh-CN"/>
        </w:rPr>
        <w:t>附件七</w:t>
      </w:r>
      <w:r>
        <w:rPr>
          <w:rFonts w:hint="eastAsia" w:ascii="宋体" w:hAnsi="宋体" w:eastAsia="宋体" w:cs="宋体"/>
          <w:szCs w:val="24"/>
        </w:rPr>
        <w:t>-2：托管人业务联系单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_Toc2069 </w:instrText>
      </w:r>
      <w:r>
        <w:rPr>
          <w:rFonts w:hint="eastAsia" w:ascii="宋体" w:hAnsi="宋体" w:eastAsia="宋体" w:cs="宋体"/>
        </w:rPr>
        <w:fldChar w:fldCharType="separate"/>
      </w:r>
      <w:r>
        <w:rPr>
          <w:rFonts w:hint="eastAsia" w:ascii="宋体" w:hAnsi="宋体" w:eastAsia="宋体" w:cs="宋体"/>
        </w:rPr>
        <w:t>39</w:t>
      </w:r>
      <w:r>
        <w:rPr>
          <w:rFonts w:hint="eastAsia" w:ascii="宋体" w:hAnsi="宋体" w:eastAsia="宋体" w:cs="宋体"/>
        </w:rPr>
        <w:fldChar w:fldCharType="end"/>
      </w:r>
      <w:r>
        <w:rPr>
          <w:rFonts w:hint="eastAsia" w:ascii="宋体" w:hAnsi="宋体" w:eastAsia="宋体" w:cs="宋体"/>
          <w:szCs w:val="24"/>
        </w:rPr>
        <w:fldChar w:fldCharType="end"/>
      </w:r>
      <w:r>
        <w:rPr>
          <w:rFonts w:hint="eastAsia" w:ascii="宋体" w:hAnsi="宋体" w:eastAsia="宋体" w:cs="宋体"/>
          <w:szCs w:val="24"/>
        </w:rPr>
        <w:fldChar w:fldCharType="end"/>
      </w:r>
    </w:p>
    <w:p>
      <w:pPr>
        <w:tabs>
          <w:tab w:val="right" w:leader="dot" w:pos="8080"/>
        </w:tabs>
        <w:spacing w:line="360" w:lineRule="auto"/>
        <w:ind w:right="848" w:rightChars="404"/>
        <w:rPr>
          <w:rFonts w:hint="eastAsia" w:ascii="宋体" w:hAnsi="宋体" w:eastAsia="宋体" w:cs="宋体"/>
          <w:b/>
          <w:bCs/>
          <w:sz w:val="32"/>
          <w:szCs w:val="32"/>
        </w:rPr>
        <w:sectPr>
          <w:headerReference r:id="rId3" w:type="default"/>
          <w:footerReference r:id="rId4" w:type="default"/>
          <w:pgSz w:w="11849" w:h="16781"/>
          <w:pgMar w:top="1440" w:right="1803" w:bottom="1440" w:left="1803" w:header="850" w:footer="992" w:gutter="0"/>
          <w:cols w:space="720" w:num="1"/>
          <w:docGrid w:type="linesAndChars" w:linePitch="312" w:charSpace="0"/>
        </w:sectPr>
      </w:pPr>
    </w:p>
    <w:p>
      <w:pPr>
        <w:tabs>
          <w:tab w:val="right" w:leader="dot" w:pos="8080"/>
        </w:tabs>
        <w:spacing w:line="360" w:lineRule="auto"/>
        <w:outlineLvl w:val="0"/>
        <w:rPr>
          <w:rFonts w:hint="eastAsia" w:ascii="宋体" w:hAnsi="宋体" w:eastAsia="宋体" w:cs="宋体"/>
          <w:b/>
          <w:bCs/>
          <w:kern w:val="0"/>
          <w:sz w:val="24"/>
          <w:szCs w:val="24"/>
        </w:rPr>
      </w:pPr>
      <w:bookmarkStart w:id="3" w:name="_Toc51428119"/>
      <w:bookmarkStart w:id="4" w:name="_Toc51421600"/>
      <w:bookmarkStart w:id="5" w:name="_Toc57797437"/>
      <w:bookmarkStart w:id="6" w:name="_Toc9471"/>
      <w:bookmarkStart w:id="7" w:name="_Toc21733"/>
      <w:r>
        <w:rPr>
          <w:rFonts w:hint="eastAsia" w:ascii="宋体" w:hAnsi="宋体" w:eastAsia="宋体" w:cs="宋体"/>
          <w:b/>
          <w:bCs/>
          <w:kern w:val="0"/>
          <w:sz w:val="24"/>
          <w:szCs w:val="24"/>
        </w:rPr>
        <w:t>鉴于：</w:t>
      </w:r>
      <w:bookmarkEnd w:id="3"/>
      <w:bookmarkEnd w:id="4"/>
      <w:bookmarkEnd w:id="5"/>
      <w:bookmarkEnd w:id="6"/>
      <w:bookmarkEnd w:id="7"/>
    </w:p>
    <w:p>
      <w:pPr>
        <w:numPr>
          <w:ilvl w:val="0"/>
          <w:numId w:val="1"/>
        </w:numPr>
        <w:tabs>
          <w:tab w:val="right" w:leader="dot" w:pos="284"/>
          <w:tab w:val="left" w:pos="851"/>
        </w:tabs>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管理人为合法成立并有效存续的金融机构，并获中国银行保险监督管理委员会（以下简称“中国银保监会”）批准可以发行人民币理财产品；托管人为合法成立并有效存续的商业银行，经中国证券监督管理委员会批准，具有证券投资基金托管业务资格，可以开展商业银行理财资金托管业务。</w:t>
      </w:r>
    </w:p>
    <w:p>
      <w:pPr>
        <w:numPr>
          <w:ilvl w:val="0"/>
          <w:numId w:val="1"/>
        </w:numPr>
        <w:tabs>
          <w:tab w:val="right" w:leader="dot" w:pos="284"/>
          <w:tab w:val="left" w:pos="851"/>
        </w:tabs>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管理人作为</w:t>
      </w:r>
      <w:r>
        <w:rPr>
          <w:rFonts w:hint="eastAsia" w:ascii="宋体" w:hAnsi="宋体" w:eastAsia="宋体" w:cs="宋体"/>
          <w:sz w:val="24"/>
          <w:szCs w:val="24"/>
          <w:u w:val="single"/>
          <w:shd w:val="clear" w:color="FFFFFF" w:fill="D9D9D9"/>
        </w:rPr>
        <w:fldChar w:fldCharType="begin">
          <w:ffData>
            <w:name w:val="Text2"/>
            <w:enabled/>
            <w:calcOnExit w:val="0"/>
            <w:textInput/>
          </w:ffData>
        </w:fldChar>
      </w:r>
      <w:bookmarkStart w:id="8" w:name="Text2"/>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xml:space="preserve"> </w:t>
      </w:r>
      <w:r>
        <w:rPr>
          <w:rFonts w:hint="eastAsia" w:ascii="宋体" w:hAnsi="宋体" w:eastAsia="宋体" w:cs="宋体"/>
          <w:sz w:val="24"/>
          <w:szCs w:val="24"/>
          <w:u w:val="single"/>
          <w:shd w:val="clear" w:color="FFFFFF" w:fill="D9D9D9"/>
          <w:lang w:val="en-US" w:eastAsia="zh-CN"/>
        </w:rPr>
        <w:t>齐鲁银行泉心理财人民币理财计划</w:t>
      </w:r>
      <w:r>
        <w:rPr>
          <w:rFonts w:hint="eastAsia" w:ascii="宋体" w:hAnsi="宋体" w:eastAsia="宋体" w:cs="宋体"/>
          <w:sz w:val="24"/>
          <w:szCs w:val="24"/>
          <w:u w:val="single"/>
          <w:shd w:val="clear" w:color="FFFFFF" w:fill="D9D9D9"/>
        </w:rPr>
        <w:fldChar w:fldCharType="end"/>
      </w:r>
      <w:bookmarkEnd w:id="8"/>
      <w:r>
        <w:rPr>
          <w:rFonts w:hint="eastAsia" w:ascii="宋体" w:hAnsi="宋体" w:eastAsia="宋体" w:cs="宋体"/>
          <w:sz w:val="24"/>
          <w:szCs w:val="24"/>
        </w:rPr>
        <w:t>（以下简称“理财产品”）的发行人和管理人，同意委托</w:t>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xml:space="preserve">  中国民生银行</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t>股份有限公司</w:t>
      </w:r>
      <w:r>
        <w:rPr>
          <w:rFonts w:hint="eastAsia" w:ascii="宋体" w:hAnsi="宋体" w:eastAsia="宋体" w:cs="宋体"/>
          <w:sz w:val="24"/>
          <w:szCs w:val="24"/>
        </w:rPr>
        <w:t>为理财产品的资金（以下简称“理财资金”）托管人，托管人愿意接受管理人的委托，负责理财资金托管账户中资金的安全保管。</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为明确双方在理财资金托管的权利、义务及职责，确保理财资金的安全，保护理财产品委托人（以下简称“委托人”）的合法权益，依据</w:t>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《中华人民共和国民法典》、《商业银行理财业务监督管理办法》、《商业银行理财子公司管理办法》</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等法律法规以及相关规定，特签订本协议。</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双方在此声明：双方均具有法定权利和充分的授权签署本协议并履行在本协议项下的全部义务。</w:t>
      </w:r>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9" w:name="_Toc51421601"/>
      <w:bookmarkStart w:id="10" w:name="_Toc57797438"/>
      <w:bookmarkStart w:id="11" w:name="_Toc23023"/>
      <w:r>
        <w:rPr>
          <w:rFonts w:hint="eastAsia" w:ascii="宋体" w:hAnsi="宋体" w:eastAsia="宋体" w:cs="宋体"/>
          <w:bCs w:val="0"/>
          <w:kern w:val="2"/>
          <w:sz w:val="24"/>
          <w:szCs w:val="24"/>
        </w:rPr>
        <w:t>第一条  释义</w:t>
      </w:r>
      <w:bookmarkEnd w:id="9"/>
      <w:bookmarkEnd w:id="10"/>
      <w:bookmarkEnd w:id="11"/>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除非本协议另有明确定义，本协议中的下列词语按照以下所列释义：</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1.1委托人：指</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齐鲁银行泉心理财人民币理财计划</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的委托人。</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1.2管理人：指</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齐鲁银行股份有限公司</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1.3托管人：指</w:t>
      </w:r>
      <w:bookmarkStart w:id="12" w:name="Text8"/>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 中国民生银行股份有限公司  </w:t>
      </w:r>
      <w:r>
        <w:rPr>
          <w:rFonts w:hint="eastAsia" w:ascii="宋体" w:hAnsi="宋体" w:eastAsia="宋体" w:cs="宋体"/>
          <w:sz w:val="24"/>
          <w:szCs w:val="24"/>
          <w:u w:val="single"/>
          <w:shd w:val="clear" w:color="FFFFFF" w:fill="D9D9D9"/>
        </w:rPr>
        <w:fldChar w:fldCharType="end"/>
      </w:r>
      <w:bookmarkEnd w:id="12"/>
      <w:r>
        <w:rPr>
          <w:rFonts w:hint="eastAsia" w:ascii="宋体" w:hAnsi="宋体" w:eastAsia="宋体" w:cs="宋体"/>
          <w:sz w:val="24"/>
          <w:szCs w:val="24"/>
        </w:rPr>
        <w:t>。</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1.4证券经纪商：指</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中信建投证券股份有限公司</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1.5本协议：指管理人与托管人签订的《</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齐鲁银行泉心理财人民币理财计划</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资金托管协议》及对该协议的任何有效修订和补充。</w:t>
      </w:r>
    </w:p>
    <w:p>
      <w:pPr>
        <w:tabs>
          <w:tab w:val="right" w:leader="dot" w:pos="284"/>
          <w:tab w:val="left" w:pos="1455"/>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1.6理财产品合同：指</w:t>
      </w:r>
      <w:r>
        <w:rPr>
          <w:rFonts w:hint="eastAsia" w:ascii="宋体" w:hAnsi="宋体" w:eastAsia="宋体" w:cs="宋体"/>
          <w:color w:val="000000"/>
          <w:sz w:val="24"/>
          <w:szCs w:val="24"/>
          <w:shd w:val="pct10" w:color="auto" w:fill="FFFFFF"/>
        </w:rPr>
        <w:fldChar w:fldCharType="begin">
          <w:ffData>
            <w:name w:val="文字1"/>
            <w:enabled/>
            <w:calcOnExit w:val="0"/>
            <w:textInput/>
          </w:ffData>
        </w:fldChar>
      </w:r>
      <w:bookmarkStart w:id="13" w:name="文字1"/>
      <w:r>
        <w:rPr>
          <w:rFonts w:hint="eastAsia" w:ascii="宋体" w:hAnsi="宋体" w:eastAsia="宋体" w:cs="宋体"/>
          <w:color w:val="000000"/>
          <w:sz w:val="24"/>
          <w:szCs w:val="24"/>
          <w:shd w:val="pct10" w:color="auto" w:fill="FFFFFF"/>
        </w:rPr>
        <w:instrText xml:space="preserve"> FORMTEXT </w:instrText>
      </w:r>
      <w:r>
        <w:rPr>
          <w:rFonts w:hint="eastAsia" w:ascii="宋体" w:hAnsi="宋体" w:eastAsia="宋体" w:cs="宋体"/>
          <w:color w:val="000000"/>
          <w:sz w:val="24"/>
          <w:szCs w:val="24"/>
          <w:shd w:val="pct10" w:color="auto" w:fill="FFFFFF"/>
        </w:rPr>
        <w:fldChar w:fldCharType="separate"/>
      </w:r>
      <w:r>
        <w:rPr>
          <w:rFonts w:hint="eastAsia" w:ascii="宋体" w:hAnsi="宋体" w:eastAsia="宋体" w:cs="宋体"/>
          <w:sz w:val="24"/>
          <w:szCs w:val="24"/>
          <w:shd w:val="pct10" w:color="auto" w:fill="FFFFFF"/>
        </w:rPr>
        <w:t xml:space="preserve">《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齐鲁银行泉心理财人民币理财计划</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shd w:val="pct10" w:color="auto" w:fill="FFFFFF"/>
        </w:rPr>
        <w:t xml:space="preserve">产品协议书/合约》、《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齐鲁银行泉心理财人民币理财计划</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shd w:val="pct10" w:color="auto" w:fill="FFFFFF"/>
        </w:rPr>
        <w:t xml:space="preserve">产品说明书》、《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齐鲁银行泉心理财人民币理财计划</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shd w:val="pct10" w:color="auto" w:fill="FFFFFF"/>
        </w:rPr>
        <w:t xml:space="preserve">产品风险揭示书》、《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齐鲁银行泉心理财人民币理财计划</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shd w:val="pct10" w:color="auto" w:fill="FFFFFF"/>
        </w:rPr>
        <w:t>产品权益须知》、申请书、公告</w:t>
      </w:r>
      <w:r>
        <w:rPr>
          <w:rFonts w:hint="eastAsia" w:ascii="宋体" w:hAnsi="宋体" w:eastAsia="宋体" w:cs="宋体"/>
          <w:color w:val="000000"/>
          <w:sz w:val="24"/>
          <w:szCs w:val="24"/>
          <w:shd w:val="pct10" w:color="auto" w:fill="FFFFFF"/>
        </w:rPr>
        <w:fldChar w:fldCharType="end"/>
      </w:r>
      <w:bookmarkEnd w:id="13"/>
      <w:r>
        <w:rPr>
          <w:rFonts w:hint="eastAsia" w:ascii="宋体" w:hAnsi="宋体" w:eastAsia="宋体" w:cs="宋体"/>
          <w:color w:val="000000"/>
          <w:sz w:val="24"/>
          <w:szCs w:val="24"/>
          <w:shd w:val="pct10" w:color="auto" w:fill="FFFFFF"/>
          <w:lang w:val="en-US" w:eastAsia="zh-CN"/>
        </w:rPr>
        <w:t>等</w:t>
      </w:r>
      <w:r>
        <w:rPr>
          <w:rFonts w:hint="eastAsia" w:ascii="宋体" w:hAnsi="宋体" w:eastAsia="宋体" w:cs="宋体"/>
          <w:sz w:val="24"/>
          <w:szCs w:val="24"/>
        </w:rPr>
        <w:t>对该相关文件的任何有效修订和补充。</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1.7托管账户：</w:t>
      </w:r>
      <w:r>
        <w:rPr>
          <w:rFonts w:hint="eastAsia" w:ascii="宋体" w:hAnsi="宋体" w:eastAsia="宋体" w:cs="宋体"/>
          <w:sz w:val="24"/>
          <w:szCs w:val="24"/>
        </w:rPr>
        <w:t>指托管人根据有关规定为理财产品开立的、专门用于资金收付、清算交收的银行账户。</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1.8理财专用证券账户：</w:t>
      </w:r>
      <w:r>
        <w:rPr>
          <w:rFonts w:hint="eastAsia" w:ascii="宋体" w:hAnsi="宋体" w:eastAsia="宋体" w:cs="宋体"/>
          <w:sz w:val="24"/>
          <w:szCs w:val="24"/>
        </w:rPr>
        <w:t>指根据中国证监会有关规定和中国证券登记结算有限责任公司的有关业务规则，由管理人和托管人根据实际情况，为理财产品在中国证券登记结算有限责任公司开立的深、沪股东账户。</w:t>
      </w:r>
    </w:p>
    <w:p>
      <w:pPr>
        <w:tabs>
          <w:tab w:val="right" w:leader="dot" w:pos="284"/>
          <w:tab w:val="left" w:pos="1455"/>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1.9债券账户：根据中国人民银行、中央国债登记结算有限责任公司以及银行间市场清算所股份有限公司的有关规定，由管理人和托管人根据实际情况，为理财产品在债券登记结算机构开立的专用债券账户。</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 xml:space="preserve">1.10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 理财专用资金账户：即客户证券资金台账，指管理人以证券账户为依据在证券经纪商指定下属营业机构为本理财专门开立的证券资金台账。</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1.11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 理财份额总数：指本理财项下理财份额的总数。理财存续期间理财份额总数指全部委托人持有的理财份额的总数。</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1.12</w:t>
      </w:r>
      <w:r>
        <w:rPr>
          <w:rFonts w:hint="eastAsia" w:ascii="宋体" w:hAnsi="宋体" w:eastAsia="宋体" w:cs="宋体"/>
          <w:sz w:val="24"/>
          <w:szCs w:val="24"/>
        </w:rPr>
        <w:t>理财产品资产总值：</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  指管理人和托管人根据本协议约定的估值方法对本理财项下各种形式理财财产计算的价值总和。理财产品资产总值的计算精确到小数点后第二位（即精确到0.01），小数点后第三位四舍五入。</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1.13</w:t>
      </w:r>
      <w:r>
        <w:rPr>
          <w:rFonts w:hint="eastAsia" w:ascii="宋体" w:hAnsi="宋体" w:eastAsia="宋体" w:cs="宋体"/>
          <w:bCs/>
          <w:sz w:val="24"/>
          <w:szCs w:val="24"/>
        </w:rPr>
        <w:t>理财产品负债：</w:t>
      </w:r>
      <w:r>
        <w:rPr>
          <w:rFonts w:hint="eastAsia" w:ascii="宋体" w:hAnsi="宋体" w:eastAsia="宋体" w:cs="宋体"/>
          <w:sz w:val="24"/>
          <w:szCs w:val="24"/>
        </w:rPr>
        <w:t>指根据法律法规规定和理财产品合同约定应由本理财财产承担的费用、税费和因管理人管理运用、处分理财财产而形成的对第三人的负债。</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1.14</w:t>
      </w:r>
      <w:r>
        <w:rPr>
          <w:rFonts w:hint="eastAsia" w:ascii="宋体" w:hAnsi="宋体" w:eastAsia="宋体" w:cs="宋体"/>
          <w:sz w:val="24"/>
          <w:szCs w:val="24"/>
        </w:rPr>
        <w:t>理财产品资产净值：</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  指理财产品资产总值减去理财产品负债后的价值。理财产品资产净值的计算精确到小数点后第二位（即精确到0.01），小数点后第三位四舍五入。</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1.15</w:t>
      </w:r>
      <w:r>
        <w:rPr>
          <w:rFonts w:hint="eastAsia" w:ascii="宋体" w:hAnsi="宋体" w:eastAsia="宋体" w:cs="宋体"/>
          <w:sz w:val="24"/>
          <w:szCs w:val="24"/>
        </w:rPr>
        <w:t>理财产品份额净值：</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  指理财项下理财产品资产净值除以理财份额总数。即T日理财产品份额净值=T日理财产品资产净值/T日理财份额总数。理财产品份额净值的计算精确到小数点后第</w:t>
      </w:r>
      <w:r>
        <w:rPr>
          <w:rFonts w:hint="eastAsia" w:ascii="宋体" w:hAnsi="宋体" w:cs="宋体"/>
          <w:sz w:val="24"/>
          <w:szCs w:val="24"/>
          <w:u w:val="single"/>
          <w:shd w:val="clear" w:color="FFFFFF" w:fill="D9D9D9"/>
          <w:lang w:eastAsia="zh-CN"/>
        </w:rPr>
        <w:t>八</w:t>
      </w:r>
      <w:r>
        <w:rPr>
          <w:rFonts w:hint="eastAsia" w:ascii="宋体" w:hAnsi="宋体" w:eastAsia="宋体" w:cs="宋体"/>
          <w:sz w:val="24"/>
          <w:szCs w:val="24"/>
          <w:u w:val="single"/>
          <w:shd w:val="clear" w:color="FFFFFF" w:fill="D9D9D9"/>
        </w:rPr>
        <w:t>位（即精确</w:t>
      </w:r>
      <w:r>
        <w:rPr>
          <w:rFonts w:hint="eastAsia" w:ascii="宋体" w:hAnsi="宋体" w:cs="宋体"/>
          <w:sz w:val="24"/>
          <w:szCs w:val="24"/>
          <w:u w:val="single"/>
          <w:shd w:val="clear" w:color="FFFFFF" w:fill="D9D9D9"/>
          <w:lang w:val="en-US" w:eastAsia="zh-CN"/>
        </w:rPr>
        <w:t>到0.00000001），小数点后第九位按截位法处理。</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1.16</w:t>
      </w:r>
      <w:r>
        <w:rPr>
          <w:rFonts w:hint="eastAsia" w:ascii="宋体" w:hAnsi="宋体" w:eastAsia="宋体" w:cs="宋体"/>
          <w:sz w:val="24"/>
          <w:szCs w:val="24"/>
        </w:rPr>
        <w:t>工作日：指中华人民共和国国务院规定的金融机构正常营业日。</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1.17</w:t>
      </w:r>
      <w:r>
        <w:rPr>
          <w:rFonts w:hint="eastAsia" w:ascii="宋体" w:hAnsi="宋体" w:eastAsia="宋体" w:cs="宋体"/>
          <w:sz w:val="24"/>
          <w:szCs w:val="24"/>
        </w:rPr>
        <w:t>交易日：指沪、深证券交易所或银行间市场公布的正常证券交易日。</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1.18</w:t>
      </w:r>
      <w:r>
        <w:rPr>
          <w:rFonts w:hint="eastAsia" w:ascii="宋体" w:hAnsi="宋体" w:eastAsia="宋体" w:cs="宋体"/>
          <w:sz w:val="24"/>
          <w:szCs w:val="24"/>
        </w:rPr>
        <w:t>估值日：指管理人和托管人计算评估理财当日理财财产价值以确定理财产品资产总值、理财产品资产净值、理财产品份额净值的日期。本理财估值日为</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val="en-US" w:eastAsia="zh-CN"/>
        </w:rPr>
        <w:t>每日</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1.19</w:t>
      </w:r>
      <w:r>
        <w:rPr>
          <w:rFonts w:hint="eastAsia" w:ascii="宋体" w:hAnsi="宋体" w:eastAsia="宋体" w:cs="宋体"/>
          <w:sz w:val="24"/>
          <w:szCs w:val="24"/>
        </w:rPr>
        <w:t>开放日：指接受委托人申购、赎回理财项下理财份额申请的日期。</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本理财产品的开放日</w:t>
      </w:r>
      <w:r>
        <w:rPr>
          <w:rFonts w:hint="eastAsia" w:ascii="宋体" w:hAnsi="宋体" w:cs="宋体"/>
          <w:sz w:val="24"/>
          <w:szCs w:val="24"/>
          <w:u w:val="single"/>
          <w:shd w:val="clear" w:color="FFFFFF" w:fill="D9D9D9"/>
          <w:lang w:val="en-US" w:eastAsia="zh-CN"/>
        </w:rPr>
        <w:t>详见理财产品说明书</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w:t>
      </w:r>
      <w:bookmarkStart w:id="14" w:name="_Hlt133860174"/>
      <w:bookmarkEnd w:id="14"/>
      <w:bookmarkStart w:id="15" w:name="_Hlt133860171"/>
      <w:bookmarkEnd w:id="15"/>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1.20其它定义：</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lang w:val="en-US" w:eastAsia="zh-CN"/>
        </w:rPr>
        <w:t>无</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本协议中所述用语的含义，如未作特别约定，均与理财产品合同所述相同。</w:t>
      </w:r>
    </w:p>
    <w:p>
      <w:pPr>
        <w:tabs>
          <w:tab w:val="right" w:leader="dot" w:pos="284"/>
          <w:tab w:val="left" w:pos="1455"/>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需要特别说明的是，托管人仅按照</w:t>
      </w:r>
      <w:r>
        <w:rPr>
          <w:rFonts w:hint="eastAsia" w:ascii="宋体" w:hAnsi="宋体" w:cs="宋体"/>
          <w:b/>
          <w:sz w:val="24"/>
          <w:szCs w:val="24"/>
          <w:lang w:val="en-US" w:eastAsia="zh-Hans"/>
        </w:rPr>
        <w:t>法律、法规、规范性文件及</w:t>
      </w:r>
      <w:r>
        <w:rPr>
          <w:rFonts w:hint="eastAsia" w:ascii="宋体" w:hAnsi="宋体" w:eastAsia="宋体" w:cs="宋体"/>
          <w:b/>
          <w:sz w:val="24"/>
          <w:szCs w:val="24"/>
        </w:rPr>
        <w:t>本协议的约定进行理财资金的托管，管理人应当确保理财产品合同中关于理财资金托管等约定与本协议作出的约定一致，否则托管人的权利义务以本协议的约定为准，由此产生的后果由管理人承担。</w:t>
      </w:r>
    </w:p>
    <w:p>
      <w:pPr>
        <w:tabs>
          <w:tab w:val="right" w:leader="dot" w:pos="284"/>
          <w:tab w:val="left" w:pos="1455"/>
        </w:tabs>
        <w:spacing w:line="360" w:lineRule="auto"/>
        <w:ind w:firstLine="482" w:firstLineChars="200"/>
        <w:rPr>
          <w:rFonts w:hint="eastAsia" w:ascii="宋体" w:hAnsi="宋体" w:eastAsia="宋体" w:cs="宋体"/>
          <w:b/>
          <w:sz w:val="24"/>
          <w:szCs w:val="24"/>
        </w:rPr>
      </w:pPr>
      <w:r>
        <w:rPr>
          <w:rFonts w:hint="eastAsia" w:ascii="宋体" w:hAnsi="宋体" w:eastAsia="宋体" w:cs="宋体"/>
          <w:b/>
          <w:bCs/>
          <w:sz w:val="24"/>
          <w:szCs w:val="24"/>
        </w:rPr>
        <w:t>特别提示：为了维护各方权益，各方在签署本协议前，应仔细阅读本协议内容，关注协议中有关当事人权利义务和责任限制或免除条款，并特别注意字体加粗的条款。本协议任意一方签署本协议的，即视为其已充分理解并自愿接受本协议全部内容。</w:t>
      </w:r>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16" w:name="_Toc57797439"/>
      <w:bookmarkStart w:id="17" w:name="_Toc382240755"/>
      <w:bookmarkStart w:id="18" w:name="_Toc51421602"/>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19" w:name="_Toc18118"/>
      <w:r>
        <w:rPr>
          <w:rFonts w:hint="eastAsia" w:ascii="宋体" w:hAnsi="宋体" w:eastAsia="宋体" w:cs="宋体"/>
          <w:bCs w:val="0"/>
          <w:kern w:val="2"/>
          <w:sz w:val="24"/>
          <w:szCs w:val="24"/>
        </w:rPr>
        <w:t>第二条  委托事项</w:t>
      </w:r>
      <w:bookmarkEnd w:id="16"/>
      <w:bookmarkEnd w:id="17"/>
      <w:bookmarkEnd w:id="18"/>
      <w:bookmarkEnd w:id="19"/>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rPr>
        <w:t>2.1</w:t>
      </w:r>
      <w:r>
        <w:rPr>
          <w:rFonts w:hint="eastAsia" w:ascii="宋体" w:hAnsi="宋体" w:eastAsia="宋体" w:cs="宋体"/>
          <w:sz w:val="24"/>
          <w:szCs w:val="24"/>
        </w:rPr>
        <w:t>管理人委托托管人按照本协议的要求，为理财产品提供如下理财资金托管服务：</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托管账户中货币资金的保管；托管账户资金运用监督和划拨；理财财产的会计核算与资产估值；理财费用、收益分配等资金的确认与划付；理财财产清算资金的划付；理财财产相关资料文件的保管；定期向管理人提供理财财产托管报告等服务以及国家有关法律法规、监管机构规定及本协议约定的其他托管职责。</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托管人对托管账户中的资金履行保管职能，托管人对于已划转出托管账户的财产，以及处于托管人实际控制之外的财产不承担保管责任</w:t>
      </w:r>
      <w:r>
        <w:rPr>
          <w:rFonts w:hint="eastAsia" w:ascii="宋体" w:hAnsi="宋体" w:cs="宋体"/>
          <w:b/>
          <w:sz w:val="24"/>
          <w:szCs w:val="24"/>
          <w:lang w:eastAsia="zh-Hans"/>
        </w:rPr>
        <w:t>，</w:t>
      </w:r>
      <w:r>
        <w:rPr>
          <w:rFonts w:hint="eastAsia" w:ascii="宋体" w:hAnsi="宋体" w:cs="宋体"/>
          <w:b/>
          <w:sz w:val="24"/>
          <w:szCs w:val="24"/>
          <w:lang w:val="en-US" w:eastAsia="zh-Hans"/>
        </w:rPr>
        <w:t>托管人对于上述财产的划转存在过错的除外</w:t>
      </w:r>
      <w:r>
        <w:rPr>
          <w:rFonts w:hint="eastAsia" w:ascii="宋体" w:hAnsi="宋体" w:eastAsia="宋体" w:cs="宋体"/>
          <w:b/>
          <w:sz w:val="24"/>
          <w:szCs w:val="24"/>
        </w:rPr>
        <w:t>。</w:t>
      </w:r>
    </w:p>
    <w:p>
      <w:pPr>
        <w:tabs>
          <w:tab w:val="right" w:leader="dot" w:pos="284"/>
          <w:tab w:val="left" w:pos="1455"/>
        </w:tabs>
        <w:spacing w:line="360" w:lineRule="auto"/>
        <w:ind w:firstLine="482" w:firstLineChars="200"/>
        <w:rPr>
          <w:rFonts w:hint="eastAsia" w:ascii="宋体" w:hAnsi="宋体" w:eastAsia="宋体" w:cs="宋体"/>
          <w:b/>
          <w:sz w:val="24"/>
          <w:szCs w:val="24"/>
        </w:rPr>
      </w:pPr>
      <w:r>
        <w:rPr>
          <w:rFonts w:hint="eastAsia" w:ascii="宋体" w:hAnsi="宋体" w:eastAsia="宋体" w:cs="宋体"/>
          <w:b/>
          <w:kern w:val="0"/>
          <w:sz w:val="24"/>
          <w:szCs w:val="24"/>
        </w:rPr>
        <w:t>2.2</w:t>
      </w:r>
      <w:r>
        <w:rPr>
          <w:rFonts w:hint="eastAsia" w:ascii="宋体" w:hAnsi="宋体" w:eastAsia="宋体" w:cs="宋体"/>
          <w:b/>
          <w:sz w:val="24"/>
          <w:szCs w:val="24"/>
        </w:rPr>
        <w:t>托管人对理财资金的托管并非对该理财产品本金或收益的保证或承诺，托管人不承担托管理财财产的投资风险。本协议的签订，并不表明托管人对理财产品的价值和收益作出实质性判断或保证，也不表明投资理财产品没有风险。托管人对本协议项下理财产品的合法合规性不承担任何责任。</w:t>
      </w:r>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20" w:name="_Toc51421603"/>
      <w:bookmarkStart w:id="21" w:name="_Toc57797440"/>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22" w:name="_Toc17983"/>
      <w:r>
        <w:rPr>
          <w:rFonts w:hint="eastAsia" w:ascii="宋体" w:hAnsi="宋体" w:eastAsia="宋体" w:cs="宋体"/>
          <w:bCs w:val="0"/>
          <w:kern w:val="2"/>
          <w:sz w:val="24"/>
          <w:szCs w:val="24"/>
        </w:rPr>
        <w:t xml:space="preserve">第三条 </w:t>
      </w:r>
      <w:bookmarkStart w:id="23" w:name="_Toc382240756"/>
      <w:r>
        <w:rPr>
          <w:rFonts w:hint="eastAsia" w:ascii="宋体" w:hAnsi="宋体" w:eastAsia="宋体" w:cs="宋体"/>
          <w:bCs w:val="0"/>
          <w:kern w:val="2"/>
          <w:sz w:val="24"/>
          <w:szCs w:val="24"/>
        </w:rPr>
        <w:t xml:space="preserve"> 当事人及权利义务</w:t>
      </w:r>
      <w:bookmarkEnd w:id="20"/>
      <w:bookmarkEnd w:id="21"/>
      <w:bookmarkEnd w:id="22"/>
      <w:bookmarkEnd w:id="23"/>
    </w:p>
    <w:p>
      <w:pPr>
        <w:tabs>
          <w:tab w:val="right" w:leader="dot" w:pos="284"/>
          <w:tab w:val="left" w:pos="1455"/>
        </w:tabs>
        <w:spacing w:line="360" w:lineRule="auto"/>
        <w:ind w:firstLine="480" w:firstLineChars="200"/>
        <w:rPr>
          <w:rFonts w:hint="eastAsia" w:ascii="宋体" w:hAnsi="宋体" w:eastAsia="宋体" w:cs="宋体"/>
          <w:bCs/>
          <w:kern w:val="0"/>
          <w:sz w:val="24"/>
          <w:szCs w:val="24"/>
        </w:rPr>
      </w:pPr>
      <w:r>
        <w:rPr>
          <w:rFonts w:hint="eastAsia" w:ascii="宋体" w:hAnsi="宋体" w:eastAsia="宋体" w:cs="宋体"/>
          <w:bCs/>
          <w:kern w:val="0"/>
          <w:sz w:val="24"/>
          <w:szCs w:val="24"/>
        </w:rPr>
        <w:t>3.1理财产品管理人</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color w:val="000000"/>
          <w:sz w:val="24"/>
          <w:szCs w:val="24"/>
        </w:rPr>
        <w:t>名称：</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highlight w:val="none"/>
          <w:u w:val="none"/>
          <w:shd w:val="clear" w:color="auto" w:fill="auto"/>
        </w:rPr>
        <w:fldChar w:fldCharType="begin">
          <w:ffData>
            <w:name w:val="Text14"/>
            <w:enabled/>
            <w:calcOnExit w:val="0"/>
            <w:textInput>
              <w:default w:val="贵州银行股份有限公司"/>
            </w:textInput>
          </w:ffData>
        </w:fldChar>
      </w:r>
      <w:r>
        <w:rPr>
          <w:rFonts w:hint="eastAsia" w:ascii="宋体" w:hAnsi="宋体" w:eastAsia="宋体" w:cs="宋体"/>
          <w:sz w:val="24"/>
          <w:szCs w:val="24"/>
          <w:highlight w:val="none"/>
          <w:u w:val="none"/>
          <w:shd w:val="clear" w:color="auto" w:fill="auto"/>
        </w:rPr>
        <w:instrText xml:space="preserve">FORMTEXT</w:instrText>
      </w:r>
      <w:r>
        <w:rPr>
          <w:rFonts w:hint="eastAsia" w:ascii="宋体" w:hAnsi="宋体" w:eastAsia="宋体" w:cs="宋体"/>
          <w:sz w:val="24"/>
          <w:szCs w:val="24"/>
          <w:highlight w:val="none"/>
          <w:u w:val="none"/>
          <w:shd w:val="clear" w:color="auto" w:fill="auto"/>
        </w:rPr>
        <w:fldChar w:fldCharType="separate"/>
      </w:r>
      <w:r>
        <w:rPr>
          <w:rFonts w:hint="eastAsia" w:ascii="宋体" w:hAnsi="宋体" w:eastAsia="宋体" w:cs="宋体"/>
          <w:sz w:val="24"/>
          <w:szCs w:val="24"/>
          <w:highlight w:val="none"/>
          <w:u w:val="none"/>
          <w:shd w:val="clear" w:color="auto" w:fill="auto"/>
          <w:lang w:val="en-US" w:eastAsia="zh-CN"/>
        </w:rPr>
        <w:t>齐鲁</w:t>
      </w:r>
      <w:r>
        <w:rPr>
          <w:rFonts w:hint="eastAsia" w:ascii="宋体" w:hAnsi="宋体" w:eastAsia="宋体" w:cs="宋体"/>
          <w:sz w:val="24"/>
          <w:szCs w:val="24"/>
          <w:highlight w:val="none"/>
          <w:u w:val="none"/>
          <w:shd w:val="clear" w:color="auto" w:fill="auto"/>
        </w:rPr>
        <w:t>银行股份有限公司</w:t>
      </w:r>
      <w:r>
        <w:rPr>
          <w:rFonts w:hint="eastAsia" w:ascii="宋体" w:hAnsi="宋体" w:eastAsia="宋体" w:cs="宋体"/>
          <w:sz w:val="24"/>
          <w:szCs w:val="24"/>
          <w:highlight w:val="none"/>
          <w:u w:val="none"/>
          <w:shd w:val="clear" w:color="auto" w:fill="auto"/>
        </w:rPr>
        <w:fldChar w:fldCharType="end"/>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rPr>
        <w:t>地址：</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eastAsia="zh-CN"/>
        </w:rPr>
        <w:t>山东省济南市历下区经十路</w:t>
      </w:r>
      <w:r>
        <w:rPr>
          <w:rFonts w:hint="eastAsia" w:ascii="宋体" w:hAnsi="宋体" w:eastAsia="宋体" w:cs="宋体"/>
          <w:sz w:val="24"/>
          <w:szCs w:val="24"/>
          <w:u w:val="single"/>
          <w:shd w:val="clear" w:color="FFFFFF" w:fill="D9D9D9"/>
          <w:lang w:val="en-US" w:eastAsia="zh-CN"/>
        </w:rPr>
        <w:t>10817号</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rPr>
        <w:t>邮编：</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250014</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法定代表人或负责人：</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eastAsia="zh-CN"/>
        </w:rPr>
        <w:t>黄家栋</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rPr>
        <w:t xml:space="preserve"> </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rPr>
        <w:t>联系人：</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eastAsia="zh-CN"/>
        </w:rPr>
        <w:t>段秉乾</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rPr>
        <w:t>联系电话：</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0531-86075883</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传真：</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0531-86027945</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3.2 理财资金托管人</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color w:val="000000"/>
          <w:sz w:val="24"/>
          <w:szCs w:val="24"/>
        </w:rPr>
        <w:t>名称：</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  中国民生银行股份有限公司  </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rPr>
        <w:t>地址：</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  北京市西城区复兴门内大街2号  </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rPr>
        <w:t>邮编：</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  100031   </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rPr>
        <w:t>法定代表人：</w:t>
      </w:r>
      <w:r>
        <w:rPr>
          <w:rFonts w:hint="eastAsia" w:ascii="宋体" w:hAnsi="宋体" w:eastAsia="宋体" w:cs="宋体"/>
          <w:sz w:val="24"/>
          <w:szCs w:val="24"/>
          <w:u w:val="single"/>
          <w:shd w:val="clear" w:color="FFFFFF" w:fill="D9D9D9"/>
        </w:rPr>
        <w:fldChar w:fldCharType="begin">
          <w:ffData>
            <w:name w:val="Text1"/>
            <w:enabled/>
            <w:calcOnExit w:val="0"/>
            <w:textInput>
              <w:default w:val="高迎新"/>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高迎欣</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rPr>
        <w:t>联系人：</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李无非</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联系电话：</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  010-58560666   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rPr>
        <w:t xml:space="preserve"> </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传真：</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 xml:space="preserve">  /  </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3.3</w:t>
      </w:r>
      <w:r>
        <w:rPr>
          <w:rFonts w:hint="eastAsia" w:ascii="宋体" w:hAnsi="宋体" w:eastAsia="宋体" w:cs="宋体"/>
          <w:sz w:val="24"/>
          <w:szCs w:val="24"/>
        </w:rPr>
        <w:t>管理人的权利</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3.3</w:t>
      </w:r>
      <w:r>
        <w:rPr>
          <w:rFonts w:hint="eastAsia" w:ascii="宋体" w:hAnsi="宋体" w:eastAsia="宋体" w:cs="宋体"/>
          <w:kern w:val="0"/>
          <w:sz w:val="24"/>
          <w:szCs w:val="24"/>
        </w:rPr>
        <w:t xml:space="preserve">.1 </w:t>
      </w:r>
      <w:r>
        <w:rPr>
          <w:rFonts w:hint="eastAsia" w:ascii="宋体" w:hAnsi="宋体" w:eastAsia="宋体" w:cs="宋体"/>
          <w:sz w:val="24"/>
          <w:szCs w:val="24"/>
        </w:rPr>
        <w:t>根据理财产品合同和本协议的有关约定对理财资金进行投资管理、运用、处置和分配；</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3.3.2</w:t>
      </w:r>
      <w:r>
        <w:rPr>
          <w:rFonts w:hint="eastAsia" w:ascii="宋体" w:hAnsi="宋体" w:eastAsia="宋体" w:cs="宋体"/>
          <w:kern w:val="0"/>
          <w:sz w:val="24"/>
          <w:szCs w:val="24"/>
        </w:rPr>
        <w:t xml:space="preserve"> 监督</w:t>
      </w:r>
      <w:r>
        <w:rPr>
          <w:rFonts w:hint="eastAsia" w:ascii="宋体" w:hAnsi="宋体" w:eastAsia="宋体" w:cs="宋体"/>
          <w:sz w:val="24"/>
          <w:szCs w:val="24"/>
        </w:rPr>
        <w:t>托管人</w:t>
      </w:r>
      <w:r>
        <w:rPr>
          <w:rFonts w:hint="eastAsia" w:ascii="宋体" w:hAnsi="宋体" w:eastAsia="宋体" w:cs="宋体"/>
          <w:kern w:val="0"/>
          <w:sz w:val="24"/>
          <w:szCs w:val="24"/>
        </w:rPr>
        <w:t>托管行为。对</w:t>
      </w:r>
      <w:r>
        <w:rPr>
          <w:rFonts w:hint="eastAsia" w:ascii="宋体" w:hAnsi="宋体" w:eastAsia="宋体" w:cs="宋体"/>
          <w:sz w:val="24"/>
          <w:szCs w:val="24"/>
        </w:rPr>
        <w:t>托管人</w:t>
      </w:r>
      <w:r>
        <w:rPr>
          <w:rFonts w:hint="eastAsia" w:ascii="宋体" w:hAnsi="宋体" w:eastAsia="宋体" w:cs="宋体"/>
          <w:kern w:val="0"/>
          <w:sz w:val="24"/>
          <w:szCs w:val="24"/>
        </w:rPr>
        <w:t>违反国家有关法律法规规定、本协议等文件约定的托管行为，</w:t>
      </w:r>
      <w:r>
        <w:rPr>
          <w:rFonts w:hint="eastAsia" w:ascii="宋体" w:hAnsi="宋体" w:eastAsia="宋体" w:cs="宋体"/>
          <w:sz w:val="24"/>
          <w:szCs w:val="24"/>
        </w:rPr>
        <w:t>管理人</w:t>
      </w:r>
      <w:r>
        <w:rPr>
          <w:rFonts w:hint="eastAsia" w:ascii="宋体" w:hAnsi="宋体" w:eastAsia="宋体" w:cs="宋体"/>
          <w:kern w:val="0"/>
          <w:sz w:val="24"/>
          <w:szCs w:val="24"/>
        </w:rPr>
        <w:t>有权要求</w:t>
      </w:r>
      <w:r>
        <w:rPr>
          <w:rFonts w:hint="eastAsia" w:ascii="宋体" w:hAnsi="宋体" w:eastAsia="宋体" w:cs="宋体"/>
          <w:sz w:val="24"/>
          <w:szCs w:val="24"/>
        </w:rPr>
        <w:t>托管人</w:t>
      </w:r>
      <w:r>
        <w:rPr>
          <w:rFonts w:hint="eastAsia" w:ascii="宋体" w:hAnsi="宋体" w:eastAsia="宋体" w:cs="宋体"/>
          <w:kern w:val="0"/>
          <w:sz w:val="24"/>
          <w:szCs w:val="24"/>
        </w:rPr>
        <w:t>予以纠正；</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3.3.3 根据本协议的有关约定向托管人发出理财资金管理运用指令；</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3.3.4 及时、足额地获取约定的管理费及其他费用；</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3.3.5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 国家法律法规、监管机构规定及本协议约定的其他权利。</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 管理人的义务</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3.4.1 按照本协议约定将理财资金移交托管人保管，确保移交给托管人托管的资金为管理人合法募集的资金，管理人在法律上拥有无争议的支配权，保证托管的资金来源及用途符合国家有关规定，同时保证托管资金没有任何可能涉及第三方的权利主张，也没有任何其他限制性条件妨碍托管人对该资金进行托管；</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 xml:space="preserve">3.4.2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 履行（或承担）投资者身份识别、投资者身份以及交易记录保存等法定反洗钱义务。</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3.4.3 建立完善的内部控制制度，本着诚实信用的原则，负责本理财产品的管理、运用、处置和分配；</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3.4.4</w:t>
      </w:r>
      <w:bookmarkStart w:id="24" w:name="文字5"/>
      <w:r>
        <w:rPr>
          <w:rFonts w:hint="eastAsia" w:ascii="宋体" w:hAnsi="宋体" w:eastAsia="宋体" w:cs="宋体"/>
          <w:color w:val="000000"/>
          <w:kern w:val="0"/>
          <w:sz w:val="24"/>
          <w:szCs w:val="24"/>
        </w:rPr>
        <w:fldChar w:fldCharType="begin">
          <w:ffData>
            <w:name w:val="文字5"/>
            <w:enabled/>
            <w:calcOnExit w:val="0"/>
            <w:textInput>
              <w:default w:val=" 根据法律法规规定、本协议约定计算理财财产净值、理财份额净值，定期向委托人披露净值情况，聘请外部审计机构进行审计确认； "/>
            </w:textInput>
          </w:ffData>
        </w:fldChar>
      </w:r>
      <w:r>
        <w:rPr>
          <w:rFonts w:hint="eastAsia" w:ascii="宋体" w:hAnsi="宋体" w:eastAsia="宋体" w:cs="宋体"/>
          <w:color w:val="000000"/>
          <w:kern w:val="0"/>
          <w:sz w:val="24"/>
          <w:szCs w:val="24"/>
        </w:rPr>
        <w:instrText xml:space="preserve">FORMTEXT</w:instrText>
      </w:r>
      <w:r>
        <w:rPr>
          <w:rFonts w:hint="eastAsia" w:ascii="宋体" w:hAnsi="宋体" w:eastAsia="宋体" w:cs="宋体"/>
          <w:color w:val="000000"/>
          <w:kern w:val="0"/>
          <w:sz w:val="24"/>
          <w:szCs w:val="24"/>
        </w:rPr>
        <w:fldChar w:fldCharType="separate"/>
      </w:r>
      <w:r>
        <w:rPr>
          <w:rFonts w:hint="eastAsia" w:ascii="宋体" w:hAnsi="宋体" w:eastAsia="宋体" w:cs="宋体"/>
          <w:color w:val="000000"/>
          <w:kern w:val="0"/>
          <w:sz w:val="24"/>
          <w:szCs w:val="24"/>
        </w:rPr>
        <w:t> 根据法律法规规定、本协议约定计算理财财产净值、理财份额净值，定期向委托人披露净值情况，并聘请外部审计机构进行审计确认； </w:t>
      </w:r>
      <w:r>
        <w:rPr>
          <w:rFonts w:hint="eastAsia" w:ascii="宋体" w:hAnsi="宋体" w:eastAsia="宋体" w:cs="宋体"/>
          <w:color w:val="000000"/>
          <w:kern w:val="0"/>
          <w:sz w:val="24"/>
          <w:szCs w:val="24"/>
        </w:rPr>
        <w:fldChar w:fldCharType="end"/>
      </w:r>
      <w:bookmarkEnd w:id="24"/>
      <w:r>
        <w:rPr>
          <w:rFonts w:hint="eastAsia" w:ascii="宋体" w:hAnsi="宋体" w:eastAsia="宋体" w:cs="宋体"/>
          <w:kern w:val="0"/>
          <w:sz w:val="24"/>
          <w:szCs w:val="24"/>
        </w:rPr>
        <w:t>按本协议约定方式向托管人发送本理财产品进行各类交易的文件和信息，提供相关合同、文本，并对其完整性、真实性、准确性和有效性负责；</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3.4.5 对理财产品设置独立的会计账册，作为主会计方，负责理财产品的会计核算、资产估值；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3.4.6 负责理财产品的清算和分配，计算各委托人的收益情况；</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3.4.7 发生任何可能导致本理财产品性质或范围发生重大变化或直接影响托管业务的重大事项时，须提前书面通知托管人，并及时向托管人提供有关证明文件；</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3.4.8 在合法合规的前提下，应托管人的要求对托管人开展托管业务提供必需的协助；</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3.4.9 根据国家有关规定和本协议的约定接受托管人的监督；</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3.4.10 理财产品开始募集时，</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  提前三个工作日 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rPr>
        <w:t>通知托管人；</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3.4.11 依照法律法规的要求，按照诚信、真实、完整、准确、及时的原则披露本理财产品的相关信息；</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3.4.12 违反理财产品合同的有关约定管理、运用、处分理财资金，致使理财产品受到损失或理财产品到期结束后无法按理财产品合同的约定向委托人分配的，以管理人固有财产承担赔偿责任，其赔偿责任不因其退任而免除，托管人不承担任何形式的责任</w:t>
      </w:r>
      <w:r>
        <w:rPr>
          <w:rFonts w:hint="eastAsia" w:ascii="宋体" w:hAnsi="宋体" w:cs="宋体"/>
          <w:kern w:val="0"/>
          <w:sz w:val="24"/>
          <w:szCs w:val="24"/>
          <w:lang w:eastAsia="zh-Hans"/>
        </w:rPr>
        <w:t>，</w:t>
      </w:r>
      <w:r>
        <w:rPr>
          <w:rFonts w:hint="eastAsia" w:ascii="宋体" w:hAnsi="宋体" w:cs="宋体"/>
          <w:kern w:val="0"/>
          <w:sz w:val="24"/>
          <w:szCs w:val="24"/>
          <w:lang w:val="en-US" w:eastAsia="zh-Hans"/>
        </w:rPr>
        <w:t>托管人存在过错的除外</w:t>
      </w:r>
      <w:r>
        <w:rPr>
          <w:rFonts w:hint="eastAsia" w:ascii="宋体" w:hAnsi="宋体" w:eastAsia="宋体" w:cs="宋体"/>
          <w:kern w:val="0"/>
          <w:sz w:val="24"/>
          <w:szCs w:val="24"/>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3.4.13 管理人委托第三方履行的有关事项须另行与第三方签订协议。如管理人将其职责范围内的事项委托给第三方执行，该第三方的违约行为若造成理财产品损失或托管人无法按照本协议的约定履行托管义务的，管理人与该第三方承担连带责任，托管人不承担任何形式的责任，且管理人应赔偿因此给托管人造成的全部损失</w:t>
      </w:r>
      <w:r>
        <w:rPr>
          <w:rFonts w:hint="eastAsia" w:ascii="宋体" w:hAnsi="宋体" w:cs="宋体"/>
          <w:kern w:val="0"/>
          <w:sz w:val="24"/>
          <w:szCs w:val="24"/>
          <w:lang w:eastAsia="zh-Hans"/>
        </w:rPr>
        <w:t>，</w:t>
      </w:r>
      <w:r>
        <w:rPr>
          <w:rFonts w:hint="eastAsia" w:ascii="宋体" w:hAnsi="宋体" w:cs="宋体"/>
          <w:kern w:val="0"/>
          <w:sz w:val="24"/>
          <w:szCs w:val="24"/>
          <w:lang w:val="en-US" w:eastAsia="zh-Hans"/>
        </w:rPr>
        <w:t>托管人存在过错的除外</w:t>
      </w:r>
      <w:r>
        <w:rPr>
          <w:rFonts w:hint="eastAsia" w:ascii="宋体" w:hAnsi="宋体" w:eastAsia="宋体" w:cs="宋体"/>
          <w:kern w:val="0"/>
          <w:sz w:val="24"/>
          <w:szCs w:val="24"/>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3.4.14 按照本协议约定支付托管人托管费；</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3.4.15</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 国家有关法律法规、监管机构规定及本协议约定的其他义务。  </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3.5托管人的权利</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3.5.1根据法律法规规定以及本协议的约定，对托管账户中的资金履行保管职能；</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3.5.2 按照本协议的约定按时、足额收取托管费；</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3.5.3根据本协议的约定，监督管理人的资金运用，如发现管理人违反法律法规和本协议内容时，有权要求管理人限期纠正；当发现管理人出现重大违规行为时，有权向监管部门报告；</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3.5.4对于不符合法律法规规定或本协议约定的划款指令，有权拒绝执行；</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3.5.5</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 国家法律法规、监管机构规定及本协议约定的其他权利。</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 托管人的义务</w:t>
      </w:r>
    </w:p>
    <w:p>
      <w:pPr>
        <w:tabs>
          <w:tab w:val="right" w:leader="dot" w:pos="284"/>
          <w:tab w:val="left" w:pos="1455"/>
        </w:tabs>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kern w:val="0"/>
          <w:sz w:val="24"/>
          <w:szCs w:val="24"/>
        </w:rPr>
        <w:t>3.6.1</w:t>
      </w:r>
      <w:r>
        <w:rPr>
          <w:rFonts w:hint="eastAsia" w:ascii="宋体" w:hAnsi="宋体" w:eastAsia="宋体" w:cs="宋体"/>
          <w:color w:val="000000"/>
          <w:kern w:val="0"/>
          <w:sz w:val="24"/>
          <w:szCs w:val="24"/>
        </w:rPr>
        <w:t>对所</w:t>
      </w:r>
      <w:r>
        <w:rPr>
          <w:rFonts w:hint="eastAsia" w:ascii="宋体" w:hAnsi="宋体" w:eastAsia="宋体" w:cs="宋体"/>
          <w:kern w:val="0"/>
          <w:sz w:val="24"/>
          <w:szCs w:val="24"/>
        </w:rPr>
        <w:t>托</w:t>
      </w:r>
      <w:r>
        <w:rPr>
          <w:rFonts w:hint="eastAsia" w:ascii="宋体" w:hAnsi="宋体" w:eastAsia="宋体" w:cs="宋体"/>
          <w:color w:val="000000"/>
          <w:kern w:val="0"/>
          <w:sz w:val="24"/>
          <w:szCs w:val="24"/>
        </w:rPr>
        <w:t>管的不同</w:t>
      </w:r>
      <w:r>
        <w:rPr>
          <w:rFonts w:hint="eastAsia" w:ascii="宋体" w:hAnsi="宋体" w:eastAsia="宋体" w:cs="宋体"/>
          <w:kern w:val="0"/>
          <w:sz w:val="24"/>
          <w:szCs w:val="24"/>
        </w:rPr>
        <w:t>理财产品</w:t>
      </w:r>
      <w:r>
        <w:rPr>
          <w:rFonts w:hint="eastAsia" w:ascii="宋体" w:hAnsi="宋体" w:eastAsia="宋体" w:cs="宋体"/>
          <w:color w:val="000000"/>
          <w:kern w:val="0"/>
          <w:sz w:val="24"/>
          <w:szCs w:val="24"/>
        </w:rPr>
        <w:t>开设独立的托管账户，确保托管账户内</w:t>
      </w:r>
      <w:r>
        <w:rPr>
          <w:rFonts w:hint="eastAsia" w:ascii="宋体" w:hAnsi="宋体" w:eastAsia="宋体" w:cs="宋体"/>
          <w:kern w:val="0"/>
          <w:sz w:val="24"/>
          <w:szCs w:val="24"/>
        </w:rPr>
        <w:t>理财</w:t>
      </w:r>
      <w:r>
        <w:rPr>
          <w:rFonts w:hint="eastAsia" w:ascii="宋体" w:hAnsi="宋体" w:eastAsia="宋体" w:cs="宋体"/>
          <w:color w:val="000000"/>
          <w:kern w:val="0"/>
          <w:sz w:val="24"/>
          <w:szCs w:val="24"/>
        </w:rPr>
        <w:t>资金的独立与安全；</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3.6.2按照本协议约定，确认与执行理财产品管理运用指令，及时办理清算、交割事宜； </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3.6.3对所托管的理财产品设置独立的会计账册，按照本协议的约定，进行会计核算；</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3.6.4建立与甲方的对账机制，复核</w:t>
      </w:r>
      <w:r>
        <w:rPr>
          <w:rFonts w:hint="eastAsia" w:ascii="宋体" w:hAnsi="宋体" w:cs="宋体"/>
          <w:kern w:val="0"/>
          <w:sz w:val="24"/>
          <w:szCs w:val="24"/>
          <w:lang w:val="en-US" w:eastAsia="zh-Hans"/>
        </w:rPr>
        <w:t>审查</w:t>
      </w:r>
      <w:r>
        <w:rPr>
          <w:rFonts w:hint="eastAsia" w:ascii="宋体" w:hAnsi="宋体" w:eastAsia="宋体" w:cs="宋体"/>
          <w:kern w:val="0"/>
          <w:sz w:val="24"/>
          <w:szCs w:val="24"/>
        </w:rPr>
        <w:t>理财产品资金头寸</w:t>
      </w:r>
      <w:r>
        <w:rPr>
          <w:rFonts w:hint="eastAsia" w:ascii="宋体" w:hAnsi="宋体" w:cs="宋体"/>
          <w:kern w:val="0"/>
          <w:sz w:val="24"/>
          <w:szCs w:val="24"/>
          <w:lang w:eastAsia="zh-Hans"/>
        </w:rPr>
        <w:t>、</w:t>
      </w:r>
      <w:r>
        <w:rPr>
          <w:rFonts w:hint="eastAsia" w:ascii="宋体" w:hAnsi="宋体" w:cs="宋体"/>
          <w:kern w:val="0"/>
          <w:sz w:val="24"/>
          <w:szCs w:val="24"/>
          <w:lang w:val="en-US" w:eastAsia="zh-Hans"/>
        </w:rPr>
        <w:t>资金账目、</w:t>
      </w:r>
      <w:r>
        <w:rPr>
          <w:rFonts w:hint="eastAsia" w:ascii="宋体" w:hAnsi="宋体" w:eastAsia="宋体" w:cs="宋体"/>
          <w:kern w:val="0"/>
          <w:sz w:val="24"/>
          <w:szCs w:val="24"/>
        </w:rPr>
        <w:t>资产净值、份额净值</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 、认购和赎回价格</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rPr>
        <w:t>等财务数据</w:t>
      </w:r>
      <w:r>
        <w:rPr>
          <w:rFonts w:hint="eastAsia" w:ascii="宋体" w:hAnsi="宋体" w:cs="宋体"/>
          <w:kern w:val="0"/>
          <w:sz w:val="24"/>
          <w:szCs w:val="24"/>
          <w:lang w:eastAsia="zh-Hans"/>
        </w:rPr>
        <w:t>以及投资资金的支付和到账情况；</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3.6.5 根据本协议约定，监督理财产品投资运作；</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3.6.6托管人不得将理财资金转由第三人进行托管或违反国家法律法规和本协议约定擅自动用或处分理财资金；</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3.6.7 </w:t>
      </w:r>
      <w:r>
        <w:rPr>
          <w:rFonts w:hint="eastAsia" w:ascii="宋体" w:hAnsi="宋体" w:cs="宋体"/>
          <w:kern w:val="0"/>
          <w:sz w:val="24"/>
          <w:szCs w:val="24"/>
        </w:rPr>
        <w:t> 记录理财产品资金划拨情况</w:t>
      </w:r>
      <w:r>
        <w:rPr>
          <w:rFonts w:hint="eastAsia" w:ascii="宋体" w:hAnsi="宋体" w:cs="宋体"/>
          <w:sz w:val="24"/>
          <w:szCs w:val="24"/>
          <w:u w:val="single"/>
          <w:shd w:val="clear" w:color="FFFFFF" w:fill="D9D9D9"/>
          <w:lang w:eastAsia="zh-Hans"/>
        </w:rPr>
        <w:t>，根据甲方提供的资料，记录理财产品资金划拨情况，保存理财托管业务活动的记录、账册、报表和其他相关资料15年以上；</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3.6.8 按照本协议约定，向管理人出具理财产品托管报告；办理与理财产品托管业务活动相关的信息披露事项，包括披露本协议、对理财产品信息披露文件中的理财产品财务会计报告等出具意见，以及在公募理财产品半年度和年度报告中出具理财托管机构报告等；</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default" w:ascii="宋体" w:hAnsi="宋体" w:cs="宋体"/>
          <w:kern w:val="0"/>
          <w:sz w:val="24"/>
          <w:szCs w:val="24"/>
        </w:rPr>
        <w:t>3.6.9 对理财产品投资信息和相关资料承担保密责任，除法律、行政法规、规章和审计要求或者合同约定外，不得向任何机构或者个人提供相关信息和资料；</w:t>
      </w:r>
    </w:p>
    <w:p>
      <w:pPr>
        <w:tabs>
          <w:tab w:val="right" w:leader="dot" w:pos="284"/>
          <w:tab w:val="left" w:pos="1455"/>
        </w:tabs>
        <w:spacing w:line="360" w:lineRule="auto"/>
        <w:ind w:firstLine="480" w:firstLineChars="200"/>
        <w:rPr>
          <w:rFonts w:hint="eastAsia" w:ascii="宋体" w:hAnsi="宋体" w:eastAsia="宋体" w:cs="宋体"/>
          <w:bCs/>
          <w:sz w:val="24"/>
          <w:szCs w:val="24"/>
        </w:rPr>
      </w:pPr>
      <w:r>
        <w:rPr>
          <w:rFonts w:hint="eastAsia" w:ascii="宋体" w:hAnsi="宋体" w:eastAsia="宋体" w:cs="宋体"/>
          <w:kern w:val="0"/>
          <w:sz w:val="24"/>
          <w:szCs w:val="24"/>
        </w:rPr>
        <w:t>3.6.</w:t>
      </w:r>
      <w:r>
        <w:rPr>
          <w:rFonts w:hint="default" w:ascii="宋体" w:hAnsi="宋体" w:cs="宋体"/>
          <w:kern w:val="0"/>
          <w:sz w:val="24"/>
          <w:szCs w:val="24"/>
        </w:rPr>
        <w:t xml:space="preserve">10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 国家有关法律法规、监管机构规定及本协议约定的其他义务。  </w:t>
      </w:r>
      <w:r>
        <w:rPr>
          <w:rFonts w:hint="eastAsia" w:ascii="宋体" w:hAnsi="宋体" w:eastAsia="宋体" w:cs="宋体"/>
          <w:sz w:val="24"/>
          <w:szCs w:val="24"/>
          <w:u w:val="single"/>
          <w:shd w:val="clear" w:color="FFFFFF" w:fill="D9D9D9"/>
        </w:rPr>
        <w:fldChar w:fldCharType="end"/>
      </w:r>
      <w:bookmarkStart w:id="25" w:name="_Toc382240758"/>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26" w:name="_Toc57797441"/>
      <w:bookmarkStart w:id="27" w:name="_Toc51421604"/>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28" w:name="_Toc31493"/>
      <w:r>
        <w:rPr>
          <w:rFonts w:hint="eastAsia" w:ascii="宋体" w:hAnsi="宋体" w:eastAsia="宋体" w:cs="宋体"/>
          <w:bCs w:val="0"/>
          <w:kern w:val="2"/>
          <w:sz w:val="24"/>
          <w:szCs w:val="24"/>
        </w:rPr>
        <w:t>第四条  理财资金的</w:t>
      </w:r>
      <w:bookmarkEnd w:id="25"/>
      <w:r>
        <w:rPr>
          <w:rFonts w:hint="eastAsia" w:ascii="宋体" w:hAnsi="宋体" w:eastAsia="宋体" w:cs="宋体"/>
          <w:bCs w:val="0"/>
          <w:kern w:val="2"/>
          <w:sz w:val="24"/>
          <w:szCs w:val="24"/>
        </w:rPr>
        <w:t>保管</w:t>
      </w:r>
      <w:bookmarkEnd w:id="26"/>
      <w:bookmarkEnd w:id="27"/>
      <w:bookmarkEnd w:id="28"/>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4.1托管账户的开设与管理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4.1.1</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托管人根据管理人的要求，为其管理的</w:t>
      </w:r>
      <w:r>
        <w:rPr>
          <w:rFonts w:hint="eastAsia" w:ascii="宋体" w:hAnsi="宋体" w:eastAsia="宋体" w:cs="宋体"/>
          <w:sz w:val="24"/>
          <w:szCs w:val="24"/>
          <w:u w:val="single"/>
          <w:shd w:val="clear" w:color="FFFFFF" w:fill="D9D9D9"/>
          <w:lang w:eastAsia="zh-CN"/>
        </w:rPr>
        <w:t>该系列的</w:t>
      </w:r>
      <w:r>
        <w:rPr>
          <w:rFonts w:hint="eastAsia" w:ascii="宋体" w:hAnsi="宋体" w:eastAsia="宋体" w:cs="宋体"/>
          <w:sz w:val="24"/>
          <w:szCs w:val="24"/>
          <w:u w:val="single"/>
          <w:shd w:val="clear" w:color="FFFFFF" w:fill="D9D9D9"/>
        </w:rPr>
        <w:t>每只理财产品开立单独银行结算账户，如果理财产品分期发行，应为每期理财产品开立单独银行结算账户。具体开立的账户名称以管理人出具的开户授权文件描述为准，该账户预留印鉴由托管人负责保管和使用</w:t>
      </w:r>
      <w:r>
        <w:rPr>
          <w:rFonts w:hint="eastAsia" w:ascii="宋体" w:hAnsi="宋体" w:eastAsia="宋体" w:cs="宋体"/>
          <w:sz w:val="24"/>
          <w:szCs w:val="24"/>
          <w:u w:val="single"/>
          <w:shd w:val="clear" w:color="FFFFFF" w:fill="D9D9D9"/>
          <w:lang w:eastAsia="zh-CN"/>
        </w:rPr>
        <w:t>（</w:t>
      </w:r>
      <w:r>
        <w:rPr>
          <w:rFonts w:hint="eastAsia" w:ascii="宋体" w:hAnsi="宋体" w:eastAsia="宋体" w:cs="宋体"/>
          <w:sz w:val="24"/>
          <w:szCs w:val="24"/>
          <w:u w:val="single"/>
          <w:shd w:val="clear" w:color="FFFFFF" w:fill="D9D9D9"/>
          <w:lang w:val="en-US" w:eastAsia="zh-CN"/>
        </w:rPr>
        <w:t>如有</w:t>
      </w:r>
      <w:r>
        <w:rPr>
          <w:rFonts w:hint="eastAsia" w:ascii="宋体" w:hAnsi="宋体" w:eastAsia="宋体" w:cs="宋体"/>
          <w:sz w:val="24"/>
          <w:szCs w:val="24"/>
          <w:u w:val="single"/>
          <w:shd w:val="clear" w:color="FFFFFF" w:fill="D9D9D9"/>
          <w:lang w:eastAsia="zh-CN"/>
        </w:rPr>
        <w:t>）</w:t>
      </w:r>
      <w:r>
        <w:rPr>
          <w:rFonts w:hint="eastAsia" w:ascii="宋体" w:hAnsi="宋体" w:eastAsia="宋体" w:cs="宋体"/>
          <w:sz w:val="24"/>
          <w:szCs w:val="24"/>
          <w:u w:val="single"/>
          <w:shd w:val="clear" w:color="FFFFFF" w:fill="D9D9D9"/>
        </w:rPr>
        <w:t>。</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4.1.2 在该理财产品存续期内由托管人保管、使用相关合同文本，管理人应协助托管人对托管账户进行管理和使用。</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管理人应依法履行受益所有人识别义务。在开立托管账户时按照开户银行要求，就相关信息的提供、核实等提供必要的协助，并确保所提供信息以及证明材料的真实性、准确性。</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4.1.3</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管理人向托管人递交开户授权文件，托管人需按照规定及时开立托管账户，托管账户信息以双方认可的形式，由托管人向管理人书面反馈。</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4.1.4</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理财产品认购期结束后，管理人负责将理财资金全部划至托管账户并向托管人出具资金到账通知书（见附件一）。托管人根据资金到账通知书核对托管账户内全部资金无误后，于资金全部到账之日起，根据本协议约定履行托管职责。托管账户利率按照开户银行当日活期存款利率执行。理财产品分期发行的，自首期理财资金全部到账之日起，托管人根据本协议约定履行托管职责。</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4.1.5 托管账户的开立和使用，限于满足开展理财产品业务的需要。管理人、托管人均不得假借托管账户进行理财产品业务以外的活动，亦不得使用本账户进行理财产品项下业务范围以外的活动。</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理财产品存续期间的一切资金收支活动（包括但不限于银行存款结息、投资划款、支付费用、投资到期资金回收等）均需通过托管账户进行。</w:t>
      </w:r>
    </w:p>
    <w:p>
      <w:pPr>
        <w:tabs>
          <w:tab w:val="right" w:leader="dot" w:pos="284"/>
          <w:tab w:val="left" w:pos="1455"/>
        </w:tabs>
        <w:spacing w:line="360" w:lineRule="auto"/>
        <w:ind w:firstLine="480" w:firstLineChars="200"/>
        <w:rPr>
          <w:rFonts w:hint="eastAsia" w:ascii="宋体" w:hAnsi="宋体" w:eastAsia="宋体" w:cs="宋体"/>
          <w:b/>
          <w:bCs/>
          <w:kern w:val="0"/>
          <w:sz w:val="24"/>
          <w:szCs w:val="24"/>
        </w:rPr>
      </w:pPr>
      <w:r>
        <w:rPr>
          <w:rFonts w:hint="eastAsia" w:ascii="宋体" w:hAnsi="宋体" w:eastAsia="宋体" w:cs="宋体"/>
          <w:kern w:val="0"/>
          <w:sz w:val="24"/>
          <w:szCs w:val="24"/>
        </w:rPr>
        <w:t>托管账户不得提现，不得通兑，不得透支。托管人可以根据管理人申请，为其开通托管账户网上银行查询功能。</w:t>
      </w:r>
      <w:r>
        <w:rPr>
          <w:rFonts w:hint="eastAsia" w:ascii="宋体" w:hAnsi="宋体" w:eastAsia="宋体" w:cs="宋体"/>
          <w:b/>
          <w:bCs/>
          <w:kern w:val="0"/>
          <w:sz w:val="24"/>
          <w:szCs w:val="24"/>
        </w:rPr>
        <w:t>托管人在达到国内同类行业技术标准的前提下，对因人为网络袭击、病毒袭击造成的财产损失不承担任何责任。</w:t>
      </w:r>
    </w:p>
    <w:p>
      <w:pPr>
        <w:keepNext w:val="0"/>
        <w:keepLines w:val="0"/>
        <w:pageBreakBefore w:val="0"/>
        <w:widowControl w:val="0"/>
        <w:numPr>
          <w:ilvl w:val="0"/>
          <w:numId w:val="0"/>
        </w:numPr>
        <w:tabs>
          <w:tab w:val="right" w:leader="dot" w:pos="284"/>
          <w:tab w:val="left" w:pos="1455"/>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b w:val="0"/>
          <w:bCs w:val="0"/>
          <w:kern w:val="0"/>
          <w:sz w:val="24"/>
          <w:szCs w:val="24"/>
          <w:lang w:val="en-US" w:eastAsia="zh-CN"/>
        </w:rPr>
        <w:t xml:space="preserve">4.1.6 </w:t>
      </w:r>
      <w:r>
        <w:rPr>
          <w:rFonts w:hint="eastAsia" w:ascii="宋体" w:hAnsi="宋体" w:cs="宋体"/>
          <w:b w:val="0"/>
          <w:bCs w:val="0"/>
          <w:kern w:val="0"/>
          <w:sz w:val="24"/>
          <w:szCs w:val="24"/>
          <w:lang w:val="en-US" w:eastAsia="zh-CN"/>
        </w:rPr>
        <w:t>为配合管理人进行净值化改造</w:t>
      </w:r>
      <w:r>
        <w:rPr>
          <w:rFonts w:hint="eastAsia" w:ascii="宋体" w:hAnsi="宋体" w:cs="宋体"/>
          <w:kern w:val="0"/>
          <w:sz w:val="24"/>
          <w:szCs w:val="24"/>
          <w:lang w:val="en-US" w:eastAsia="zh-Hans"/>
        </w:rPr>
        <w:t>，托管人</w:t>
      </w:r>
      <w:r>
        <w:rPr>
          <w:rFonts w:hint="eastAsia" w:ascii="宋体" w:hAnsi="宋体" w:eastAsia="宋体" w:cs="宋体"/>
          <w:b w:val="0"/>
          <w:bCs w:val="0"/>
          <w:kern w:val="0"/>
          <w:sz w:val="24"/>
          <w:szCs w:val="24"/>
          <w:lang w:val="en-US" w:eastAsia="zh-CN"/>
        </w:rPr>
        <w:t>为</w:t>
      </w:r>
      <w:r>
        <w:rPr>
          <w:rFonts w:hint="eastAsia" w:ascii="宋体" w:hAnsi="宋体" w:cs="宋体"/>
          <w:b w:val="0"/>
          <w:bCs w:val="0"/>
          <w:kern w:val="0"/>
          <w:sz w:val="24"/>
          <w:szCs w:val="24"/>
          <w:lang w:val="en-US" w:eastAsia="zh-CN"/>
        </w:rPr>
        <w:t>其管理的</w:t>
      </w:r>
      <w:r>
        <w:rPr>
          <w:rFonts w:hint="eastAsia" w:ascii="宋体" w:hAnsi="宋体" w:eastAsia="宋体" w:cs="宋体"/>
          <w:b w:val="0"/>
          <w:bCs w:val="0"/>
          <w:kern w:val="0"/>
          <w:sz w:val="24"/>
          <w:szCs w:val="24"/>
          <w:lang w:val="en-US" w:eastAsia="zh-CN"/>
        </w:rPr>
        <w:t>存量</w:t>
      </w:r>
      <w:r>
        <w:rPr>
          <w:rFonts w:hint="eastAsia" w:ascii="宋体" w:hAnsi="宋体" w:cs="宋体"/>
          <w:b w:val="0"/>
          <w:bCs w:val="0"/>
          <w:kern w:val="0"/>
          <w:sz w:val="24"/>
          <w:szCs w:val="24"/>
          <w:lang w:val="en-US" w:eastAsia="zh-CN"/>
        </w:rPr>
        <w:t>系列</w:t>
      </w:r>
      <w:r>
        <w:rPr>
          <w:rFonts w:hint="eastAsia" w:ascii="宋体" w:hAnsi="宋体" w:eastAsia="宋体" w:cs="宋体"/>
          <w:b w:val="0"/>
          <w:bCs w:val="0"/>
          <w:kern w:val="0"/>
          <w:sz w:val="24"/>
          <w:szCs w:val="24"/>
          <w:lang w:val="en-US" w:eastAsia="zh-CN"/>
        </w:rPr>
        <w:t>理财</w:t>
      </w:r>
      <w:r>
        <w:rPr>
          <w:rFonts w:hint="eastAsia" w:ascii="宋体" w:hAnsi="宋体" w:eastAsia="宋体" w:cs="宋体"/>
          <w:kern w:val="0"/>
          <w:sz w:val="24"/>
          <w:szCs w:val="24"/>
          <w:lang w:val="en-US" w:eastAsia="zh-CN"/>
        </w:rPr>
        <w:t>产品项下的每只银行理财产品开立独立的托管账户，</w:t>
      </w:r>
      <w:r>
        <w:rPr>
          <w:rFonts w:hint="eastAsia" w:ascii="宋体" w:hAnsi="宋体" w:eastAsia="宋体" w:cs="宋体"/>
          <w:b w:val="0"/>
          <w:bCs w:val="0"/>
          <w:kern w:val="0"/>
          <w:sz w:val="24"/>
          <w:szCs w:val="24"/>
          <w:lang w:val="en-US" w:eastAsia="zh-CN"/>
        </w:rPr>
        <w:t>原</w:t>
      </w:r>
      <w:r>
        <w:rPr>
          <w:rFonts w:hint="eastAsia" w:ascii="宋体" w:hAnsi="宋体" w:cs="宋体"/>
          <w:b w:val="0"/>
          <w:bCs w:val="0"/>
          <w:kern w:val="0"/>
          <w:sz w:val="24"/>
          <w:szCs w:val="24"/>
          <w:lang w:val="en-US" w:eastAsia="zh-CN"/>
        </w:rPr>
        <w:t>系列</w:t>
      </w:r>
      <w:r>
        <w:rPr>
          <w:rFonts w:hint="eastAsia" w:ascii="宋体" w:hAnsi="宋体" w:eastAsia="宋体" w:cs="宋体"/>
          <w:b w:val="0"/>
          <w:bCs w:val="0"/>
          <w:kern w:val="0"/>
          <w:sz w:val="24"/>
          <w:szCs w:val="24"/>
          <w:lang w:val="en-US" w:eastAsia="zh-CN"/>
        </w:rPr>
        <w:t>理财产品</w:t>
      </w:r>
      <w:r>
        <w:rPr>
          <w:rFonts w:hint="eastAsia" w:ascii="宋体" w:hAnsi="宋体" w:eastAsia="宋体" w:cs="宋体"/>
          <w:kern w:val="0"/>
          <w:sz w:val="24"/>
          <w:szCs w:val="24"/>
          <w:lang w:val="en-US" w:eastAsia="zh-CN"/>
        </w:rPr>
        <w:t>托管账户保持不变</w:t>
      </w:r>
      <w:r>
        <w:rPr>
          <w:rFonts w:hint="eastAsia" w:ascii="宋体" w:hAnsi="宋体" w:cs="宋体"/>
          <w:kern w:val="0"/>
          <w:sz w:val="24"/>
          <w:szCs w:val="24"/>
          <w:lang w:val="en-US" w:eastAsia="zh-CN"/>
        </w:rPr>
        <w:t>。</w:t>
      </w:r>
      <w:r>
        <w:rPr>
          <w:rFonts w:hint="eastAsia" w:ascii="宋体" w:hAnsi="宋体" w:eastAsia="宋体" w:cs="宋体"/>
          <w:kern w:val="0"/>
          <w:sz w:val="24"/>
          <w:szCs w:val="24"/>
          <w:lang w:val="en-US" w:eastAsia="zh-CN"/>
        </w:rPr>
        <w:t>每个独立的托管账户</w:t>
      </w:r>
      <w:r>
        <w:rPr>
          <w:rFonts w:hint="eastAsia" w:ascii="宋体" w:hAnsi="宋体" w:eastAsia="宋体" w:cs="宋体"/>
          <w:b w:val="0"/>
          <w:bCs w:val="0"/>
          <w:kern w:val="0"/>
          <w:sz w:val="24"/>
          <w:szCs w:val="24"/>
          <w:lang w:val="en-US" w:eastAsia="zh-CN"/>
        </w:rPr>
        <w:t>以原</w:t>
      </w:r>
      <w:r>
        <w:rPr>
          <w:rFonts w:hint="eastAsia" w:ascii="宋体" w:hAnsi="宋体" w:cs="宋体"/>
          <w:b w:val="0"/>
          <w:bCs w:val="0"/>
          <w:kern w:val="0"/>
          <w:sz w:val="24"/>
          <w:szCs w:val="24"/>
          <w:lang w:val="en-US" w:eastAsia="zh-CN"/>
        </w:rPr>
        <w:t>托管</w:t>
      </w:r>
      <w:r>
        <w:rPr>
          <w:rFonts w:hint="eastAsia" w:ascii="宋体" w:hAnsi="宋体" w:eastAsia="宋体" w:cs="宋体"/>
          <w:b w:val="0"/>
          <w:bCs w:val="0"/>
          <w:kern w:val="0"/>
          <w:sz w:val="24"/>
          <w:szCs w:val="24"/>
          <w:lang w:val="en-US" w:eastAsia="zh-CN"/>
        </w:rPr>
        <w:t>账户作</w:t>
      </w:r>
      <w:r>
        <w:rPr>
          <w:rFonts w:hint="eastAsia" w:ascii="宋体" w:hAnsi="宋体" w:eastAsia="宋体" w:cs="宋体"/>
          <w:kern w:val="0"/>
          <w:sz w:val="24"/>
          <w:szCs w:val="24"/>
          <w:lang w:val="en-US" w:eastAsia="zh-CN"/>
        </w:rPr>
        <w:t>为过渡户（下称过渡账户），进行资金归集与分配，实现与证券账户的对接完成交易所、银行间交易的结算。原证券账户（包括交易所股东代码、银行间债券账户、资金账户）保持不变。</w:t>
      </w:r>
    </w:p>
    <w:p>
      <w:pPr>
        <w:keepNext w:val="0"/>
        <w:keepLines w:val="0"/>
        <w:pageBreakBefore w:val="0"/>
        <w:widowControl w:val="0"/>
        <w:numPr>
          <w:ilvl w:val="0"/>
          <w:numId w:val="0"/>
        </w:numPr>
        <w:tabs>
          <w:tab w:val="right" w:leader="dot" w:pos="284"/>
          <w:tab w:val="left" w:pos="1455"/>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过渡</w:t>
      </w:r>
      <w:r>
        <w:rPr>
          <w:rFonts w:hint="eastAsia" w:ascii="宋体" w:hAnsi="宋体" w:eastAsia="宋体" w:cs="宋体"/>
          <w:kern w:val="0"/>
          <w:sz w:val="24"/>
          <w:szCs w:val="24"/>
          <w:lang w:val="en-US" w:eastAsia="zh-CN"/>
        </w:rPr>
        <w:t>账户信息如下：</w:t>
      </w:r>
    </w:p>
    <w:p>
      <w:pPr>
        <w:keepNext w:val="0"/>
        <w:keepLines w:val="0"/>
        <w:pageBreakBefore w:val="0"/>
        <w:widowControl w:val="0"/>
        <w:numPr>
          <w:ilvl w:val="0"/>
          <w:numId w:val="0"/>
        </w:numPr>
        <w:tabs>
          <w:tab w:val="right" w:leader="dot" w:pos="284"/>
          <w:tab w:val="left" w:pos="1455"/>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b w:val="0"/>
          <w:bCs w:val="0"/>
          <w:kern w:val="0"/>
          <w:sz w:val="24"/>
          <w:szCs w:val="24"/>
          <w:lang w:val="en-US" w:eastAsia="zh-CN"/>
        </w:rPr>
        <w:t>存量理财产品</w:t>
      </w:r>
      <w:r>
        <w:rPr>
          <w:rFonts w:hint="eastAsia" w:ascii="宋体" w:hAnsi="宋体" w:eastAsia="宋体" w:cs="宋体"/>
          <w:kern w:val="0"/>
          <w:sz w:val="24"/>
          <w:szCs w:val="24"/>
          <w:lang w:val="en-US" w:eastAsia="zh-CN"/>
        </w:rPr>
        <w:t>账户名称：</w:t>
      </w:r>
      <w:r>
        <w:rPr>
          <w:rFonts w:hint="eastAsia" w:ascii="宋体" w:hAnsi="宋体" w:eastAsia="宋体" w:cs="宋体"/>
          <w:sz w:val="24"/>
          <w:szCs w:val="24"/>
        </w:rPr>
        <w:t>齐鲁银行泉心理财人民币理财计划</w:t>
      </w:r>
    </w:p>
    <w:p>
      <w:pPr>
        <w:keepNext w:val="0"/>
        <w:keepLines w:val="0"/>
        <w:pageBreakBefore w:val="0"/>
        <w:widowControl w:val="0"/>
        <w:numPr>
          <w:ilvl w:val="0"/>
          <w:numId w:val="0"/>
        </w:numPr>
        <w:tabs>
          <w:tab w:val="right" w:leader="dot" w:pos="284"/>
          <w:tab w:val="left" w:pos="1455"/>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账号：609012292</w:t>
      </w:r>
    </w:p>
    <w:p>
      <w:pPr>
        <w:keepNext w:val="0"/>
        <w:keepLines w:val="0"/>
        <w:pageBreakBefore w:val="0"/>
        <w:widowControl w:val="0"/>
        <w:numPr>
          <w:ilvl w:val="0"/>
          <w:numId w:val="0"/>
        </w:numPr>
        <w:tabs>
          <w:tab w:val="right" w:leader="dot" w:pos="284"/>
          <w:tab w:val="left" w:pos="1455"/>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b w:val="0"/>
          <w:bCs w:val="0"/>
          <w:kern w:val="0"/>
          <w:sz w:val="24"/>
          <w:szCs w:val="24"/>
          <w:lang w:val="en-US" w:eastAsia="zh-CN"/>
        </w:rPr>
        <w:t>开户行：</w:t>
      </w:r>
      <w:r>
        <w:rPr>
          <w:rFonts w:hint="eastAsia" w:ascii="宋体" w:hAnsi="宋体" w:eastAsia="宋体" w:cs="宋体"/>
          <w:sz w:val="24"/>
          <w:szCs w:val="24"/>
        </w:rPr>
        <w:t>中国民生银行股份有限公司济</w:t>
      </w:r>
      <w:r>
        <w:rPr>
          <w:rFonts w:hint="eastAsia" w:ascii="宋体" w:hAnsi="宋体" w:eastAsia="宋体" w:cs="宋体"/>
          <w:sz w:val="24"/>
          <w:szCs w:val="24"/>
          <w:lang w:val="en-US" w:eastAsia="zh-CN"/>
        </w:rPr>
        <w:t>南分行营业部</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4.2理财专用证券账户的开设与管理（如有）</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lang w:val="en-US" w:eastAsia="zh-CN"/>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根据理财产品需要及管理人的要求，按照中国证券登记结算有限责任公司规定，托管人应为</w:t>
      </w:r>
      <w:r>
        <w:rPr>
          <w:rFonts w:hint="eastAsia" w:ascii="宋体" w:hAnsi="宋体" w:eastAsia="宋体" w:cs="宋体"/>
          <w:sz w:val="24"/>
          <w:szCs w:val="24"/>
          <w:u w:val="single"/>
          <w:shd w:val="clear" w:color="FFFFFF" w:fill="D9D9D9"/>
          <w:lang w:eastAsia="zh-CN"/>
        </w:rPr>
        <w:t>其管理该系列的每只</w:t>
      </w:r>
      <w:r>
        <w:rPr>
          <w:rFonts w:hint="eastAsia" w:ascii="宋体" w:hAnsi="宋体" w:eastAsia="宋体" w:cs="宋体"/>
          <w:sz w:val="24"/>
          <w:szCs w:val="24"/>
          <w:u w:val="single"/>
          <w:shd w:val="clear" w:color="FFFFFF" w:fill="D9D9D9"/>
        </w:rPr>
        <w:t>理财产品开立证券账户。</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lang w:eastAsia="zh-CN"/>
        </w:rPr>
        <w:t>如果理财产品分期发行，应为每期理财产品开立单独的证券账户。</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账户名称以实际开立为准，用于理财财产投资于场内交易证券品种所发生的交割和存管。管理人应在开户过程中给予必要的配合。</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lang w:val="en-US" w:eastAsia="zh-CN"/>
        </w:rPr>
        <w:t>如遇监管等政策变动则以新的政策要求为准。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cs="宋体"/>
          <w:kern w:val="0"/>
          <w:sz w:val="24"/>
          <w:szCs w:val="24"/>
          <w:lang w:val="en-US" w:eastAsia="zh-CN"/>
        </w:rPr>
        <w:t>监管等政策变化之前</w:t>
      </w:r>
      <w:r>
        <w:rPr>
          <w:rFonts w:hint="eastAsia" w:ascii="宋体" w:hAnsi="宋体" w:eastAsia="宋体" w:cs="宋体"/>
          <w:b w:val="0"/>
          <w:bCs w:val="0"/>
          <w:kern w:val="0"/>
          <w:sz w:val="24"/>
          <w:szCs w:val="24"/>
          <w:lang w:val="en-US" w:eastAsia="zh-CN"/>
        </w:rPr>
        <w:t>：原证券账户保持不变。</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4.3 理财专用资金账户的开设与管理（如有）</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lang w:val="en-US" w:eastAsia="zh-CN"/>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管理人应以理财产品的名义在证券经纪商处开设</w:t>
      </w:r>
      <w:r>
        <w:rPr>
          <w:rFonts w:hint="eastAsia" w:ascii="宋体" w:hAnsi="宋体" w:eastAsia="宋体" w:cs="宋体"/>
          <w:sz w:val="24"/>
          <w:szCs w:val="24"/>
          <w:u w:val="single"/>
          <w:shd w:val="clear" w:color="FFFFFF" w:fill="D9D9D9"/>
          <w:lang w:eastAsia="zh-CN"/>
        </w:rPr>
        <w:t>为其管理的该系列理财的每只理财产品</w:t>
      </w:r>
      <w:r>
        <w:rPr>
          <w:rFonts w:hint="eastAsia" w:ascii="宋体" w:hAnsi="宋体" w:eastAsia="宋体" w:cs="宋体"/>
          <w:sz w:val="24"/>
          <w:szCs w:val="24"/>
          <w:u w:val="single"/>
          <w:shd w:val="clear" w:color="FFFFFF" w:fill="D9D9D9"/>
        </w:rPr>
        <w:t>独立的理财专用资金账户。账户名称以实际开立时为准。</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lang w:eastAsia="zh-CN"/>
        </w:rPr>
        <w:t>如果理财产品分期发行，应为每期理财产品开立单独的证券账户。</w:t>
      </w:r>
      <w:r>
        <w:rPr>
          <w:rFonts w:hint="eastAsia" w:ascii="宋体" w:hAnsi="宋体" w:eastAsia="宋体" w:cs="宋体"/>
          <w:sz w:val="24"/>
          <w:szCs w:val="24"/>
          <w:u w:val="single"/>
          <w:shd w:val="clear" w:color="FFFFFF" w:fill="D9D9D9"/>
          <w:lang w:val="en-US" w:eastAsia="zh-CN"/>
        </w:rPr>
        <w:t>如遇监管等政策变动则以新的政策要求为准。</w:t>
      </w:r>
    </w:p>
    <w:p>
      <w:pPr>
        <w:tabs>
          <w:tab w:val="right" w:leader="dot" w:pos="284"/>
          <w:tab w:val="left" w:pos="1455"/>
        </w:tabs>
        <w:spacing w:line="240" w:lineRule="auto"/>
        <w:ind w:firstLine="480" w:firstLineChars="200"/>
        <w:rPr>
          <w:rFonts w:hint="eastAsia" w:ascii="宋体" w:hAnsi="宋体" w:eastAsia="宋体" w:cs="宋体"/>
          <w:sz w:val="24"/>
          <w:szCs w:val="24"/>
          <w:u w:val="single"/>
          <w:shd w:val="clear" w:color="FFFFFF" w:fill="D9D9D9"/>
          <w:lang w:val="en-US" w:eastAsia="zh-CN"/>
        </w:rPr>
      </w:pPr>
      <w:r>
        <w:rPr>
          <w:rFonts w:hint="eastAsia" w:ascii="宋体" w:hAnsi="宋体" w:cs="宋体"/>
          <w:kern w:val="0"/>
          <w:sz w:val="24"/>
          <w:szCs w:val="24"/>
          <w:lang w:val="en-US" w:eastAsia="zh-CN"/>
        </w:rPr>
        <w:t>监管等政策变化之前</w:t>
      </w:r>
      <w:r>
        <w:rPr>
          <w:rFonts w:hint="eastAsia" w:ascii="宋体" w:hAnsi="宋体" w:eastAsia="宋体" w:cs="宋体"/>
          <w:b w:val="0"/>
          <w:bCs w:val="0"/>
          <w:kern w:val="0"/>
          <w:sz w:val="24"/>
          <w:szCs w:val="24"/>
          <w:lang w:val="en-US" w:eastAsia="zh-CN"/>
        </w:rPr>
        <w:t>：原证券账户保持不变。</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4.4债券账户的开设和管理（如有）</w:t>
      </w:r>
    </w:p>
    <w:p>
      <w:pPr>
        <w:tabs>
          <w:tab w:val="right" w:leader="dot" w:pos="284"/>
          <w:tab w:val="right" w:leader="dot" w:pos="8222"/>
        </w:tabs>
        <w:adjustRightInd w:val="0"/>
        <w:snapToGrid w:val="0"/>
        <w:spacing w:line="360" w:lineRule="auto"/>
        <w:ind w:firstLine="480" w:firstLineChars="200"/>
        <w:rPr>
          <w:rFonts w:hint="eastAsia" w:ascii="宋体" w:hAnsi="宋体" w:eastAsia="宋体" w:cs="宋体"/>
          <w:sz w:val="24"/>
          <w:szCs w:val="24"/>
          <w:u w:val="single"/>
          <w:shd w:val="clear" w:color="FFFFFF" w:fill="D9D9D9"/>
          <w:lang w:val="en-US" w:eastAsia="zh-CN"/>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托管人根据管理人的要求，与管理人相互配合根据中国人民银行及中央国债登记结算有限责任公司、银行间市场清算所股份有限公司的有关规定，在债券登记结算机构为</w:t>
      </w:r>
      <w:r>
        <w:rPr>
          <w:rFonts w:hint="eastAsia" w:ascii="宋体" w:hAnsi="宋体" w:eastAsia="宋体" w:cs="宋体"/>
          <w:sz w:val="24"/>
          <w:szCs w:val="24"/>
          <w:u w:val="single"/>
          <w:shd w:val="clear" w:color="FFFFFF" w:fill="D9D9D9"/>
          <w:lang w:eastAsia="zh-CN"/>
        </w:rPr>
        <w:t>其管理该系列的每只</w:t>
      </w:r>
      <w:r>
        <w:rPr>
          <w:rFonts w:hint="eastAsia" w:ascii="宋体" w:hAnsi="宋体" w:eastAsia="宋体" w:cs="宋体"/>
          <w:sz w:val="24"/>
          <w:szCs w:val="24"/>
          <w:u w:val="single"/>
          <w:shd w:val="clear" w:color="FFFFFF" w:fill="D9D9D9"/>
        </w:rPr>
        <w:t>理财产品开立单独的债券账户。</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lang w:eastAsia="zh-CN"/>
        </w:rPr>
        <w:t>如果理财产品分期发行，应为每期理财产品开立单独的证券账户。</w:t>
      </w:r>
      <w:r>
        <w:rPr>
          <w:rFonts w:hint="eastAsia" w:ascii="宋体" w:hAnsi="宋体" w:eastAsia="宋体" w:cs="宋体"/>
          <w:sz w:val="24"/>
          <w:szCs w:val="24"/>
          <w:u w:val="single"/>
          <w:shd w:val="clear" w:color="FFFFFF" w:fill="D9D9D9"/>
          <w:lang w:val="en-US" w:eastAsia="zh-CN"/>
        </w:rPr>
        <w:t>如遇监管等政策变动则以新的政策要求为准。</w:t>
      </w:r>
    </w:p>
    <w:p>
      <w:pPr>
        <w:tabs>
          <w:tab w:val="right" w:leader="dot" w:pos="284"/>
          <w:tab w:val="right" w:leader="dot" w:pos="8222"/>
        </w:tabs>
        <w:adjustRightInd/>
        <w:snapToGrid/>
        <w:spacing w:line="240" w:lineRule="auto"/>
        <w:ind w:firstLine="480" w:firstLineChars="200"/>
        <w:rPr>
          <w:rFonts w:hint="eastAsia" w:ascii="宋体" w:hAnsi="宋体" w:eastAsia="宋体" w:cs="宋体"/>
          <w:sz w:val="24"/>
          <w:szCs w:val="24"/>
          <w:u w:val="single"/>
          <w:shd w:val="clear" w:color="FFFFFF" w:fill="D9D9D9"/>
          <w:lang w:val="en-US" w:eastAsia="zh-CN"/>
        </w:rPr>
      </w:pPr>
      <w:r>
        <w:rPr>
          <w:rFonts w:hint="eastAsia" w:ascii="宋体" w:hAnsi="宋体" w:cs="宋体"/>
          <w:kern w:val="0"/>
          <w:sz w:val="24"/>
          <w:szCs w:val="24"/>
          <w:lang w:val="en-US" w:eastAsia="zh-CN"/>
        </w:rPr>
        <w:t>监管等政策变化之前</w:t>
      </w:r>
      <w:r>
        <w:rPr>
          <w:rFonts w:hint="eastAsia" w:ascii="宋体" w:hAnsi="宋体" w:eastAsia="宋体" w:cs="宋体"/>
          <w:b w:val="0"/>
          <w:bCs w:val="0"/>
          <w:kern w:val="0"/>
          <w:sz w:val="24"/>
          <w:szCs w:val="24"/>
          <w:lang w:val="en-US" w:eastAsia="zh-CN"/>
        </w:rPr>
        <w:t>：原证券账户保持不变。</w:t>
      </w:r>
    </w:p>
    <w:p>
      <w:pPr>
        <w:tabs>
          <w:tab w:val="left" w:pos="1455"/>
          <w:tab w:val="left" w:pos="8647"/>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4.5定期存款账户的开设与管理</w:t>
      </w:r>
    </w:p>
    <w:p>
      <w:pPr>
        <w:tabs>
          <w:tab w:val="left" w:pos="1455"/>
          <w:tab w:val="left" w:pos="8647"/>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理财财产投资定期存款在存款机构开立的银行账户，包括实体或虚拟账户。定期存款账户户名应与托管账户保持一致，该账户预留印鉴经与托管人商议后预留。管理人应该在合理时间内进行定期存款的投资和支取事宜。对于任何的定期存款投资，管理人都必须和存款机构签订定期存款协议，协议内容应至少包含起息日、到期日、存款金额、存款账户、存款利率、存款是否可以提前支取、定存到期支取账户、存款证实书如何交接以及存款证实书不得转让质押等条款。协议须约定托管人经办行名称、地址和账户，并将托管账户指定为唯一回款账户，协议中涉及托管人相关职责的约定须由管理人和托管人双方协商一致后签署。</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lang w:val="en-US" w:eastAsia="zh-CN"/>
        </w:rPr>
        <w:t>如遇监管等政策变动则以新的政策要求为准。</w:t>
      </w:r>
      <w:r>
        <w:rPr>
          <w:rFonts w:hint="eastAsia" w:ascii="宋体" w:hAnsi="宋体" w:eastAsia="宋体" w:cs="宋体"/>
          <w:sz w:val="24"/>
          <w:szCs w:val="24"/>
        </w:rPr>
        <w:t xml:space="preserve"> </w:t>
      </w:r>
    </w:p>
    <w:p>
      <w:pPr>
        <w:tabs>
          <w:tab w:val="right" w:leader="dot" w:pos="284"/>
          <w:tab w:val="right" w:leader="dot" w:pos="8222"/>
        </w:tabs>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4.6证券投资基金账户</w:t>
      </w:r>
      <w:bookmarkStart w:id="29" w:name="Text181"/>
    </w:p>
    <w:p>
      <w:pPr>
        <w:tabs>
          <w:tab w:val="right" w:leader="dot" w:pos="284"/>
          <w:tab w:val="right" w:leader="dot" w:pos="8222"/>
        </w:tabs>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u w:val="single"/>
          <w:shd w:val="clear" w:color="FFFFFF" w:fill="D9D9D9"/>
        </w:rPr>
        <w:fldChar w:fldCharType="begin">
          <w:ffData>
            <w:name w:val="Text181"/>
            <w:enabled/>
            <w:calcOnExit w:val="0"/>
            <w:textInput>
              <w:default w:val=" 因委托资产投资证券投资基金的需要，甲方为本委托资产在指定的基金公司或第三方销售机构以本产品的名义开立证券投资基金账户，用于办理本委托资产投资于开放式基金时的基金份额登记和交割，并确保在产品存续期间保管账户为所投资的基金发生分红和赎回时的唯一资金回款账户。甲方需及时书面告知乙方该账户的相关信息。持有基金期间，甲方需及时将基金确认、分红或赎回等业务单据的复印件发送给乙方。"/>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因理财财产投资证券投资基金的需要，管理人为本理财财产在指定的基金公司或第三方销售机构以本产品的名义开立证券投资基金账户，用于办理本理财财产投资于开放式基金时的基金份额登记和交割，并确保在产品存续期间托管账户为所投资的基金发生分红和赎回时的唯一资金回款账户。持有基金期间，管理人需及时将基金确认、分红或赎回等业务单据的复印件发送给托管人。</w:t>
      </w:r>
      <w:r>
        <w:rPr>
          <w:rFonts w:hint="eastAsia" w:ascii="宋体" w:hAnsi="宋体" w:eastAsia="宋体" w:cs="宋体"/>
          <w:sz w:val="24"/>
          <w:szCs w:val="24"/>
          <w:u w:val="single"/>
          <w:shd w:val="clear" w:color="FFFFFF" w:fill="D9D9D9"/>
        </w:rPr>
        <w:fldChar w:fldCharType="end"/>
      </w:r>
      <w:bookmarkEnd w:id="29"/>
      <w:bookmarkStart w:id="30" w:name="Text182"/>
      <w:r>
        <w:rPr>
          <w:rFonts w:hint="eastAsia" w:ascii="宋体" w:hAnsi="宋体" w:cs="宋体"/>
          <w:sz w:val="24"/>
          <w:szCs w:val="24"/>
          <w:u w:val="single"/>
          <w:shd w:val="clear" w:color="FFFFFF" w:fill="D9D9D9"/>
        </w:rPr>
        <w:t>管理人应对第三方销售机构尽职调查后与其签订合同，约定双方的权利和义务，管理人负责解决因第三方销售机构不履行合同约定而给本理财财产造成的纠纷或损失</w:t>
      </w:r>
      <w:r>
        <w:rPr>
          <w:rFonts w:hint="eastAsia" w:ascii="宋体" w:hAnsi="宋体" w:cs="宋体"/>
          <w:sz w:val="24"/>
          <w:szCs w:val="24"/>
          <w:u w:val="single"/>
          <w:shd w:val="clear" w:color="FFFFFF" w:fill="D9D9D9"/>
          <w:lang w:eastAsia="zh-Hans"/>
        </w:rPr>
        <w:t>，</w:t>
      </w:r>
      <w:r>
        <w:rPr>
          <w:rFonts w:hint="eastAsia" w:ascii="宋体" w:hAnsi="宋体" w:cs="宋体"/>
          <w:sz w:val="24"/>
          <w:szCs w:val="24"/>
          <w:u w:val="single"/>
          <w:shd w:val="clear" w:color="FFFFFF" w:fill="D9D9D9"/>
          <w:lang w:val="en-US" w:eastAsia="zh-Hans"/>
        </w:rPr>
        <w:t>托管人有义务进行配合，</w:t>
      </w:r>
      <w:bookmarkEnd w:id="30"/>
      <w:r>
        <w:rPr>
          <w:rFonts w:hint="eastAsia" w:ascii="宋体" w:hAnsi="宋体" w:eastAsia="宋体" w:cs="宋体"/>
          <w:sz w:val="24"/>
          <w:szCs w:val="24"/>
          <w:u w:val="single"/>
          <w:shd w:val="clear" w:color="FFFFFF" w:fill="D9D9D9"/>
          <w:lang w:val="en-US" w:eastAsia="zh-CN"/>
        </w:rPr>
        <w:t>如遇监管等政策变动则以新的政策要求为准。</w:t>
      </w:r>
    </w:p>
    <w:p>
      <w:pPr>
        <w:tabs>
          <w:tab w:val="right" w:leader="dot" w:pos="284"/>
          <w:tab w:val="right" w:leader="dot" w:pos="8222"/>
        </w:tabs>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4.7 托管账户的核对</w:t>
      </w:r>
    </w:p>
    <w:p>
      <w:pPr>
        <w:tabs>
          <w:tab w:val="right" w:leader="dot" w:pos="284"/>
          <w:tab w:val="right" w:leader="dot" w:pos="8222"/>
        </w:tabs>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kern w:val="0"/>
          <w:sz w:val="24"/>
          <w:szCs w:val="24"/>
        </w:rPr>
        <w:t>甲乙双方应分别登记理财产品项下托管账户的银行存款日记账。分别记录资金划拨情况，按本协议相关约定，逐笔核对资金变动情况，确保资金变动记录及结果与开户银行记录及余额相符。</w:t>
      </w:r>
      <w:bookmarkStart w:id="31" w:name="_Toc382240759"/>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32" w:name="_Toc57797442"/>
      <w:bookmarkStart w:id="33" w:name="_Toc51421605"/>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34" w:name="_Toc29582"/>
      <w:r>
        <w:rPr>
          <w:rFonts w:hint="eastAsia" w:ascii="宋体" w:hAnsi="宋体" w:eastAsia="宋体" w:cs="宋体"/>
          <w:bCs w:val="0"/>
          <w:kern w:val="2"/>
          <w:sz w:val="24"/>
          <w:szCs w:val="24"/>
        </w:rPr>
        <w:t>第五条  划款指令的发送、确认与执行</w:t>
      </w:r>
      <w:bookmarkEnd w:id="31"/>
      <w:bookmarkEnd w:id="32"/>
      <w:bookmarkEnd w:id="33"/>
      <w:bookmarkEnd w:id="34"/>
    </w:p>
    <w:p>
      <w:pPr>
        <w:tabs>
          <w:tab w:val="right" w:leader="dot" w:pos="284"/>
          <w:tab w:val="left" w:pos="1455"/>
        </w:tabs>
        <w:spacing w:line="360" w:lineRule="auto"/>
        <w:ind w:firstLine="480" w:firstLineChars="200"/>
        <w:rPr>
          <w:rFonts w:hint="eastAsia" w:ascii="宋体" w:hAnsi="宋体" w:eastAsia="宋体" w:cs="宋体"/>
          <w:b/>
          <w:bCs/>
          <w:sz w:val="24"/>
          <w:szCs w:val="24"/>
        </w:rPr>
      </w:pPr>
      <w:bookmarkStart w:id="35" w:name="_Toc382240760"/>
      <w:bookmarkStart w:id="36" w:name="_Toc372290934"/>
      <w:r>
        <w:rPr>
          <w:rFonts w:hint="eastAsia" w:ascii="宋体" w:hAnsi="宋体" w:eastAsia="宋体" w:cs="宋体"/>
          <w:kern w:val="0"/>
          <w:sz w:val="24"/>
          <w:szCs w:val="24"/>
        </w:rPr>
        <w:t xml:space="preserve">5.1 </w:t>
      </w:r>
      <w:r>
        <w:rPr>
          <w:rFonts w:hint="eastAsia" w:ascii="宋体" w:hAnsi="宋体" w:eastAsia="宋体" w:cs="宋体"/>
          <w:sz w:val="24"/>
          <w:szCs w:val="24"/>
        </w:rPr>
        <w:t>被授权人的指定与变更</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5.1.1被授权人的指定</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管理人应向托管人提供</w:t>
      </w:r>
      <w:r>
        <w:rPr>
          <w:rFonts w:hint="eastAsia" w:ascii="宋体" w:hAnsi="宋体" w:eastAsia="宋体" w:cs="宋体"/>
          <w:color w:val="auto"/>
          <w:kern w:val="2"/>
          <w:sz w:val="24"/>
          <w:highlight w:val="none"/>
        </w:rPr>
        <w:t>《授权代表签</w:t>
      </w:r>
      <w:bookmarkStart w:id="37" w:name="_Hlk58960874"/>
      <w:r>
        <w:rPr>
          <w:rFonts w:hint="eastAsia" w:ascii="宋体" w:hAnsi="宋体" w:eastAsia="宋体" w:cs="宋体"/>
          <w:color w:val="auto"/>
          <w:kern w:val="2"/>
          <w:sz w:val="24"/>
          <w:highlight w:val="none"/>
        </w:rPr>
        <w:t>名</w:t>
      </w:r>
      <w:bookmarkEnd w:id="37"/>
      <w:r>
        <w:rPr>
          <w:rFonts w:hint="eastAsia" w:ascii="宋体" w:hAnsi="宋体" w:eastAsia="宋体" w:cs="宋体"/>
          <w:color w:val="auto"/>
          <w:kern w:val="2"/>
          <w:sz w:val="24"/>
          <w:highlight w:val="none"/>
          <w:lang w:eastAsia="zh-CN"/>
        </w:rPr>
        <w:t>或</w:t>
      </w:r>
      <w:r>
        <w:rPr>
          <w:rFonts w:hint="eastAsia" w:ascii="宋体" w:hAnsi="宋体" w:eastAsia="宋体" w:cs="宋体"/>
          <w:color w:val="auto"/>
          <w:kern w:val="2"/>
          <w:sz w:val="24"/>
          <w:highlight w:val="none"/>
        </w:rPr>
        <w:t>印鉴样本通知书》</w:t>
      </w:r>
      <w:r>
        <w:rPr>
          <w:rFonts w:hint="eastAsia" w:ascii="宋体" w:hAnsi="宋体" w:eastAsia="宋体" w:cs="宋体"/>
          <w:kern w:val="0"/>
          <w:sz w:val="24"/>
          <w:szCs w:val="24"/>
        </w:rPr>
        <w:t>（见附件</w:t>
      </w:r>
      <w:r>
        <w:rPr>
          <w:rFonts w:hint="eastAsia" w:ascii="宋体" w:hAnsi="宋体" w:eastAsia="宋体" w:cs="宋体"/>
          <w:kern w:val="0"/>
          <w:sz w:val="24"/>
          <w:szCs w:val="24"/>
          <w:lang w:eastAsia="zh-CN"/>
        </w:rPr>
        <w:t>二</w:t>
      </w:r>
      <w:r>
        <w:rPr>
          <w:rFonts w:hint="eastAsia" w:ascii="宋体" w:hAnsi="宋体" w:eastAsia="宋体" w:cs="宋体"/>
          <w:kern w:val="0"/>
          <w:sz w:val="24"/>
          <w:szCs w:val="24"/>
        </w:rPr>
        <w:t>）</w:t>
      </w:r>
      <w:r>
        <w:rPr>
          <w:rFonts w:hint="eastAsia" w:ascii="宋体" w:hAnsi="宋体" w:eastAsia="宋体" w:cs="宋体"/>
          <w:sz w:val="24"/>
          <w:szCs w:val="24"/>
        </w:rPr>
        <w:t>（</w:t>
      </w:r>
      <w:r>
        <w:rPr>
          <w:rFonts w:hint="eastAsia" w:ascii="宋体" w:hAnsi="宋体" w:eastAsia="宋体" w:cs="宋体"/>
          <w:color w:val="auto"/>
          <w:kern w:val="2"/>
          <w:sz w:val="24"/>
          <w:highlight w:val="none"/>
        </w:rPr>
        <w:t>以下简称“授权文件”</w:t>
      </w:r>
      <w:r>
        <w:rPr>
          <w:rFonts w:hint="eastAsia" w:ascii="宋体" w:hAnsi="宋体" w:eastAsia="宋体" w:cs="宋体"/>
          <w:sz w:val="24"/>
          <w:szCs w:val="24"/>
        </w:rPr>
        <w:t>）</w:t>
      </w:r>
      <w:r>
        <w:rPr>
          <w:rFonts w:hint="eastAsia" w:ascii="宋体" w:hAnsi="宋体" w:eastAsia="宋体" w:cs="宋体"/>
          <w:kern w:val="0"/>
          <w:sz w:val="24"/>
          <w:szCs w:val="24"/>
        </w:rPr>
        <w:t>，</w:t>
      </w:r>
      <w:r>
        <w:rPr>
          <w:rFonts w:hint="eastAsia" w:ascii="宋体" w:hAnsi="宋体" w:eastAsia="宋体" w:cs="宋体"/>
          <w:color w:val="auto"/>
          <w:kern w:val="2"/>
          <w:sz w:val="24"/>
          <w:highlight w:val="none"/>
        </w:rPr>
        <w:t>内容包括被授权人名单</w:t>
      </w:r>
      <w:r>
        <w:rPr>
          <w:rFonts w:hint="eastAsia" w:ascii="宋体" w:hAnsi="宋体" w:eastAsia="宋体" w:cs="宋体"/>
          <w:color w:val="auto"/>
          <w:kern w:val="2"/>
          <w:sz w:val="24"/>
          <w:highlight w:val="none"/>
          <w:lang w:eastAsia="zh-CN"/>
        </w:rPr>
        <w:t>或</w:t>
      </w:r>
      <w:r>
        <w:rPr>
          <w:rFonts w:hint="eastAsia" w:ascii="宋体" w:hAnsi="宋体" w:eastAsia="宋体" w:cs="宋体"/>
          <w:color w:val="auto"/>
          <w:kern w:val="2"/>
          <w:sz w:val="24"/>
          <w:highlight w:val="none"/>
        </w:rPr>
        <w:t>被授权人签名样本</w:t>
      </w:r>
      <w:r>
        <w:rPr>
          <w:rFonts w:hint="eastAsia" w:ascii="宋体" w:hAnsi="宋体" w:eastAsia="宋体" w:cs="宋体"/>
          <w:color w:val="auto"/>
          <w:kern w:val="2"/>
          <w:sz w:val="24"/>
          <w:highlight w:val="none"/>
          <w:lang w:eastAsia="zh-CN"/>
        </w:rPr>
        <w:t>或</w:t>
      </w:r>
      <w:r>
        <w:rPr>
          <w:rFonts w:hint="eastAsia" w:ascii="宋体" w:hAnsi="宋体" w:eastAsia="宋体" w:cs="宋体"/>
          <w:color w:val="auto"/>
          <w:kern w:val="2"/>
          <w:sz w:val="24"/>
          <w:highlight w:val="none"/>
        </w:rPr>
        <w:t>预留印鉴，授权文件应注明被授权人相应的权限</w:t>
      </w:r>
      <w:r>
        <w:rPr>
          <w:rFonts w:hint="eastAsia" w:ascii="宋体" w:hAnsi="宋体" w:eastAsia="宋体" w:cs="宋体"/>
          <w:color w:val="000000"/>
          <w:sz w:val="24"/>
          <w:szCs w:val="24"/>
        </w:rPr>
        <w:t>，</w:t>
      </w:r>
      <w:r>
        <w:rPr>
          <w:rFonts w:hint="eastAsia" w:ascii="宋体" w:hAnsi="宋体" w:eastAsia="宋体" w:cs="宋体"/>
          <w:sz w:val="24"/>
          <w:szCs w:val="24"/>
        </w:rPr>
        <w:t>授权文件应由管理人法定代表人或授权代表签名（或签章）并加盖管理人公章。管理人应以</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eastAsia="zh-CN"/>
        </w:rPr>
        <w:t>资产托管业务运营平台（</w:t>
      </w:r>
      <w:r>
        <w:rPr>
          <w:rFonts w:hint="eastAsia" w:ascii="宋体" w:hAnsi="宋体" w:eastAsia="宋体" w:cs="宋体"/>
          <w:sz w:val="24"/>
          <w:szCs w:val="24"/>
          <w:u w:val="single"/>
          <w:shd w:val="clear" w:color="FFFFFF" w:fill="D9D9D9"/>
          <w:lang w:val="en-US" w:eastAsia="zh-CN"/>
        </w:rPr>
        <w:t>E-COS）、托管网银、传真、</w:t>
      </w:r>
      <w:r>
        <w:rPr>
          <w:rFonts w:hint="eastAsia" w:ascii="宋体" w:hAnsi="宋体" w:eastAsia="宋体" w:cs="宋体"/>
          <w:sz w:val="24"/>
          <w:szCs w:val="24"/>
          <w:u w:val="single"/>
          <w:shd w:val="clear" w:color="FFFFFF" w:fill="D9D9D9"/>
        </w:rPr>
        <w:t>电子邮件或其他双方书面认可的方式 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向托管人发送授权文件并及时与托管人进行电话确认。授权文件需载明具体生效时间，载明的具体生效时间不得早于电话确认时间，授权文件自载明的具体生效时间起生效。</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5.1.2被授权人的变更</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管理人更换或终止被授权人时，应及时将新的授权文件</w:t>
      </w:r>
      <w:r>
        <w:rPr>
          <w:rFonts w:hint="eastAsia" w:ascii="宋体" w:hAnsi="宋体" w:eastAsia="宋体" w:cs="宋体"/>
          <w:sz w:val="24"/>
          <w:szCs w:val="24"/>
        </w:rPr>
        <w:t>以</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eastAsia="zh-CN"/>
        </w:rPr>
        <w:t>资产托管业务运营平台（</w:t>
      </w:r>
      <w:r>
        <w:rPr>
          <w:rFonts w:hint="eastAsia" w:ascii="宋体" w:hAnsi="宋体" w:eastAsia="宋体" w:cs="宋体"/>
          <w:sz w:val="24"/>
          <w:szCs w:val="24"/>
          <w:u w:val="single"/>
          <w:shd w:val="clear" w:color="FFFFFF" w:fill="D9D9D9"/>
          <w:lang w:val="en-US" w:eastAsia="zh-CN"/>
        </w:rPr>
        <w:t>E-COS）、托管网银、传真、</w:t>
      </w:r>
      <w:r>
        <w:rPr>
          <w:rFonts w:hint="eastAsia" w:ascii="宋体" w:hAnsi="宋体" w:eastAsia="宋体" w:cs="宋体"/>
          <w:sz w:val="24"/>
          <w:szCs w:val="24"/>
          <w:u w:val="single"/>
          <w:shd w:val="clear" w:color="FFFFFF" w:fill="D9D9D9"/>
        </w:rPr>
        <w:t>电子邮件或其他双方书面认可的方式 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向托管人</w:t>
      </w:r>
      <w:r>
        <w:rPr>
          <w:rFonts w:hint="eastAsia" w:ascii="宋体" w:hAnsi="宋体" w:eastAsia="宋体" w:cs="宋体"/>
          <w:kern w:val="0"/>
          <w:sz w:val="24"/>
          <w:szCs w:val="24"/>
        </w:rPr>
        <w:t>发出，并及时与托管人进行</w:t>
      </w:r>
      <w:r>
        <w:rPr>
          <w:rFonts w:hint="eastAsia" w:ascii="宋体" w:hAnsi="宋体" w:eastAsia="宋体" w:cs="宋体"/>
          <w:sz w:val="24"/>
          <w:szCs w:val="24"/>
        </w:rPr>
        <w:t>电话</w:t>
      </w:r>
      <w:r>
        <w:rPr>
          <w:rFonts w:hint="eastAsia" w:ascii="宋体" w:hAnsi="宋体" w:eastAsia="宋体" w:cs="宋体"/>
          <w:kern w:val="0"/>
          <w:sz w:val="24"/>
          <w:szCs w:val="24"/>
        </w:rPr>
        <w:t>确认。</w:t>
      </w:r>
      <w:r>
        <w:rPr>
          <w:rFonts w:hint="eastAsia" w:ascii="宋体" w:hAnsi="宋体" w:eastAsia="宋体" w:cs="宋体"/>
          <w:sz w:val="24"/>
          <w:szCs w:val="24"/>
        </w:rPr>
        <w:t>新的授权文件需载明具体生效时间，载明的具体生效时间不得早于电话确认时间，新的授权文件自载明的具体生效时间起生效，且原授权文件同时废止。管理人更换被授权人通知生效后，对于已被撤换的人员无权</w:t>
      </w:r>
      <w:r>
        <w:rPr>
          <w:rFonts w:hint="eastAsia" w:ascii="宋体" w:hAnsi="宋体" w:eastAsia="宋体" w:cs="宋体"/>
          <w:sz w:val="24"/>
          <w:szCs w:val="24"/>
          <w:lang w:eastAsia="zh-CN"/>
        </w:rPr>
        <w:t>签署</w:t>
      </w:r>
      <w:r>
        <w:rPr>
          <w:rFonts w:hint="eastAsia" w:ascii="宋体" w:hAnsi="宋体" w:eastAsia="宋体" w:cs="宋体"/>
          <w:sz w:val="24"/>
          <w:szCs w:val="24"/>
        </w:rPr>
        <w:t>的指令，或被改变授权范围人员超权限</w:t>
      </w:r>
      <w:r>
        <w:rPr>
          <w:rFonts w:hint="eastAsia" w:ascii="宋体" w:hAnsi="宋体" w:eastAsia="宋体" w:cs="宋体"/>
          <w:sz w:val="24"/>
          <w:szCs w:val="24"/>
          <w:lang w:eastAsia="zh-CN"/>
        </w:rPr>
        <w:t>签署</w:t>
      </w:r>
      <w:r>
        <w:rPr>
          <w:rFonts w:hint="eastAsia" w:ascii="宋体" w:hAnsi="宋体" w:eastAsia="宋体" w:cs="宋体"/>
          <w:sz w:val="24"/>
          <w:szCs w:val="24"/>
        </w:rPr>
        <w:t>的指令，托管人不予执行。</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5.1.3</w:t>
      </w:r>
      <w:r>
        <w:rPr>
          <w:rFonts w:hint="eastAsia" w:ascii="宋体" w:hAnsi="宋体" w:eastAsia="宋体" w:cs="宋体"/>
          <w:color w:val="auto"/>
          <w:sz w:val="24"/>
          <w:highlight w:val="none"/>
        </w:rPr>
        <w:t>授权文件生效之后，托管人按照其收到的授权文件内容执行有关业务，</w:t>
      </w:r>
      <w:r>
        <w:rPr>
          <w:rFonts w:hint="eastAsia" w:ascii="宋体" w:hAnsi="宋体" w:eastAsia="宋体" w:cs="宋体"/>
          <w:sz w:val="24"/>
          <w:szCs w:val="24"/>
        </w:rPr>
        <w:t>管理人应确保授权文件原件与托管人收到的文件一致，若不一致则以托管人收到的文件为准。托管人对授权文件负有保密义务，其内容不得向被授权人及相关操作人员以外的任何人泄露</w:t>
      </w:r>
      <w:r>
        <w:rPr>
          <w:rFonts w:hint="eastAsia" w:ascii="宋体" w:hAnsi="宋体" w:eastAsia="宋体" w:cs="宋体"/>
          <w:color w:val="000000"/>
          <w:sz w:val="24"/>
          <w:szCs w:val="24"/>
        </w:rPr>
        <w:t>，但法律法规规定或有权机关要求的除外</w:t>
      </w:r>
      <w:r>
        <w:rPr>
          <w:rFonts w:hint="eastAsia" w:ascii="宋体" w:hAnsi="宋体" w:eastAsia="宋体" w:cs="宋体"/>
          <w:sz w:val="24"/>
          <w:szCs w:val="24"/>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5.1.4对于经本协议约定的授权程序授权后被授权人在授权权限内发出的指令，管理人不得否认其效力。托管人收到管理人发出的被授权人终止或更换书面通知生效之前，所接收的原被授权人所签发的划款指令及其它文件仍然完全有效。</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5.2 划款指令的内容和权限范围</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5.2.1 划款指令的内容</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color w:val="auto"/>
          <w:sz w:val="24"/>
          <w:highlight w:val="none"/>
        </w:rPr>
        <w:t>划款指令是管理人在运用资产管理计划财产时，向托管人发</w:t>
      </w:r>
      <w:r>
        <w:rPr>
          <w:rFonts w:hint="eastAsia" w:ascii="宋体" w:hAnsi="宋体" w:eastAsia="宋体" w:cs="宋体"/>
          <w:color w:val="auto"/>
          <w:sz w:val="24"/>
          <w:highlight w:val="none"/>
          <w:lang w:eastAsia="zh-CN"/>
        </w:rPr>
        <w:t>送</w:t>
      </w:r>
      <w:r>
        <w:rPr>
          <w:rFonts w:hint="eastAsia" w:ascii="宋体" w:hAnsi="宋体" w:eastAsia="宋体" w:cs="宋体"/>
          <w:color w:val="auto"/>
          <w:sz w:val="24"/>
          <w:highlight w:val="none"/>
        </w:rPr>
        <w:t>的资金划拨及其他款项支付的划款指令。管理人发给托管人的划款指令应写明款项事由、支付时间、到账时间、金额、收付款账户信息等，按授权文件加盖预留印鉴及被授权人签名。</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管理人还应提供资金用途说明文件作为划款指令的附件，以保证托管人有足够的依据确认划款指令的有效性。资金用途说明文件包括但不限于相关投资合约及其他相关凭证，相关投资合约是管理人在运用理财资金时，向托管人提供的证明其合格投资的相关文件。若管理人提供的资金用途说明文件为复印件，则也应加盖预留印鉴。 </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5.2.2 划款指令的权限范围</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对于管理人提交的划款指令，托管人仅执行下述类型的操作：</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（1）办理托管账户向理财专用资金账户的资金划转；</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（2）根据本协议约定办理应由理财产品承担的各项费用的划拨；</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（3）向管理人提供的理财产品收益分配账户划拨理财产品利益，托管人</w:t>
      </w:r>
      <w:r>
        <w:rPr>
          <w:rFonts w:hint="eastAsia" w:ascii="宋体" w:hAnsi="宋体" w:eastAsia="宋体" w:cs="宋体"/>
          <w:kern w:val="0"/>
          <w:sz w:val="24"/>
          <w:szCs w:val="24"/>
          <w:lang w:val="en-US"/>
        </w:rPr>
        <w:t>不</w:t>
      </w:r>
      <w:r>
        <w:rPr>
          <w:rFonts w:hint="eastAsia" w:ascii="宋体" w:hAnsi="宋体" w:eastAsia="宋体" w:cs="宋体"/>
          <w:kern w:val="0"/>
          <w:sz w:val="24"/>
          <w:szCs w:val="24"/>
        </w:rPr>
        <w:t>负责核实理财产品收益分配账户的真实性、准确性；</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（4）</w:t>
      </w:r>
      <w:r>
        <w:rPr>
          <w:rFonts w:hint="eastAsia" w:ascii="宋体" w:hAnsi="宋体" w:eastAsia="宋体" w:cs="宋体"/>
          <w:kern w:val="0"/>
          <w:sz w:val="24"/>
          <w:szCs w:val="24"/>
        </w:rPr>
        <w:t>根据本协议约定对本理财产品资金进行场外投资管理、运用、处置，该项划款指令必须附带相关投资合约（复印件加盖管理人</w:t>
      </w:r>
      <w:r>
        <w:rPr>
          <w:rFonts w:hint="eastAsia" w:ascii="宋体" w:hAnsi="宋体" w:eastAsia="宋体" w:cs="宋体"/>
          <w:sz w:val="24"/>
          <w:szCs w:val="24"/>
        </w:rPr>
        <w:t>预留印鉴</w:t>
      </w:r>
      <w:r>
        <w:rPr>
          <w:rFonts w:hint="eastAsia" w:ascii="宋体" w:hAnsi="宋体" w:eastAsia="宋体" w:cs="宋体"/>
          <w:kern w:val="0"/>
          <w:sz w:val="24"/>
          <w:szCs w:val="24"/>
        </w:rPr>
        <w:t>）等方有效；</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（5）</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符合本协议约定的其他划款指令。 </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因托管人根据本款第</w:t>
      </w:r>
      <w:r>
        <w:rPr>
          <w:rFonts w:hint="eastAsia" w:ascii="宋体" w:hAnsi="宋体" w:eastAsia="宋体" w:cs="宋体"/>
          <w:sz w:val="24"/>
          <w:szCs w:val="24"/>
        </w:rPr>
        <w:t>5.2.2项第（1）目</w:t>
      </w:r>
      <w:r>
        <w:rPr>
          <w:rFonts w:hint="eastAsia" w:ascii="宋体" w:hAnsi="宋体" w:eastAsia="宋体" w:cs="宋体"/>
          <w:kern w:val="0"/>
          <w:sz w:val="24"/>
          <w:szCs w:val="24"/>
        </w:rPr>
        <w:t>至第</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（5） 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rPr>
        <w:t>目约定合理执行管理人的划款指令而产生的费用，除特别说明外，由理财产品承担，管理人有义务确保在理财产品合同中有此约定。</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 xml:space="preserve">5.3 </w:t>
      </w:r>
      <w:r>
        <w:rPr>
          <w:rFonts w:hint="eastAsia" w:ascii="宋体" w:hAnsi="宋体" w:eastAsia="宋体" w:cs="宋体"/>
          <w:sz w:val="24"/>
          <w:szCs w:val="24"/>
        </w:rPr>
        <w:t>划款指令的发送、确认和执行</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5.3.1 划款指令的发送</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划款指令的发送需由管理人有权发送指令人员操作，采用</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xml:space="preserve"> </w:t>
      </w:r>
      <w:r>
        <w:rPr>
          <w:rFonts w:hint="eastAsia" w:ascii="宋体" w:hAnsi="宋体" w:eastAsia="宋体" w:cs="宋体"/>
          <w:sz w:val="24"/>
          <w:szCs w:val="24"/>
          <w:u w:val="single"/>
          <w:shd w:val="clear" w:color="FFFFFF" w:fill="D9D9D9"/>
          <w:lang w:eastAsia="zh-CN"/>
        </w:rPr>
        <w:t>资产托管业务运营平台（</w:t>
      </w:r>
      <w:r>
        <w:rPr>
          <w:rFonts w:hint="eastAsia" w:ascii="宋体" w:hAnsi="宋体" w:eastAsia="宋体" w:cs="宋体"/>
          <w:sz w:val="24"/>
          <w:szCs w:val="24"/>
          <w:u w:val="single"/>
          <w:shd w:val="clear" w:color="FFFFFF" w:fill="D9D9D9"/>
          <w:lang w:val="en-US" w:eastAsia="zh-CN"/>
        </w:rPr>
        <w:t>E-COS）</w:t>
      </w:r>
      <w:r>
        <w:rPr>
          <w:rFonts w:hint="eastAsia" w:ascii="宋体" w:hAnsi="宋体" w:eastAsia="宋体" w:cs="宋体"/>
          <w:sz w:val="24"/>
          <w:szCs w:val="24"/>
          <w:u w:val="single"/>
          <w:shd w:val="clear" w:color="FFFFFF" w:fill="D9D9D9"/>
        </w:rPr>
        <w:t>、</w:t>
      </w:r>
      <w:r>
        <w:rPr>
          <w:rFonts w:hint="eastAsia" w:ascii="宋体" w:hAnsi="宋体" w:eastAsia="宋体" w:cs="宋体"/>
          <w:sz w:val="24"/>
          <w:szCs w:val="24"/>
          <w:u w:val="single"/>
          <w:shd w:val="clear" w:color="FFFFFF" w:fill="D9D9D9"/>
          <w:lang w:eastAsia="zh-CN"/>
        </w:rPr>
        <w:t>托管网银、</w:t>
      </w:r>
      <w:r>
        <w:rPr>
          <w:rFonts w:hint="eastAsia" w:ascii="宋体" w:hAnsi="宋体" w:eastAsia="宋体" w:cs="宋体"/>
          <w:sz w:val="24"/>
          <w:szCs w:val="24"/>
          <w:u w:val="single"/>
          <w:shd w:val="clear" w:color="FFFFFF" w:fill="D9D9D9"/>
        </w:rPr>
        <w:t>传真、电子邮件或其他双方书面认可的方式</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向托管人发送。管理人应在</w:t>
      </w:r>
      <w:bookmarkStart w:id="38" w:name="Text6"/>
      <w:r>
        <w:rPr>
          <w:rFonts w:hint="eastAsia" w:ascii="宋体" w:hAnsi="宋体" w:eastAsia="宋体" w:cs="宋体"/>
          <w:sz w:val="24"/>
          <w:szCs w:val="24"/>
        </w:rPr>
        <w:fldChar w:fldCharType="begin">
          <w:ffData>
            <w:name w:val="Text6"/>
            <w:enabled/>
            <w:calcOnExit w:val="0"/>
            <w:textInput>
              <w:default w:val="理财产品起息"/>
            </w:textInput>
          </w:ffData>
        </w:fldChar>
      </w:r>
      <w:r>
        <w:rPr>
          <w:rFonts w:hint="eastAsia" w:ascii="宋体" w:hAnsi="宋体" w:eastAsia="宋体" w:cs="宋体"/>
          <w:sz w:val="24"/>
          <w:szCs w:val="24"/>
        </w:rPr>
        <w:instrText xml:space="preserve">FORMTEXT</w:instrText>
      </w:r>
      <w:r>
        <w:rPr>
          <w:rFonts w:hint="eastAsia" w:ascii="宋体" w:hAnsi="宋体" w:eastAsia="宋体" w:cs="宋体"/>
          <w:sz w:val="24"/>
          <w:szCs w:val="24"/>
        </w:rPr>
        <w:fldChar w:fldCharType="separate"/>
      </w:r>
      <w:r>
        <w:rPr>
          <w:rFonts w:hint="eastAsia" w:ascii="宋体" w:hAnsi="宋体" w:eastAsia="宋体" w:cs="宋体"/>
          <w:sz w:val="24"/>
          <w:szCs w:val="24"/>
        </w:rPr>
        <w:t>理财产品起息</w:t>
      </w:r>
      <w:r>
        <w:rPr>
          <w:rFonts w:hint="eastAsia" w:ascii="宋体" w:hAnsi="宋体" w:eastAsia="宋体" w:cs="宋体"/>
          <w:sz w:val="24"/>
          <w:szCs w:val="24"/>
        </w:rPr>
        <w:fldChar w:fldCharType="end"/>
      </w:r>
      <w:bookmarkEnd w:id="38"/>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当日中午12：00 </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sz w:val="24"/>
          <w:szCs w:val="24"/>
        </w:rPr>
        <w:t>前向托管人发送资金划款指令（见</w:t>
      </w:r>
      <w:r>
        <w:rPr>
          <w:rFonts w:hint="eastAsia" w:ascii="宋体" w:hAnsi="宋体" w:eastAsia="宋体" w:cs="宋体"/>
          <w:sz w:val="24"/>
          <w:szCs w:val="24"/>
          <w:lang w:eastAsia="zh-CN"/>
        </w:rPr>
        <w:t>附件三</w:t>
      </w:r>
      <w:r>
        <w:rPr>
          <w:rFonts w:hint="eastAsia" w:ascii="宋体" w:hAnsi="宋体" w:eastAsia="宋体" w:cs="宋体"/>
          <w:sz w:val="24"/>
          <w:szCs w:val="24"/>
        </w:rPr>
        <w:t>），并保证将理财产品募集资金在划款</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 当日中午12：00 </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sz w:val="24"/>
          <w:szCs w:val="24"/>
        </w:rPr>
        <w:t>前到达托管账户账下。在理财产品到期收益分配时，管理人应在划款</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 当日中午12：00 </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sz w:val="24"/>
          <w:szCs w:val="24"/>
        </w:rPr>
        <w:t>前出具划款指令，并保证到期分配资金在</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 当日中午12：00 </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sz w:val="24"/>
          <w:szCs w:val="24"/>
        </w:rPr>
        <w:t>前到达托管账户账下。否则由此产生的任何损失，托管人不承担任何责任。托管人在收到有效指令后，将对于同一批次的划款指令随机执行，如有特殊支付顺序，管理人应以书面形式提前告知。</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  划款指令执行日累计金额超过人民币1亿元，原则上管理人应提前一个工作日告知托管人，如当日有相关资金安排，需及时与托管人沟通。 </w:t>
      </w:r>
      <w:r>
        <w:rPr>
          <w:rFonts w:hint="eastAsia" w:ascii="宋体" w:hAnsi="宋体" w:eastAsia="宋体" w:cs="宋体"/>
          <w:sz w:val="24"/>
          <w:szCs w:val="24"/>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管理人应按照本协议的约定，在其合法的经营权限和交易权限内</w:t>
      </w:r>
      <w:r>
        <w:rPr>
          <w:rFonts w:hint="eastAsia" w:ascii="宋体" w:hAnsi="宋体" w:eastAsia="宋体" w:cs="宋体"/>
          <w:kern w:val="0"/>
          <w:sz w:val="24"/>
          <w:szCs w:val="24"/>
          <w:lang w:eastAsia="zh-CN"/>
        </w:rPr>
        <w:t>签署</w:t>
      </w:r>
      <w:r>
        <w:rPr>
          <w:rFonts w:hint="eastAsia" w:ascii="宋体" w:hAnsi="宋体" w:eastAsia="宋体" w:cs="宋体"/>
          <w:kern w:val="0"/>
          <w:sz w:val="24"/>
          <w:szCs w:val="24"/>
        </w:rPr>
        <w:t>划款指令。指令的发送需由被授权人操作，同时被授权人应严格按照其授权权限发送指令。</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5.3.2 划款指令的确认</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资金划款指令发出后，管理人应及时</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xml:space="preserve"> 以电话方式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rPr>
        <w:t>通知托管人并确认收妥，并对该指令的内容（包括但不限于划款时间、资金规模、付/收款人名称、付/收款人账号、付/收款人开户行、资金用途等）进行核对。</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5.3.3 划款指令的执行</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对于来自管理人的划款指令，托管人进行表面一致性审核：</w:t>
      </w:r>
      <w:r>
        <w:rPr>
          <w:rFonts w:hint="eastAsia" w:ascii="宋体" w:hAnsi="宋体" w:cs="宋体"/>
          <w:kern w:val="0"/>
          <w:sz w:val="24"/>
          <w:szCs w:val="24"/>
          <w:lang w:val="en-US" w:eastAsia="zh-Hans"/>
        </w:rPr>
        <w:t>包括但不限于</w:t>
      </w:r>
      <w:r>
        <w:rPr>
          <w:rFonts w:hint="eastAsia" w:ascii="宋体" w:hAnsi="宋体" w:eastAsia="宋体" w:cs="宋体"/>
          <w:kern w:val="0"/>
          <w:sz w:val="24"/>
          <w:szCs w:val="24"/>
        </w:rPr>
        <w:t>资金划款指令要素是否齐全；印鉴和签名是否与授权文件相符；指令是否违反法律法规及本协议；管理人提交的其他相关材料是否与划款指令表面相符。</w:t>
      </w:r>
    </w:p>
    <w:p>
      <w:pPr>
        <w:tabs>
          <w:tab w:val="right" w:leader="dot" w:pos="284"/>
          <w:tab w:val="left" w:pos="1455"/>
        </w:tabs>
        <w:spacing w:line="360" w:lineRule="auto"/>
        <w:ind w:firstLine="480" w:firstLineChars="200"/>
        <w:rPr>
          <w:rFonts w:hint="eastAsia" w:ascii="宋体" w:hAnsi="宋体" w:eastAsia="宋体" w:cs="宋体"/>
          <w:b/>
          <w:bCs/>
          <w:kern w:val="0"/>
          <w:sz w:val="24"/>
          <w:szCs w:val="24"/>
        </w:rPr>
      </w:pPr>
      <w:r>
        <w:rPr>
          <w:rFonts w:hint="eastAsia" w:ascii="宋体" w:hAnsi="宋体" w:eastAsia="宋体" w:cs="宋体"/>
          <w:kern w:val="0"/>
          <w:sz w:val="24"/>
          <w:szCs w:val="24"/>
        </w:rPr>
        <w:t>托管人审</w:t>
      </w:r>
      <w:r>
        <w:rPr>
          <w:rFonts w:hint="eastAsia" w:ascii="宋体" w:hAnsi="宋体" w:eastAsia="宋体" w:cs="宋体"/>
          <w:sz w:val="24"/>
          <w:szCs w:val="24"/>
        </w:rPr>
        <w:t>核无误后</w:t>
      </w:r>
      <w:r>
        <w:rPr>
          <w:rFonts w:hint="eastAsia" w:ascii="宋体" w:hAnsi="宋体" w:eastAsia="宋体" w:cs="宋体"/>
          <w:kern w:val="0"/>
          <w:sz w:val="24"/>
          <w:szCs w:val="24"/>
        </w:rPr>
        <w:t>，应按照划款指令的要求及时执行，不得延误。若管理人下达的指令不符合上述表面一致性的要求，由托管人通知管理人及时更正，因此未能及时划款而造成的理财财产的损失，由管理人承担责任，与托管人无关。托管人仅对管理人提交的划款指令按照本协议的约定进行表面一致性审查，其同时提交的其他文件资料托管人仅用于保存，不负责审查，管理人应保证上述划款指令和文件资料合法、真实、完整、准确和有效。</w:t>
      </w:r>
      <w:bookmarkStart w:id="39" w:name="_Hlk57851598"/>
      <w:r>
        <w:rPr>
          <w:rFonts w:hint="eastAsia" w:ascii="宋体" w:hAnsi="宋体" w:eastAsia="宋体" w:cs="宋体"/>
          <w:b/>
          <w:bCs/>
          <w:kern w:val="0"/>
          <w:sz w:val="24"/>
          <w:szCs w:val="24"/>
        </w:rPr>
        <w:t>托管人不负责审查上述文件资料的合法性、真实性、完整性和有效性，不承担由于上述文件不合法、不真实、不完整或失去效力而造成的任何损失。</w:t>
      </w:r>
      <w:bookmarkEnd w:id="39"/>
    </w:p>
    <w:p>
      <w:pPr>
        <w:tabs>
          <w:tab w:val="right" w:leader="dot" w:pos="284"/>
          <w:tab w:val="left" w:pos="1455"/>
        </w:tabs>
        <w:spacing w:line="360" w:lineRule="auto"/>
        <w:ind w:firstLine="482" w:firstLineChars="200"/>
        <w:rPr>
          <w:rFonts w:hint="eastAsia" w:ascii="宋体" w:hAnsi="宋体" w:eastAsia="宋体" w:cs="宋体"/>
          <w:kern w:val="0"/>
          <w:sz w:val="24"/>
          <w:szCs w:val="24"/>
        </w:rPr>
      </w:pPr>
      <w:r>
        <w:rPr>
          <w:rFonts w:hint="eastAsia" w:ascii="宋体" w:hAnsi="宋体" w:eastAsia="宋体" w:cs="宋体"/>
          <w:b/>
          <w:bCs/>
          <w:kern w:val="0"/>
          <w:sz w:val="24"/>
          <w:szCs w:val="24"/>
        </w:rPr>
        <w:t>如果管理人的划款指令存在事实上未经授权、欺诈、伪造等非托管人原因造成的情形，只要托管人根据本协议相关约定表面验证有关印鉴与签名无误，托管人不承担因执行有关指令而给管理人、理财财产或任何第三人带来的损失，全部责任由管理人自行承担。</w:t>
      </w:r>
    </w:p>
    <w:p>
      <w:pPr>
        <w:tabs>
          <w:tab w:val="right" w:leader="dot" w:pos="284"/>
          <w:tab w:val="left" w:pos="1455"/>
        </w:tabs>
        <w:spacing w:line="360" w:lineRule="auto"/>
        <w:ind w:firstLine="480" w:firstLineChars="200"/>
        <w:rPr>
          <w:rFonts w:hint="eastAsia" w:ascii="宋体" w:hAnsi="宋体" w:eastAsia="宋体" w:cs="宋体"/>
          <w:b/>
          <w:bCs/>
          <w:kern w:val="0"/>
          <w:sz w:val="24"/>
          <w:szCs w:val="24"/>
        </w:rPr>
      </w:pPr>
      <w:r>
        <w:rPr>
          <w:rFonts w:hint="eastAsia" w:ascii="宋体" w:hAnsi="宋体" w:cs="宋体"/>
          <w:kern w:val="0"/>
          <w:sz w:val="24"/>
          <w:szCs w:val="24"/>
          <w:lang w:val="en-US" w:eastAsia="zh-Hans"/>
        </w:rPr>
        <w:t>除本协议</w:t>
      </w:r>
      <w:r>
        <w:rPr>
          <w:rFonts w:hint="eastAsia" w:ascii="宋体" w:hAnsi="宋体" w:eastAsia="宋体" w:cs="宋体"/>
          <w:kern w:val="0"/>
          <w:sz w:val="24"/>
          <w:szCs w:val="24"/>
        </w:rPr>
        <w:t>5.3.1</w:t>
      </w:r>
      <w:r>
        <w:rPr>
          <w:rFonts w:hint="eastAsia" w:ascii="宋体" w:hAnsi="宋体" w:cs="宋体"/>
          <w:kern w:val="0"/>
          <w:sz w:val="24"/>
          <w:szCs w:val="24"/>
          <w:lang w:val="en-US" w:eastAsia="zh-Hans"/>
        </w:rPr>
        <w:t>约定的情形外，</w:t>
      </w:r>
      <w:r>
        <w:rPr>
          <w:rFonts w:hint="eastAsia" w:ascii="宋体" w:hAnsi="宋体" w:eastAsia="宋体" w:cs="宋体"/>
          <w:kern w:val="0"/>
          <w:sz w:val="24"/>
          <w:szCs w:val="24"/>
        </w:rPr>
        <w:t xml:space="preserve"> 管理人向托管人发送资金划款指令时，应</w:t>
      </w:r>
      <w:r>
        <w:rPr>
          <w:rFonts w:hint="eastAsia" w:ascii="宋体" w:hAnsi="宋体" w:eastAsia="宋体" w:cs="宋体"/>
          <w:color w:val="000000"/>
          <w:kern w:val="0"/>
          <w:sz w:val="24"/>
          <w:szCs w:val="24"/>
        </w:rPr>
        <w:t>为托管人留出执行划款指令所必需的时间。</w:t>
      </w:r>
      <w:r>
        <w:rPr>
          <w:rFonts w:hint="eastAsia" w:ascii="宋体" w:hAnsi="宋体" w:eastAsia="宋体" w:cs="宋体"/>
          <w:kern w:val="0"/>
          <w:sz w:val="24"/>
          <w:szCs w:val="24"/>
        </w:rPr>
        <w:t>对于需要当日到账的资金划转，管理人应于划款当日</w:t>
      </w:r>
      <w:r>
        <w:rPr>
          <w:rFonts w:hint="eastAsia" w:ascii="宋体" w:hAnsi="宋体" w:eastAsia="宋体" w:cs="宋体"/>
          <w:color w:val="000000"/>
          <w:kern w:val="0"/>
          <w:sz w:val="24"/>
          <w:szCs w:val="24"/>
        </w:rPr>
        <w:t>提前</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 2 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color w:val="000000"/>
          <w:kern w:val="0"/>
          <w:sz w:val="24"/>
          <w:szCs w:val="24"/>
        </w:rPr>
        <w:t>个工作小时且不晚于</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 15:00 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rPr>
        <w:t>前向托管人发送划款指令，如有特殊情况，双方协商解决，</w:t>
      </w:r>
      <w:r>
        <w:rPr>
          <w:rFonts w:hint="eastAsia" w:ascii="宋体" w:hAnsi="宋体" w:eastAsia="宋体" w:cs="宋体"/>
          <w:b/>
          <w:bCs/>
          <w:kern w:val="0"/>
          <w:sz w:val="24"/>
          <w:szCs w:val="24"/>
        </w:rPr>
        <w:t>但托管人不承担因管理人未能留出本协议约定合理时间而导致托管人不能按本协议约定执行指令所造成的任何损失和责任。</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color w:val="000000"/>
          <w:kern w:val="0"/>
          <w:sz w:val="24"/>
          <w:szCs w:val="24"/>
        </w:rPr>
        <w:t>管理人向托管人发送划款指令时，应确保托管账户有足够的资金余额。</w:t>
      </w:r>
      <w:r>
        <w:rPr>
          <w:rFonts w:hint="eastAsia" w:ascii="宋体" w:hAnsi="宋体" w:eastAsia="宋体" w:cs="宋体"/>
          <w:b/>
          <w:bCs/>
          <w:kern w:val="0"/>
          <w:sz w:val="24"/>
          <w:szCs w:val="24"/>
        </w:rPr>
        <w:t>对于超</w:t>
      </w:r>
      <w:r>
        <w:rPr>
          <w:rFonts w:hint="eastAsia" w:ascii="宋体" w:hAnsi="宋体" w:eastAsia="宋体" w:cs="宋体"/>
          <w:b/>
          <w:bCs/>
          <w:color w:val="000000"/>
          <w:kern w:val="0"/>
          <w:sz w:val="24"/>
          <w:szCs w:val="24"/>
        </w:rPr>
        <w:t>过托管账户资金余额的</w:t>
      </w:r>
      <w:r>
        <w:rPr>
          <w:rFonts w:hint="eastAsia" w:ascii="宋体" w:hAnsi="宋体" w:eastAsia="宋体" w:cs="宋体"/>
          <w:b/>
          <w:bCs/>
          <w:kern w:val="0"/>
          <w:sz w:val="24"/>
          <w:szCs w:val="24"/>
        </w:rPr>
        <w:t>资金划款指令，托管人有权拒绝执行，但应及时通知管理人，并视账户余额充足时为指令送达时间，由此造成的损失托管人不承担任何形式的责任；由于第三方原因造成资金不能按时到账的，托管人免责，但托管人有义务在发现此等情形后及时通知管理人</w:t>
      </w:r>
      <w:r>
        <w:rPr>
          <w:rFonts w:hint="eastAsia" w:ascii="宋体" w:hAnsi="宋体" w:cs="宋体"/>
          <w:b/>
          <w:bCs/>
          <w:kern w:val="0"/>
          <w:sz w:val="24"/>
          <w:szCs w:val="24"/>
          <w:lang w:eastAsia="zh-Hans"/>
        </w:rPr>
        <w:t>，</w:t>
      </w:r>
      <w:r>
        <w:rPr>
          <w:rFonts w:hint="eastAsia" w:ascii="宋体" w:hAnsi="宋体" w:cs="宋体"/>
          <w:b/>
          <w:bCs/>
          <w:kern w:val="0"/>
          <w:sz w:val="24"/>
          <w:szCs w:val="24"/>
          <w:lang w:val="en-US" w:eastAsia="zh-Hans"/>
        </w:rPr>
        <w:t>对于上述情形，托管人错在过错的除外。</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管理人应在进行银行间同业市场交易后及时将交易成交单加盖预留印鉴后及时</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xml:space="preserve"> </w:t>
      </w:r>
      <w:r>
        <w:rPr>
          <w:rFonts w:hint="eastAsia" w:ascii="宋体" w:hAnsi="宋体" w:eastAsia="宋体" w:cs="宋体"/>
          <w:sz w:val="24"/>
          <w:szCs w:val="24"/>
          <w:u w:val="single"/>
          <w:shd w:val="clear" w:color="FFFFFF" w:fill="D9D9D9"/>
          <w:lang w:eastAsia="zh-CN"/>
        </w:rPr>
        <w:t>资产托管业务运营平台（</w:t>
      </w:r>
      <w:r>
        <w:rPr>
          <w:rFonts w:hint="eastAsia" w:ascii="宋体" w:hAnsi="宋体" w:eastAsia="宋体" w:cs="宋体"/>
          <w:sz w:val="24"/>
          <w:szCs w:val="24"/>
          <w:u w:val="single"/>
          <w:shd w:val="clear" w:color="FFFFFF" w:fill="D9D9D9"/>
          <w:lang w:val="en-US" w:eastAsia="zh-CN"/>
        </w:rPr>
        <w:t>E-COS）</w:t>
      </w:r>
      <w:r>
        <w:rPr>
          <w:rFonts w:hint="eastAsia" w:ascii="宋体" w:hAnsi="宋体" w:eastAsia="宋体" w:cs="宋体"/>
          <w:sz w:val="24"/>
          <w:szCs w:val="24"/>
          <w:u w:val="single"/>
          <w:shd w:val="clear" w:color="FFFFFF" w:fill="D9D9D9"/>
        </w:rPr>
        <w:t>、</w:t>
      </w:r>
      <w:r>
        <w:rPr>
          <w:rFonts w:hint="eastAsia" w:ascii="宋体" w:hAnsi="宋体" w:eastAsia="宋体" w:cs="宋体"/>
          <w:sz w:val="24"/>
          <w:szCs w:val="24"/>
          <w:u w:val="single"/>
          <w:shd w:val="clear" w:color="FFFFFF" w:fill="D9D9D9"/>
          <w:lang w:eastAsia="zh-CN"/>
        </w:rPr>
        <w:t>托管网银、</w:t>
      </w:r>
      <w:r>
        <w:rPr>
          <w:rFonts w:hint="eastAsia" w:ascii="宋体" w:hAnsi="宋体" w:eastAsia="宋体" w:cs="宋体"/>
          <w:sz w:val="24"/>
          <w:szCs w:val="24"/>
          <w:u w:val="single"/>
          <w:shd w:val="clear" w:color="FFFFFF" w:fill="D9D9D9"/>
        </w:rPr>
        <w:t>传真、电子邮件或其他双方书面认可的方式</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发送给托管人，并电话确认。如果不</w:t>
      </w:r>
      <w:bookmarkStart w:id="40" w:name="_Hlk57851696"/>
      <w:r>
        <w:rPr>
          <w:rFonts w:hint="eastAsia" w:ascii="宋体" w:hAnsi="宋体" w:eastAsia="宋体" w:cs="宋体"/>
          <w:sz w:val="24"/>
          <w:szCs w:val="24"/>
        </w:rPr>
        <w:t>再发送交易成交单</w:t>
      </w:r>
      <w:bookmarkEnd w:id="40"/>
      <w:r>
        <w:rPr>
          <w:rFonts w:hint="eastAsia" w:ascii="宋体" w:hAnsi="宋体" w:eastAsia="宋体" w:cs="宋体"/>
          <w:sz w:val="24"/>
          <w:szCs w:val="24"/>
        </w:rPr>
        <w:t>，管理人应出具加盖预留印鉴的函件说明不再出具交易成交单并与托管人确认接收该函件后起执行。如果银行间簿记系统已经生成的交易需要取消或终止，管理人要书面通知托管人，并根据相关登记公司的规定办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bookmarkStart w:id="41" w:name="_Hlk57851722"/>
      <w:r>
        <w:rPr>
          <w:rFonts w:hint="eastAsia" w:ascii="宋体" w:hAnsi="宋体" w:eastAsia="宋体" w:cs="宋体"/>
          <w:kern w:val="0"/>
          <w:sz w:val="24"/>
          <w:szCs w:val="24"/>
        </w:rPr>
        <w:t>本托管账户发生的银行结算费用、银行账户维护费等银行费用，托管人有权直接从托管账户中扣划，无须管理人另行出具划款指令。</w:t>
      </w:r>
      <w:bookmarkEnd w:id="41"/>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5.3.4 管理人发送错误划款指令的情形和处理程序</w:t>
      </w:r>
    </w:p>
    <w:p>
      <w:pPr>
        <w:tabs>
          <w:tab w:val="right" w:leader="dot" w:pos="284"/>
          <w:tab w:val="left" w:pos="1455"/>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管理人发送错误划款指令的情形包括违反法律法规、本协议以及划款指令</w:t>
      </w:r>
      <w:r>
        <w:rPr>
          <w:rFonts w:hint="eastAsia" w:ascii="宋体" w:hAnsi="宋体" w:eastAsia="宋体" w:cs="宋体"/>
          <w:color w:val="000000"/>
          <w:sz w:val="24"/>
          <w:szCs w:val="24"/>
          <w:lang w:eastAsia="zh-CN"/>
        </w:rPr>
        <w:t>签署</w:t>
      </w:r>
      <w:r>
        <w:rPr>
          <w:rFonts w:hint="eastAsia" w:ascii="宋体" w:hAnsi="宋体" w:eastAsia="宋体" w:cs="宋体"/>
          <w:color w:val="000000"/>
          <w:sz w:val="24"/>
          <w:szCs w:val="24"/>
        </w:rPr>
        <w:t>人员无权或超越权限</w:t>
      </w:r>
      <w:r>
        <w:rPr>
          <w:rFonts w:hint="eastAsia" w:ascii="宋体" w:hAnsi="宋体" w:eastAsia="宋体" w:cs="宋体"/>
          <w:color w:val="000000"/>
          <w:sz w:val="24"/>
          <w:szCs w:val="24"/>
          <w:lang w:eastAsia="zh-CN"/>
        </w:rPr>
        <w:t>签署</w:t>
      </w:r>
      <w:r>
        <w:rPr>
          <w:rFonts w:hint="eastAsia" w:ascii="宋体" w:hAnsi="宋体" w:eastAsia="宋体" w:cs="宋体"/>
          <w:color w:val="000000"/>
          <w:sz w:val="24"/>
          <w:szCs w:val="24"/>
        </w:rPr>
        <w:t>划款指令，划款指令中重要信息模糊不清或不全等。</w:t>
      </w:r>
      <w:bookmarkStart w:id="42" w:name="_Hlk8832507"/>
    </w:p>
    <w:p>
      <w:pPr>
        <w:tabs>
          <w:tab w:val="right" w:leader="dot" w:pos="284"/>
          <w:tab w:val="left" w:pos="1455"/>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管理人如需撤销或者更改已经发送的划款指令的，应先与托管人电话联系，若托管人还未执行，管理人应重新发送修改划款指令或在原划款指令上注明“停止执行”字样并由划款指令</w:t>
      </w:r>
      <w:r>
        <w:rPr>
          <w:rFonts w:hint="eastAsia" w:ascii="宋体" w:hAnsi="宋体" w:eastAsia="宋体" w:cs="宋体"/>
          <w:color w:val="000000"/>
          <w:sz w:val="24"/>
          <w:szCs w:val="24"/>
          <w:lang w:eastAsia="zh-CN"/>
        </w:rPr>
        <w:t>签署</w:t>
      </w:r>
      <w:r>
        <w:rPr>
          <w:rFonts w:hint="eastAsia" w:ascii="宋体" w:hAnsi="宋体" w:eastAsia="宋体" w:cs="宋体"/>
          <w:color w:val="000000"/>
          <w:sz w:val="24"/>
          <w:szCs w:val="24"/>
        </w:rPr>
        <w:t>人员签名，托管人收到修改或停止执行的划款指令后，将按新划款指令执行；若托管人已执行原划款指令，则应与管理人电话说明。</w:t>
      </w:r>
      <w:bookmarkEnd w:id="42"/>
      <w:r>
        <w:rPr>
          <w:rFonts w:hint="eastAsia" w:ascii="宋体" w:hAnsi="宋体" w:eastAsia="宋体" w:cs="宋体"/>
          <w:color w:val="000000"/>
          <w:sz w:val="24"/>
          <w:szCs w:val="24"/>
        </w:rPr>
        <w:t>如托管人已经执行完毕原指令的，因执行原指令造成的一切后果由管理人承担。</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5.4 托管人执行划款指令的责任</w:t>
      </w:r>
    </w:p>
    <w:p>
      <w:pPr>
        <w:tabs>
          <w:tab w:val="right" w:leader="dot" w:pos="284"/>
          <w:tab w:val="left" w:pos="1455"/>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5.4.1若因托管人未按管理人的划款指令执行，或在接受划款指令时未按第5.3.3项的要求对划款指令进行审核，致使理财财产受到损害，托管人应依照法律法规和本协议约定承担违约或侵权责任。</w:t>
      </w:r>
    </w:p>
    <w:p>
      <w:pPr>
        <w:tabs>
          <w:tab w:val="right" w:leader="dot" w:pos="284"/>
          <w:tab w:val="left" w:pos="1455"/>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5.4.2托管人不得在划款指令授权范围外从事相关资金划转活动，如托管人超越授权范围对托管账户的资金进行处理，由此造成的</w:t>
      </w:r>
      <w:r>
        <w:rPr>
          <w:rFonts w:hint="eastAsia" w:ascii="宋体" w:hAnsi="宋体" w:cs="宋体"/>
          <w:color w:val="000000"/>
          <w:sz w:val="24"/>
          <w:szCs w:val="24"/>
          <w:lang w:val="en-US" w:eastAsia="zh-Hans"/>
        </w:rPr>
        <w:t>全部</w:t>
      </w:r>
      <w:r>
        <w:rPr>
          <w:rFonts w:hint="eastAsia" w:ascii="宋体" w:hAnsi="宋体" w:eastAsia="宋体" w:cs="宋体"/>
          <w:color w:val="000000"/>
          <w:sz w:val="24"/>
          <w:szCs w:val="24"/>
        </w:rPr>
        <w:t>损失由托管人承担，由此产生的收益归理财财产所有。</w:t>
      </w:r>
    </w:p>
    <w:p>
      <w:pPr>
        <w:tabs>
          <w:tab w:val="right" w:leader="dot" w:pos="284"/>
          <w:tab w:val="left" w:pos="1455"/>
        </w:tabs>
        <w:spacing w:line="360" w:lineRule="auto"/>
        <w:ind w:firstLine="482" w:firstLineChars="200"/>
        <w:rPr>
          <w:rFonts w:hint="eastAsia" w:ascii="宋体" w:hAnsi="宋体" w:eastAsia="宋体" w:cs="宋体"/>
          <w:b/>
          <w:bCs/>
          <w:kern w:val="0"/>
          <w:sz w:val="24"/>
          <w:szCs w:val="24"/>
        </w:rPr>
      </w:pPr>
      <w:r>
        <w:rPr>
          <w:rFonts w:hint="eastAsia" w:ascii="宋体" w:hAnsi="宋体" w:eastAsia="宋体" w:cs="宋体"/>
          <w:b/>
          <w:bCs/>
          <w:color w:val="000000"/>
          <w:sz w:val="24"/>
          <w:szCs w:val="24"/>
        </w:rPr>
        <w:t>5.4.3确因不可抗力造成划款指令无法成功执行的，托管人不承担任何形式的责任</w:t>
      </w:r>
      <w:r>
        <w:rPr>
          <w:rFonts w:hint="eastAsia" w:ascii="宋体" w:hAnsi="宋体" w:cs="宋体"/>
          <w:b/>
          <w:bCs/>
          <w:color w:val="000000"/>
          <w:sz w:val="24"/>
          <w:szCs w:val="24"/>
          <w:lang w:eastAsia="zh-Hans"/>
        </w:rPr>
        <w:t>，</w:t>
      </w:r>
      <w:r>
        <w:rPr>
          <w:rFonts w:hint="eastAsia" w:ascii="宋体" w:hAnsi="宋体" w:cs="宋体"/>
          <w:b/>
          <w:bCs/>
          <w:color w:val="000000"/>
          <w:sz w:val="24"/>
          <w:szCs w:val="24"/>
          <w:lang w:val="en-US" w:eastAsia="zh-Hans"/>
        </w:rPr>
        <w:t>但</w:t>
      </w:r>
      <w:r>
        <w:rPr>
          <w:rFonts w:hint="eastAsia" w:ascii="宋体" w:hAnsi="宋体" w:cs="宋体"/>
          <w:b/>
          <w:bCs/>
          <w:color w:val="000000"/>
          <w:sz w:val="24"/>
          <w:szCs w:val="24"/>
          <w:lang w:eastAsia="zh-Hans"/>
        </w:rPr>
        <w:t>应及时通知</w:t>
      </w:r>
      <w:r>
        <w:rPr>
          <w:rFonts w:hint="eastAsia" w:ascii="宋体" w:hAnsi="宋体" w:cs="宋体"/>
          <w:b/>
          <w:bCs/>
          <w:color w:val="000000"/>
          <w:sz w:val="24"/>
          <w:szCs w:val="24"/>
          <w:lang w:val="en-US" w:eastAsia="zh-Hans"/>
        </w:rPr>
        <w:t>管理人</w:t>
      </w:r>
      <w:r>
        <w:rPr>
          <w:rFonts w:hint="eastAsia" w:ascii="宋体" w:hAnsi="宋体" w:cs="宋体"/>
          <w:b/>
          <w:bCs/>
          <w:color w:val="000000"/>
          <w:sz w:val="24"/>
          <w:szCs w:val="24"/>
          <w:lang w:eastAsia="zh-Hans"/>
        </w:rPr>
        <w:t>并在合理期限内提供受到不可抗力影响的证明，并采取适当措施防止对方损失的扩大和保护理财产品的完整</w:t>
      </w:r>
      <w:r>
        <w:rPr>
          <w:rFonts w:hint="eastAsia" w:ascii="宋体" w:hAnsi="宋体" w:eastAsia="宋体" w:cs="宋体"/>
          <w:b/>
          <w:bCs/>
          <w:color w:val="000000"/>
          <w:sz w:val="24"/>
          <w:szCs w:val="24"/>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5.5 划款指令的保管</w:t>
      </w:r>
    </w:p>
    <w:p>
      <w:pPr>
        <w:tabs>
          <w:tab w:val="right" w:leader="dot" w:pos="284"/>
          <w:tab w:val="left" w:pos="1455"/>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划款指令正本由管理人保管，托管人保管其收到的划款指令文件。当两者不一致时，以托管人收到的划款指令文件为准。</w:t>
      </w:r>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43" w:name="_Toc57797443"/>
      <w:bookmarkStart w:id="44" w:name="_Toc51421606"/>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45" w:name="_Toc29712"/>
      <w:r>
        <w:rPr>
          <w:rFonts w:hint="eastAsia" w:ascii="宋体" w:hAnsi="宋体" w:eastAsia="宋体" w:cs="宋体"/>
          <w:bCs w:val="0"/>
          <w:kern w:val="2"/>
          <w:sz w:val="24"/>
          <w:szCs w:val="24"/>
        </w:rPr>
        <w:t>第六条  交易及清算交收安排</w:t>
      </w:r>
      <w:bookmarkEnd w:id="35"/>
      <w:bookmarkEnd w:id="36"/>
      <w:bookmarkEnd w:id="43"/>
      <w:bookmarkEnd w:id="44"/>
      <w:bookmarkEnd w:id="45"/>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6.1场内交易清算</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管理人负责选择代理理财产品在交易所内进行证券买卖的证券经纪商，并承担相应责任。</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管理人、托管人以及被选择的证券经纪商另行签订《</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齐鲁银行泉心理财</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t>资金托管协议之证券投资操作备忘录</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t xml:space="preserve">  </w:t>
      </w:r>
      <w:r>
        <w:rPr>
          <w:rFonts w:hint="eastAsia" w:ascii="宋体" w:hAnsi="宋体" w:eastAsia="宋体" w:cs="宋体"/>
          <w:kern w:val="0"/>
          <w:sz w:val="24"/>
          <w:szCs w:val="24"/>
        </w:rPr>
        <w:t>》，明确三方在理财产品证券买卖的过程，即在证券交易所进行的各类证券交易、证券交收及相关证券交易的资金交收过程中的职责和义务，保障理财财产的安全。</w:t>
      </w:r>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6.1.1</w:t>
      </w:r>
      <w:r>
        <w:rPr>
          <w:rFonts w:hint="default" w:ascii="宋体" w:hAnsi="宋体" w:cs="宋体"/>
          <w:kern w:val="0"/>
          <w:sz w:val="24"/>
          <w:szCs w:val="24"/>
          <w:lang w:eastAsia="zh-CN"/>
        </w:rPr>
        <w:t>银行理财产品净值化转型及存量整改期间</w:t>
      </w:r>
      <w:r>
        <w:rPr>
          <w:rFonts w:hint="eastAsia" w:ascii="宋体" w:hAnsi="宋体" w:eastAsia="宋体" w:cs="宋体"/>
          <w:kern w:val="0"/>
          <w:sz w:val="24"/>
          <w:szCs w:val="24"/>
          <w:lang w:val="en-US" w:eastAsia="zh-CN"/>
        </w:rPr>
        <w:t>，如场内交易结算为净应付，则管理人</w:t>
      </w:r>
      <w:r>
        <w:rPr>
          <w:rFonts w:hint="eastAsia" w:ascii="宋体" w:hAnsi="宋体" w:cs="宋体"/>
          <w:kern w:val="0"/>
          <w:sz w:val="24"/>
          <w:szCs w:val="24"/>
          <w:lang w:val="en-US" w:eastAsia="zh-Hans"/>
        </w:rPr>
        <w:t>应针对</w:t>
      </w:r>
      <w:r>
        <w:rPr>
          <w:rFonts w:hint="eastAsia" w:ascii="宋体" w:hAnsi="宋体" w:eastAsia="宋体" w:cs="宋体"/>
          <w:kern w:val="0"/>
          <w:sz w:val="24"/>
          <w:szCs w:val="24"/>
          <w:lang w:val="en-US" w:eastAsia="zh-CN"/>
        </w:rPr>
        <w:t>每只</w:t>
      </w:r>
      <w:r>
        <w:rPr>
          <w:rFonts w:hint="eastAsia" w:ascii="宋体" w:hAnsi="宋体" w:cs="宋体"/>
          <w:kern w:val="0"/>
          <w:sz w:val="24"/>
          <w:szCs w:val="24"/>
          <w:lang w:val="en-US" w:eastAsia="zh-Hans"/>
        </w:rPr>
        <w:t>银行</w:t>
      </w:r>
      <w:r>
        <w:rPr>
          <w:rFonts w:hint="eastAsia" w:ascii="宋体" w:hAnsi="宋体" w:eastAsia="宋体" w:cs="宋体"/>
          <w:kern w:val="0"/>
          <w:sz w:val="24"/>
          <w:szCs w:val="24"/>
          <w:lang w:val="en-US" w:eastAsia="zh-CN"/>
        </w:rPr>
        <w:t>理财独立出具划款指令，将资金由对应理财产品的银行存款账户划付至过渡账户，由过渡户完成与证券资金账户间的交收。</w:t>
      </w:r>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6.1.2</w:t>
      </w:r>
      <w:r>
        <w:rPr>
          <w:rFonts w:hint="default" w:ascii="宋体" w:hAnsi="宋体" w:cs="宋体"/>
          <w:kern w:val="0"/>
          <w:sz w:val="24"/>
          <w:szCs w:val="24"/>
          <w:lang w:eastAsia="zh-CN"/>
        </w:rPr>
        <w:t>银行理财产品净值化转型及存量整改期间</w:t>
      </w:r>
      <w:r>
        <w:rPr>
          <w:rFonts w:hint="eastAsia" w:ascii="宋体" w:hAnsi="宋体" w:eastAsia="宋体" w:cs="宋体"/>
          <w:kern w:val="0"/>
          <w:sz w:val="24"/>
          <w:szCs w:val="24"/>
          <w:lang w:val="en-US" w:eastAsia="zh-CN"/>
        </w:rPr>
        <w:t>，如场内交易结算为净应收的，则管理人</w:t>
      </w:r>
      <w:r>
        <w:rPr>
          <w:rFonts w:hint="eastAsia" w:ascii="宋体" w:hAnsi="宋体" w:cs="宋体"/>
          <w:kern w:val="0"/>
          <w:sz w:val="24"/>
          <w:szCs w:val="24"/>
          <w:lang w:val="en-US" w:eastAsia="zh-Hans"/>
        </w:rPr>
        <w:t>应针对</w:t>
      </w:r>
      <w:r>
        <w:rPr>
          <w:rFonts w:hint="eastAsia" w:ascii="宋体" w:hAnsi="宋体" w:eastAsia="宋体" w:cs="宋体"/>
          <w:kern w:val="0"/>
          <w:sz w:val="24"/>
          <w:szCs w:val="24"/>
          <w:lang w:val="en-US" w:eastAsia="zh-CN"/>
        </w:rPr>
        <w:t>每只</w:t>
      </w:r>
      <w:r>
        <w:rPr>
          <w:rFonts w:hint="eastAsia" w:ascii="宋体" w:hAnsi="宋体" w:cs="宋体"/>
          <w:kern w:val="0"/>
          <w:sz w:val="24"/>
          <w:szCs w:val="24"/>
          <w:lang w:val="en-US" w:eastAsia="zh-Hans"/>
        </w:rPr>
        <w:t>银行</w:t>
      </w:r>
      <w:r>
        <w:rPr>
          <w:rFonts w:hint="eastAsia" w:ascii="宋体" w:hAnsi="宋体" w:eastAsia="宋体" w:cs="宋体"/>
          <w:kern w:val="0"/>
          <w:sz w:val="24"/>
          <w:szCs w:val="24"/>
          <w:lang w:val="en-US" w:eastAsia="zh-CN"/>
        </w:rPr>
        <w:t>理财独立出具划款指令，通过过渡户完成与证券资金账户间的交收后，将资金由过渡户划付至对应理财产品的银行存款账户。</w:t>
      </w:r>
    </w:p>
    <w:p>
      <w:pPr>
        <w:tabs>
          <w:tab w:val="right" w:leader="dot" w:pos="284"/>
          <w:tab w:val="left" w:pos="1455"/>
        </w:tabs>
        <w:spacing w:line="360" w:lineRule="auto"/>
        <w:ind w:firstLine="480" w:firstLineChars="200"/>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6.1.3以上资金划付关系</w:t>
      </w:r>
      <w:r>
        <w:rPr>
          <w:rFonts w:hint="eastAsia" w:ascii="宋体" w:hAnsi="宋体" w:cs="宋体"/>
          <w:kern w:val="0"/>
          <w:sz w:val="24"/>
          <w:szCs w:val="24"/>
          <w:lang w:val="en-US" w:eastAsia="zh-Hans"/>
        </w:rPr>
        <w:t>以</w:t>
      </w:r>
      <w:r>
        <w:rPr>
          <w:rFonts w:hint="eastAsia" w:ascii="宋体" w:hAnsi="宋体" w:eastAsia="宋体" w:cs="宋体"/>
          <w:kern w:val="0"/>
          <w:sz w:val="24"/>
          <w:szCs w:val="24"/>
          <w:lang w:val="en-US" w:eastAsia="zh-CN"/>
        </w:rPr>
        <w:t>管理人出具的划款指令为准</w:t>
      </w:r>
      <w:r>
        <w:rPr>
          <w:rFonts w:hint="eastAsia" w:ascii="宋体" w:hAnsi="宋体" w:cs="宋体"/>
          <w:kern w:val="0"/>
          <w:sz w:val="24"/>
          <w:szCs w:val="24"/>
          <w:lang w:val="en-US" w:eastAsia="zh-Hans"/>
        </w:rPr>
        <w:t>，托管人进行监督</w:t>
      </w:r>
      <w:r>
        <w:rPr>
          <w:rFonts w:hint="eastAsia" w:ascii="宋体" w:hAnsi="宋体" w:eastAsia="宋体" w:cs="宋体"/>
          <w:kern w:val="0"/>
          <w:sz w:val="24"/>
          <w:szCs w:val="24"/>
          <w:lang w:val="en-US" w:eastAsia="zh-CN"/>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6.2非交易所交易资金清算</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托管人凭管理人有效划款指令和相关</w:t>
      </w:r>
      <w:bookmarkStart w:id="46" w:name="_Hlk57853201"/>
      <w:r>
        <w:rPr>
          <w:rFonts w:hint="eastAsia" w:ascii="宋体" w:hAnsi="宋体" w:eastAsia="宋体" w:cs="宋体"/>
          <w:kern w:val="0"/>
          <w:sz w:val="24"/>
          <w:szCs w:val="24"/>
        </w:rPr>
        <w:t>资金用途说明文件</w:t>
      </w:r>
      <w:bookmarkEnd w:id="46"/>
      <w:r>
        <w:rPr>
          <w:rFonts w:hint="eastAsia" w:ascii="宋体" w:hAnsi="宋体" w:eastAsia="宋体" w:cs="宋体"/>
          <w:kern w:val="0"/>
          <w:sz w:val="24"/>
          <w:szCs w:val="24"/>
        </w:rPr>
        <w:t>（如有）进行资金划拨。</w:t>
      </w:r>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6.2.1银行间债券交易</w:t>
      </w:r>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6.2.1.1</w:t>
      </w:r>
      <w:r>
        <w:rPr>
          <w:rFonts w:hint="default" w:ascii="宋体" w:hAnsi="宋体" w:cs="宋体"/>
          <w:kern w:val="0"/>
          <w:sz w:val="24"/>
          <w:szCs w:val="24"/>
          <w:lang w:eastAsia="zh-CN"/>
        </w:rPr>
        <w:t>银行理财产品净值化转型及存量整改期间</w:t>
      </w:r>
      <w:r>
        <w:rPr>
          <w:rFonts w:hint="eastAsia" w:ascii="宋体" w:hAnsi="宋体" w:eastAsia="宋体" w:cs="宋体"/>
          <w:kern w:val="0"/>
          <w:sz w:val="24"/>
          <w:szCs w:val="24"/>
          <w:lang w:val="en-US" w:eastAsia="zh-CN"/>
        </w:rPr>
        <w:t>，如银行间债券交易结算为净应付时，则管理人</w:t>
      </w:r>
      <w:r>
        <w:rPr>
          <w:rFonts w:hint="eastAsia" w:ascii="宋体" w:hAnsi="宋体" w:cs="宋体"/>
          <w:kern w:val="0"/>
          <w:sz w:val="24"/>
          <w:szCs w:val="24"/>
          <w:lang w:val="en-US" w:eastAsia="zh-Hans"/>
        </w:rPr>
        <w:t>应针对</w:t>
      </w:r>
      <w:r>
        <w:rPr>
          <w:rFonts w:hint="eastAsia" w:ascii="宋体" w:hAnsi="宋体" w:eastAsia="宋体" w:cs="宋体"/>
          <w:kern w:val="0"/>
          <w:sz w:val="24"/>
          <w:szCs w:val="24"/>
          <w:lang w:val="en-US" w:eastAsia="zh-CN"/>
        </w:rPr>
        <w:t>每只</w:t>
      </w:r>
      <w:r>
        <w:rPr>
          <w:rFonts w:hint="eastAsia" w:ascii="宋体" w:hAnsi="宋体" w:cs="宋体"/>
          <w:kern w:val="0"/>
          <w:sz w:val="24"/>
          <w:szCs w:val="24"/>
          <w:lang w:val="en-US" w:eastAsia="zh-Hans"/>
        </w:rPr>
        <w:t>银行</w:t>
      </w:r>
      <w:r>
        <w:rPr>
          <w:rFonts w:hint="eastAsia" w:ascii="宋体" w:hAnsi="宋体" w:eastAsia="宋体" w:cs="宋体"/>
          <w:kern w:val="0"/>
          <w:sz w:val="24"/>
          <w:szCs w:val="24"/>
          <w:lang w:val="en-US" w:eastAsia="zh-CN"/>
        </w:rPr>
        <w:t>理财</w:t>
      </w:r>
      <w:r>
        <w:rPr>
          <w:rFonts w:hint="eastAsia" w:ascii="宋体" w:hAnsi="宋体" w:cs="宋体"/>
          <w:kern w:val="0"/>
          <w:sz w:val="24"/>
          <w:szCs w:val="24"/>
          <w:lang w:val="en-US" w:eastAsia="zh-Hans"/>
        </w:rPr>
        <w:t>独立</w:t>
      </w:r>
      <w:r>
        <w:rPr>
          <w:rFonts w:hint="eastAsia" w:ascii="宋体" w:hAnsi="宋体" w:eastAsia="宋体" w:cs="宋体"/>
          <w:kern w:val="0"/>
          <w:sz w:val="24"/>
          <w:szCs w:val="24"/>
          <w:lang w:val="en-US" w:eastAsia="zh-CN"/>
        </w:rPr>
        <w:t>出具划款指令，将资金由对应理财产品的银行存款账户划付至过渡账户，由过渡户完成与债券资金账户间的交收。</w:t>
      </w:r>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6.2.1.2</w:t>
      </w:r>
      <w:r>
        <w:rPr>
          <w:rFonts w:hint="default" w:ascii="宋体" w:hAnsi="宋体" w:cs="宋体"/>
          <w:kern w:val="0"/>
          <w:sz w:val="24"/>
          <w:szCs w:val="24"/>
          <w:lang w:eastAsia="zh-CN"/>
        </w:rPr>
        <w:t>银行理财产品净值化转型及存量整改期间</w:t>
      </w:r>
      <w:r>
        <w:rPr>
          <w:rFonts w:hint="eastAsia" w:ascii="宋体" w:hAnsi="宋体" w:eastAsia="宋体" w:cs="宋体"/>
          <w:kern w:val="0"/>
          <w:sz w:val="24"/>
          <w:szCs w:val="24"/>
          <w:lang w:val="en-US" w:eastAsia="zh-CN"/>
        </w:rPr>
        <w:t>，如银行间债券交易结算为净应收的，则管理人</w:t>
      </w:r>
      <w:r>
        <w:rPr>
          <w:rFonts w:hint="eastAsia" w:ascii="宋体" w:hAnsi="宋体" w:cs="宋体"/>
          <w:kern w:val="0"/>
          <w:sz w:val="24"/>
          <w:szCs w:val="24"/>
          <w:lang w:val="en-US" w:eastAsia="zh-Hans"/>
        </w:rPr>
        <w:t>针对</w:t>
      </w:r>
      <w:r>
        <w:rPr>
          <w:rFonts w:hint="eastAsia" w:ascii="宋体" w:hAnsi="宋体" w:eastAsia="宋体" w:cs="宋体"/>
          <w:kern w:val="0"/>
          <w:sz w:val="24"/>
          <w:szCs w:val="24"/>
          <w:lang w:val="en-US" w:eastAsia="zh-CN"/>
        </w:rPr>
        <w:t>每只理财独立出具划款指令，通过过渡户完成与债券资金账户间的交收后，将资金由过渡户划付至对应理财产品的银行存款账户。</w:t>
      </w:r>
    </w:p>
    <w:p>
      <w:pPr>
        <w:tabs>
          <w:tab w:val="right" w:leader="dot" w:pos="284"/>
          <w:tab w:val="left" w:pos="1455"/>
        </w:tabs>
        <w:spacing w:line="360" w:lineRule="auto"/>
        <w:ind w:firstLine="480" w:firstLineChars="200"/>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6.2.1.3以上资金划付关系已管理人出具的划款指令为准。</w:t>
      </w:r>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6.2.2其他非交易所交易资金清算</w:t>
      </w:r>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其他非交易所交易资金通过每只理财产品托管账户完成结算。</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6.3其他资金清算</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6.3.1</w:t>
      </w:r>
      <w:r>
        <w:rPr>
          <w:rFonts w:hint="eastAsia" w:ascii="宋体" w:hAnsi="宋体" w:eastAsia="宋体" w:cs="宋体"/>
          <w:kern w:val="0"/>
          <w:sz w:val="24"/>
          <w:szCs w:val="24"/>
        </w:rPr>
        <w:t>资金清付：按照管理人向托管人提交的交易文件和有效的划款指令</w:t>
      </w:r>
      <w:r>
        <w:rPr>
          <w:rFonts w:hint="eastAsia" w:ascii="宋体" w:hAnsi="宋体" w:eastAsia="宋体" w:cs="宋体"/>
          <w:kern w:val="0"/>
          <w:sz w:val="24"/>
          <w:szCs w:val="24"/>
          <w:lang w:eastAsia="zh-CN"/>
        </w:rPr>
        <w:t>通过每只理财产品托管账户</w:t>
      </w:r>
      <w:r>
        <w:rPr>
          <w:rFonts w:hint="eastAsia" w:ascii="宋体" w:hAnsi="宋体" w:eastAsia="宋体" w:cs="宋体"/>
          <w:kern w:val="0"/>
          <w:sz w:val="24"/>
          <w:szCs w:val="24"/>
        </w:rPr>
        <w:t xml:space="preserve">进行清算确认。 </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6.3.2</w:t>
      </w:r>
      <w:r>
        <w:rPr>
          <w:rFonts w:hint="eastAsia" w:ascii="宋体" w:hAnsi="宋体" w:eastAsia="宋体" w:cs="宋体"/>
          <w:kern w:val="0"/>
          <w:sz w:val="24"/>
          <w:szCs w:val="24"/>
        </w:rPr>
        <w:t>资金清收：</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xml:space="preserve">  管理人向托管人发送托管账户《资金到账通知书》，告知划付至托管账户的资金余额。托管人依据管理人出具的书面指令</w:t>
      </w:r>
      <w:r>
        <w:rPr>
          <w:rFonts w:hint="eastAsia" w:ascii="宋体" w:hAnsi="宋体" w:eastAsia="宋体" w:cs="宋体"/>
          <w:sz w:val="24"/>
          <w:szCs w:val="24"/>
          <w:u w:val="single"/>
          <w:shd w:val="clear" w:color="FFFFFF" w:fill="D9D9D9"/>
          <w:lang w:eastAsia="zh-CN"/>
        </w:rPr>
        <w:t>通过每只理财产品托管账户</w:t>
      </w:r>
      <w:r>
        <w:rPr>
          <w:rFonts w:hint="eastAsia" w:ascii="宋体" w:hAnsi="宋体" w:eastAsia="宋体" w:cs="宋体"/>
          <w:sz w:val="24"/>
          <w:szCs w:val="24"/>
          <w:u w:val="single"/>
          <w:shd w:val="clear" w:color="FFFFFF" w:fill="D9D9D9"/>
        </w:rPr>
        <w:t>进行清算确认。 </w:t>
      </w:r>
      <w:r>
        <w:rPr>
          <w:rFonts w:hint="eastAsia" w:ascii="宋体" w:hAnsi="宋体" w:eastAsia="宋体" w:cs="宋体"/>
          <w:sz w:val="24"/>
          <w:szCs w:val="24"/>
          <w:u w:val="single"/>
          <w:shd w:val="clear" w:color="FFFFFF" w:fill="D9D9D9"/>
        </w:rPr>
        <w:fldChar w:fldCharType="end"/>
      </w:r>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47" w:name="_Toc382240761"/>
      <w:bookmarkStart w:id="48" w:name="_Toc57797444"/>
      <w:bookmarkStart w:id="49" w:name="_Toc51421607"/>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50" w:name="_Toc26663"/>
      <w:r>
        <w:rPr>
          <w:rFonts w:hint="eastAsia" w:ascii="宋体" w:hAnsi="宋体" w:eastAsia="宋体" w:cs="宋体"/>
          <w:bCs w:val="0"/>
          <w:kern w:val="2"/>
          <w:sz w:val="24"/>
          <w:szCs w:val="24"/>
        </w:rPr>
        <w:t>第七条  理财产品运作流程</w:t>
      </w:r>
      <w:bookmarkEnd w:id="47"/>
      <w:bookmarkEnd w:id="48"/>
      <w:bookmarkEnd w:id="49"/>
      <w:bookmarkEnd w:id="50"/>
    </w:p>
    <w:p>
      <w:pPr>
        <w:tabs>
          <w:tab w:val="right" w:leader="dot" w:pos="284"/>
          <w:tab w:val="left" w:pos="1455"/>
        </w:tabs>
        <w:spacing w:line="360" w:lineRule="auto"/>
        <w:ind w:firstLine="480" w:firstLineChars="200"/>
        <w:rPr>
          <w:rFonts w:hint="eastAsia" w:ascii="宋体" w:hAnsi="宋体" w:eastAsia="宋体" w:cs="宋体"/>
          <w:kern w:val="0"/>
          <w:sz w:val="24"/>
          <w:szCs w:val="24"/>
        </w:rPr>
      </w:pPr>
      <w:bookmarkStart w:id="51" w:name="_Hlk57853280"/>
      <w:r>
        <w:rPr>
          <w:rFonts w:hint="eastAsia" w:ascii="宋体" w:hAnsi="宋体" w:eastAsia="宋体" w:cs="宋体"/>
          <w:kern w:val="0"/>
          <w:sz w:val="24"/>
          <w:szCs w:val="24"/>
        </w:rPr>
        <w:t>7.1理财产品资金归集、申购与赎回</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本理财产品份额的申购及赎回及其他份额变动的登记确认由管理人负责办理。管理人应在本协议约定时间内将审核结果以约定方式</w:t>
      </w:r>
      <w:r>
        <w:rPr>
          <w:rFonts w:hint="eastAsia" w:ascii="宋体" w:hAnsi="宋体" w:eastAsia="宋体" w:cs="宋体"/>
          <w:kern w:val="0"/>
          <w:sz w:val="24"/>
          <w:szCs w:val="24"/>
        </w:rPr>
        <w:fldChar w:fldCharType="begin">
          <w:ffData>
            <w:name w:val="Text200"/>
            <w:enabled/>
            <w:calcOnExit w:val="0"/>
            <w:textInput/>
          </w:ffData>
        </w:fldChar>
      </w:r>
      <w:bookmarkStart w:id="52" w:name="Text200"/>
      <w:r>
        <w:rPr>
          <w:rFonts w:hint="eastAsia" w:ascii="宋体" w:hAnsi="宋体" w:eastAsia="宋体" w:cs="宋体"/>
          <w:kern w:val="0"/>
          <w:sz w:val="24"/>
          <w:szCs w:val="24"/>
        </w:rPr>
        <w:instrText xml:space="preserve">FORMTEXT</w:instrText>
      </w:r>
      <w:r>
        <w:rPr>
          <w:rFonts w:hint="eastAsia" w:ascii="宋体" w:hAnsi="宋体" w:eastAsia="宋体" w:cs="宋体"/>
          <w:kern w:val="0"/>
          <w:sz w:val="24"/>
          <w:szCs w:val="24"/>
        </w:rPr>
        <w:fldChar w:fldCharType="separate"/>
      </w:r>
      <w:r>
        <w:rPr>
          <w:rFonts w:hint="eastAsia" w:ascii="宋体" w:hAnsi="宋体" w:eastAsia="宋体" w:cs="宋体"/>
          <w:kern w:val="0"/>
          <w:sz w:val="24"/>
          <w:szCs w:val="24"/>
        </w:rPr>
        <w:t>（书面方式及电子方式，两者内容不一致的，以书面方式内容为准）</w:t>
      </w:r>
      <w:r>
        <w:rPr>
          <w:rFonts w:hint="eastAsia" w:ascii="宋体" w:hAnsi="宋体" w:eastAsia="宋体" w:cs="宋体"/>
          <w:kern w:val="0"/>
          <w:sz w:val="24"/>
          <w:szCs w:val="24"/>
        </w:rPr>
        <w:fldChar w:fldCharType="end"/>
      </w:r>
      <w:bookmarkEnd w:id="52"/>
      <w:r>
        <w:rPr>
          <w:rFonts w:hint="eastAsia" w:ascii="宋体" w:hAnsi="宋体" w:eastAsia="宋体" w:cs="宋体"/>
          <w:kern w:val="0"/>
          <w:sz w:val="24"/>
          <w:szCs w:val="24"/>
        </w:rPr>
        <w:t>通知托管人，托管人根据管理人的审核结果进行会计账务处理。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管理人应保证审核结果的真实、准确和完整，托管人对此不负有复核责任和义务。</w:t>
      </w:r>
      <w:bookmarkEnd w:id="51"/>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7.1.1 理财产品资金归集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理财产品成立日，管理人应于成立日当日将理财资金全部划转至托管账户中，及时电话通知托管人并向托管人发送产品说明书等理财产品相关说明文件。</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bookmarkStart w:id="53" w:name="_Hlk57853399"/>
      <w:r>
        <w:rPr>
          <w:rFonts w:hint="eastAsia" w:ascii="宋体" w:hAnsi="宋体" w:eastAsia="宋体" w:cs="宋体"/>
          <w:kern w:val="0"/>
          <w:sz w:val="24"/>
          <w:szCs w:val="24"/>
        </w:rPr>
        <w:t>理财资金进入托管账户之前的资金安全由管理人保障，如发生任何理财资金损失的，由管理人承担责任。</w:t>
      </w:r>
      <w:bookmarkEnd w:id="53"/>
    </w:p>
    <w:p>
      <w:pPr>
        <w:tabs>
          <w:tab w:val="right" w:leader="dot" w:pos="284"/>
          <w:tab w:val="left" w:pos="1455"/>
        </w:tabs>
        <w:spacing w:line="360" w:lineRule="auto"/>
        <w:ind w:firstLine="480" w:firstLineChars="200"/>
        <w:rPr>
          <w:rFonts w:hint="eastAsia" w:ascii="宋体" w:hAnsi="宋体" w:eastAsia="宋体" w:cs="宋体"/>
          <w:kern w:val="0"/>
          <w:sz w:val="24"/>
          <w:szCs w:val="24"/>
        </w:rPr>
      </w:pPr>
      <w:bookmarkStart w:id="54" w:name="_Hlk57853423"/>
      <w:r>
        <w:rPr>
          <w:rFonts w:hint="eastAsia" w:ascii="宋体" w:hAnsi="宋体" w:eastAsia="宋体" w:cs="宋体"/>
          <w:kern w:val="0"/>
          <w:sz w:val="24"/>
          <w:szCs w:val="24"/>
        </w:rPr>
        <w:t>7.1.2 理财份额的申购与赎回</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7.1.2.1本理财存续期间</w:t>
      </w:r>
      <w:r>
        <w:rPr>
          <w:rFonts w:hint="eastAsia" w:ascii="宋体" w:hAnsi="宋体" w:eastAsia="宋体" w:cs="宋体"/>
          <w:kern w:val="0"/>
          <w:sz w:val="24"/>
          <w:szCs w:val="24"/>
          <w:shd w:val="pct10" w:color="auto" w:fill="FFFFFF"/>
        </w:rPr>
        <w:fldChar w:fldCharType="begin">
          <w:ffData>
            <w:name w:val="Text128"/>
            <w:enabled/>
            <w:calcOnExit w:val="0"/>
            <w:textInput/>
          </w:ffData>
        </w:fldChar>
      </w:r>
      <w:bookmarkStart w:id="55" w:name="Text128"/>
      <w:r>
        <w:rPr>
          <w:rFonts w:hint="eastAsia" w:ascii="宋体" w:hAnsi="宋体" w:eastAsia="宋体" w:cs="宋体"/>
          <w:kern w:val="0"/>
          <w:sz w:val="24"/>
          <w:szCs w:val="24"/>
          <w:shd w:val="pct10" w:color="auto" w:fill="FFFFFF"/>
        </w:rPr>
        <w:instrText xml:space="preserve">FORMTEXT</w:instrText>
      </w:r>
      <w:r>
        <w:rPr>
          <w:rFonts w:hint="eastAsia" w:ascii="宋体" w:hAnsi="宋体" w:eastAsia="宋体" w:cs="宋体"/>
          <w:kern w:val="0"/>
          <w:sz w:val="24"/>
          <w:szCs w:val="24"/>
          <w:shd w:val="pct10" w:color="auto" w:fill="FFFFFF"/>
        </w:rPr>
        <w:fldChar w:fldCharType="separate"/>
      </w:r>
      <w:r>
        <w:rPr>
          <w:rFonts w:hint="eastAsia" w:ascii="宋体" w:hAnsi="宋体" w:eastAsia="宋体" w:cs="宋体"/>
          <w:kern w:val="0"/>
          <w:sz w:val="24"/>
          <w:szCs w:val="24"/>
          <w:shd w:val="pct10" w:color="auto" w:fill="FFFFFF"/>
        </w:rPr>
        <w:t> 允许/不允许 </w:t>
      </w:r>
      <w:r>
        <w:rPr>
          <w:rFonts w:hint="eastAsia" w:ascii="宋体" w:hAnsi="宋体" w:eastAsia="宋体" w:cs="宋体"/>
          <w:kern w:val="0"/>
          <w:sz w:val="24"/>
          <w:szCs w:val="24"/>
          <w:shd w:val="pct10" w:color="auto" w:fill="FFFFFF"/>
        </w:rPr>
        <w:fldChar w:fldCharType="end"/>
      </w:r>
      <w:bookmarkEnd w:id="55"/>
      <w:r>
        <w:rPr>
          <w:rFonts w:hint="eastAsia" w:ascii="宋体" w:hAnsi="宋体" w:eastAsia="宋体" w:cs="宋体"/>
          <w:kern w:val="0"/>
          <w:sz w:val="24"/>
          <w:szCs w:val="24"/>
        </w:rPr>
        <w:t>申购、赎回。</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fldChar w:fldCharType="begin">
          <w:ffData>
            <w:name w:val="Text129"/>
            <w:enabled/>
            <w:calcOnExit w:val="0"/>
            <w:textInput/>
          </w:ffData>
        </w:fldChar>
      </w:r>
      <w:bookmarkStart w:id="56" w:name="Text129"/>
      <w:r>
        <w:rPr>
          <w:rFonts w:hint="eastAsia" w:ascii="宋体" w:hAnsi="宋体" w:eastAsia="宋体" w:cs="宋体"/>
          <w:kern w:val="0"/>
          <w:sz w:val="24"/>
          <w:szCs w:val="24"/>
          <w:shd w:val="pct10" w:color="auto" w:fill="FFFFFF"/>
        </w:rPr>
        <w:instrText xml:space="preserve">FORMTEXT</w:instrText>
      </w:r>
      <w:r>
        <w:rPr>
          <w:rFonts w:hint="eastAsia" w:ascii="宋体" w:hAnsi="宋体" w:eastAsia="宋体" w:cs="宋体"/>
          <w:kern w:val="0"/>
          <w:sz w:val="24"/>
          <w:szCs w:val="24"/>
          <w:shd w:val="pct10" w:color="auto" w:fill="FFFFFF"/>
        </w:rPr>
        <w:fldChar w:fldCharType="separate"/>
      </w:r>
      <w:r>
        <w:rPr>
          <w:rFonts w:hint="eastAsia" w:ascii="宋体" w:hAnsi="宋体" w:eastAsia="宋体" w:cs="宋体"/>
          <w:kern w:val="0"/>
          <w:sz w:val="24"/>
          <w:szCs w:val="24"/>
          <w:shd w:val="pct10" w:color="auto" w:fill="FFFFFF"/>
        </w:rPr>
        <w:t>7.1.2.2申购与赎回的原则、方法按照理财产品合同的约定执行。管理人按理财产品合同的约定，对申购和赎回申请进行审核和确认。</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7.1.2.3</w:t>
      </w:r>
      <w:r>
        <w:rPr>
          <w:rFonts w:hint="eastAsia" w:ascii="宋体" w:hAnsi="宋体" w:eastAsia="宋体" w:cs="宋体"/>
          <w:kern w:val="0"/>
          <w:sz w:val="24"/>
          <w:szCs w:val="24"/>
          <w:shd w:val="pct10" w:color="auto" w:fill="FFFFFF"/>
        </w:rPr>
        <w:fldChar w:fldCharType="begin">
          <w:ffData>
            <w:name w:val="Text33"/>
            <w:enabled/>
            <w:calcOnExit w:val="0"/>
            <w:textInput/>
          </w:ffData>
        </w:fldChar>
      </w:r>
      <w:r>
        <w:rPr>
          <w:rFonts w:hint="eastAsia" w:ascii="宋体" w:hAnsi="宋体" w:eastAsia="宋体" w:cs="宋体"/>
          <w:kern w:val="0"/>
          <w:sz w:val="24"/>
          <w:szCs w:val="24"/>
          <w:shd w:val="pct10" w:color="auto" w:fill="FFFFFF"/>
        </w:rPr>
        <w:instrText xml:space="preserve">FORMTEXT</w:instrText>
      </w:r>
      <w:r>
        <w:rPr>
          <w:rFonts w:hint="eastAsia" w:ascii="宋体" w:hAnsi="宋体" w:eastAsia="宋体" w:cs="宋体"/>
          <w:kern w:val="0"/>
          <w:sz w:val="24"/>
          <w:szCs w:val="24"/>
          <w:shd w:val="pct10" w:color="auto" w:fill="FFFFFF"/>
        </w:rPr>
        <w:fldChar w:fldCharType="separate"/>
      </w:r>
      <w:r>
        <w:rPr>
          <w:rFonts w:hint="eastAsia" w:ascii="宋体" w:hAnsi="宋体" w:eastAsia="宋体" w:cs="宋体"/>
          <w:kern w:val="0"/>
          <w:sz w:val="24"/>
          <w:szCs w:val="24"/>
          <w:shd w:val="pct10" w:color="auto" w:fill="FFFFFF"/>
        </w:rPr>
        <w:t>管理人应在开放日（T日）后的第一个交易日13：00点前将审核确认的结果以传真、电子邮件或其他双方书面认可的方式通知托管人。托管人依据管理人的确认数据在T+ 1日进行会计账务处理时予以确认。</w:t>
      </w:r>
      <w:r>
        <w:rPr>
          <w:rFonts w:hint="eastAsia" w:ascii="宋体" w:hAnsi="宋体" w:eastAsia="宋体" w:cs="宋体"/>
          <w:kern w:val="0"/>
          <w:sz w:val="24"/>
          <w:szCs w:val="24"/>
          <w:shd w:val="pct10" w:color="auto" w:fill="FFFFFF"/>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7.1.2.4申购份额和赎回资金的计算</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申购份额和赎回资金的确认以开放日的理财份额单位净值为基准计算。</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7.1.2.5申购和赎回的资金清算</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（1）申购资金</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管理人和托管人应按约定方式对划付至托管账户的申购资金进行核对。</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（2）赎回资金</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①管理人委托托管人办理赎回资金向管理人提供的理财产品收益分配账户的支付划转。支付赎回费用（若有）时，管理人需向托管人发送划款指令。划款指令的格式、内容、发送、接受和确认方式等托管人应按照本协议第五条约定执行。</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②支付赎回资金时，管理人需向托管人发送指令。赎回资金划款指令的格式、内容、发送、接受和确认方式等托管人应按照本协议第五条约定执行。</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③</w:t>
      </w:r>
      <w:r>
        <w:rPr>
          <w:rFonts w:hint="eastAsia" w:ascii="宋体" w:hAnsi="宋体" w:eastAsia="宋体" w:cs="宋体"/>
          <w:kern w:val="0"/>
          <w:sz w:val="24"/>
          <w:szCs w:val="24"/>
          <w:shd w:val="pct10" w:color="auto" w:fill="FFFFFF"/>
        </w:rPr>
        <w:fldChar w:fldCharType="begin">
          <w:ffData>
            <w:name w:val="Text164"/>
            <w:enabled/>
            <w:calcOnExit w:val="0"/>
            <w:textInput/>
          </w:ffData>
        </w:fldChar>
      </w:r>
      <w:r>
        <w:rPr>
          <w:rFonts w:hint="eastAsia" w:ascii="宋体" w:hAnsi="宋体" w:eastAsia="宋体" w:cs="宋体"/>
          <w:kern w:val="0"/>
          <w:sz w:val="24"/>
          <w:szCs w:val="24"/>
          <w:shd w:val="pct10" w:color="auto" w:fill="FFFFFF"/>
        </w:rPr>
        <w:instrText xml:space="preserve">FORMTEXT</w:instrText>
      </w:r>
      <w:r>
        <w:rPr>
          <w:rFonts w:hint="eastAsia" w:ascii="宋体" w:hAnsi="宋体" w:eastAsia="宋体" w:cs="宋体"/>
          <w:kern w:val="0"/>
          <w:sz w:val="24"/>
          <w:szCs w:val="24"/>
          <w:shd w:val="pct10" w:color="auto" w:fill="FFFFFF"/>
        </w:rPr>
        <w:fldChar w:fldCharType="separate"/>
      </w:r>
      <w:r>
        <w:rPr>
          <w:rFonts w:hint="eastAsia" w:ascii="宋体" w:hAnsi="宋体" w:eastAsia="宋体" w:cs="宋体"/>
          <w:kern w:val="0"/>
          <w:sz w:val="24"/>
          <w:szCs w:val="24"/>
          <w:shd w:val="pct10" w:color="auto" w:fill="FFFFFF"/>
        </w:rPr>
        <w:t>管理人应于T+3日9：00前，将赎回划款指令提供给托管人。</w:t>
      </w:r>
      <w:r>
        <w:rPr>
          <w:rFonts w:hint="eastAsia" w:ascii="宋体" w:hAnsi="宋体" w:eastAsia="宋体" w:cs="宋体"/>
          <w:kern w:val="0"/>
          <w:sz w:val="24"/>
          <w:szCs w:val="24"/>
          <w:shd w:val="pct10" w:color="auto" w:fill="FFFFFF"/>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shd w:val="pct10" w:color="auto" w:fill="FFFFFF"/>
        </w:rPr>
      </w:pPr>
      <w:r>
        <w:rPr>
          <w:rFonts w:hint="eastAsia" w:ascii="宋体" w:hAnsi="宋体" w:eastAsia="宋体" w:cs="宋体"/>
          <w:kern w:val="0"/>
          <w:sz w:val="24"/>
          <w:szCs w:val="24"/>
          <w:shd w:val="pct10" w:color="auto" w:fill="FFFFFF"/>
        </w:rPr>
        <w:t>④</w:t>
      </w:r>
      <w:r>
        <w:rPr>
          <w:rFonts w:hint="eastAsia" w:ascii="宋体" w:hAnsi="宋体" w:eastAsia="宋体" w:cs="宋体"/>
          <w:kern w:val="0"/>
          <w:sz w:val="24"/>
          <w:szCs w:val="24"/>
          <w:shd w:val="pct10" w:color="auto" w:fill="FFFFFF"/>
        </w:rPr>
        <w:fldChar w:fldCharType="begin">
          <w:ffData>
            <w:name w:val="Text165"/>
            <w:enabled/>
            <w:calcOnExit w:val="0"/>
            <w:textInput/>
          </w:ffData>
        </w:fldChar>
      </w:r>
      <w:r>
        <w:rPr>
          <w:rFonts w:hint="eastAsia" w:ascii="宋体" w:hAnsi="宋体" w:eastAsia="宋体" w:cs="宋体"/>
          <w:kern w:val="0"/>
          <w:sz w:val="24"/>
          <w:szCs w:val="24"/>
          <w:shd w:val="pct10" w:color="auto" w:fill="FFFFFF"/>
        </w:rPr>
        <w:instrText xml:space="preserve">FORMTEXT</w:instrText>
      </w:r>
      <w:r>
        <w:rPr>
          <w:rFonts w:hint="eastAsia" w:ascii="宋体" w:hAnsi="宋体" w:eastAsia="宋体" w:cs="宋体"/>
          <w:kern w:val="0"/>
          <w:sz w:val="24"/>
          <w:szCs w:val="24"/>
          <w:shd w:val="pct10" w:color="auto" w:fill="FFFFFF"/>
        </w:rPr>
        <w:fldChar w:fldCharType="separate"/>
      </w:r>
      <w:r>
        <w:rPr>
          <w:rFonts w:hint="eastAsia" w:ascii="宋体" w:hAnsi="宋体" w:eastAsia="宋体" w:cs="宋体"/>
          <w:kern w:val="0"/>
          <w:sz w:val="24"/>
          <w:szCs w:val="24"/>
          <w:shd w:val="pct10" w:color="auto" w:fill="FFFFFF"/>
        </w:rPr>
        <w:t>托管人于T+5日17：00前按照划款指令将赎回资金从托管账户中划至管理人提供的理财产品收益分配账户。</w:t>
      </w:r>
      <w:r>
        <w:rPr>
          <w:rFonts w:hint="eastAsia" w:ascii="宋体" w:hAnsi="宋体" w:eastAsia="宋体" w:cs="宋体"/>
          <w:kern w:val="0"/>
          <w:sz w:val="24"/>
          <w:szCs w:val="24"/>
          <w:shd w:val="pct10" w:color="auto" w:fill="FFFFFF"/>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shd w:val="pct10" w:color="auto" w:fill="FFFFFF"/>
        </w:rPr>
        <w:t>上述资金分配时，分配金额、接受账户等信息均由管理人提供，托管人仅根据管理人提供的信息进行划款，管理人应保证上述信息真实准确，由于划款信息错误导致的任何损失由管理人承担责任。</w:t>
      </w:r>
      <w:r>
        <w:rPr>
          <w:rFonts w:hint="eastAsia" w:ascii="宋体" w:hAnsi="宋体" w:eastAsia="宋体" w:cs="宋体"/>
          <w:kern w:val="0"/>
          <w:sz w:val="24"/>
          <w:szCs w:val="24"/>
          <w:shd w:val="pct10" w:color="auto" w:fill="FFFFFF"/>
        </w:rPr>
        <w:fldChar w:fldCharType="end"/>
      </w:r>
      <w:bookmarkEnd w:id="54"/>
      <w:bookmarkEnd w:id="56"/>
      <w:r>
        <w:rPr>
          <w:rFonts w:hint="eastAsia" w:ascii="宋体" w:hAnsi="宋体" w:cs="宋体"/>
          <w:kern w:val="0"/>
          <w:sz w:val="24"/>
          <w:szCs w:val="24"/>
          <w:shd w:val="pct10" w:color="auto" w:fill="FFFFFF"/>
          <w:lang w:val="en-US" w:eastAsia="zh-Hans"/>
        </w:rPr>
        <w:t>托管人存在过错的除外。</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7.2 投资款项划拨</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7.2.1管理人应按照本协议第五条的约定向托管人发送资金划款指令。</w:t>
      </w:r>
    </w:p>
    <w:p>
      <w:pPr>
        <w:tabs>
          <w:tab w:val="right" w:leader="dot" w:pos="284"/>
        </w:tabs>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7.2.2托管人在收到管理人的划款指令后，应该按照本协议第五条</w:t>
      </w:r>
      <w:r>
        <w:rPr>
          <w:rFonts w:hint="eastAsia" w:ascii="宋体" w:hAnsi="宋体" w:eastAsia="宋体" w:cs="宋体"/>
          <w:kern w:val="0"/>
          <w:sz w:val="24"/>
          <w:szCs w:val="24"/>
          <w:lang w:eastAsia="zh-CN"/>
        </w:rPr>
        <w:t>、第六条</w:t>
      </w:r>
      <w:r>
        <w:rPr>
          <w:rFonts w:hint="eastAsia" w:ascii="宋体" w:hAnsi="宋体" w:eastAsia="宋体" w:cs="宋体"/>
          <w:kern w:val="0"/>
          <w:sz w:val="24"/>
          <w:szCs w:val="24"/>
        </w:rPr>
        <w:t>的约定对划款指令进行表面一致性审核，审核无误的有效划款指令，应该及时按划款指令内容，将资金由托管账户划至管理人</w:t>
      </w:r>
      <w:bookmarkStart w:id="57" w:name="_Hlk57855583"/>
      <w:r>
        <w:rPr>
          <w:rFonts w:hint="eastAsia" w:ascii="宋体" w:hAnsi="宋体" w:eastAsia="宋体" w:cs="宋体"/>
          <w:kern w:val="0"/>
          <w:sz w:val="24"/>
          <w:szCs w:val="24"/>
        </w:rPr>
        <w:t>提供的理财产品收益分配</w:t>
      </w:r>
      <w:bookmarkEnd w:id="57"/>
      <w:r>
        <w:rPr>
          <w:rFonts w:hint="eastAsia" w:ascii="宋体" w:hAnsi="宋体" w:eastAsia="宋体" w:cs="宋体"/>
          <w:kern w:val="0"/>
          <w:sz w:val="24"/>
          <w:szCs w:val="24"/>
        </w:rPr>
        <w:t>账户中。</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7.3投资资金的回收</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管理人保证，托管账户为管理人投资到期回收资金的唯一指定收款账户。</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7.4 理财产品到期清算</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7.4.1管理人应按照本协议第五条的相关内容在本理财产品到期日按时向托管人发送资金划款指令及清算报告。</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7.4.2托管人在收到管理人的指令及相关文件后，应该按照本协议第五条的约定对指令进行表面一致性审核，审核无误的有效指令，应按照划款指令将资金由托管账户划往管理人提供的理财产品收益分配账户。</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以上资金划转中如有资金汇划费用，由理财产品承担。托管人有权按照划款指令进行资金划转时扣收，无需管理人另行出具指令。</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7.5理财产品提前终止时的清算</w:t>
      </w:r>
    </w:p>
    <w:p>
      <w:pPr>
        <w:tabs>
          <w:tab w:val="right" w:leader="dot" w:pos="284"/>
        </w:tabs>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管理人应保证理财产品在提前终止日前</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 三个工作日 </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将该期理财产品项下所有资产变现。管理人应在理财产品提前终止日前</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 三个工作日 </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向托管人发送资金划款指令及提前终止证明文件及清算报告。托管人在收到管理人的指令及相关文件后，应该对指令的表面一致性进行审核，审核无误的有效指令，应该及时按指令中明确的提前终止日，将资金由托管账户划往管理人提供的理财产品收益分配账户。</w:t>
      </w:r>
    </w:p>
    <w:p>
      <w:pPr>
        <w:spacing w:line="360" w:lineRule="auto"/>
        <w:ind w:firstLine="540"/>
        <w:rPr>
          <w:rFonts w:hint="eastAsia" w:ascii="宋体" w:hAnsi="宋体" w:eastAsia="宋体" w:cs="宋体"/>
          <w:kern w:val="0"/>
          <w:sz w:val="24"/>
          <w:szCs w:val="24"/>
        </w:rPr>
      </w:pPr>
      <w:r>
        <w:rPr>
          <w:rFonts w:hint="eastAsia" w:ascii="宋体" w:hAnsi="宋体" w:eastAsia="宋体" w:cs="宋体"/>
          <w:color w:val="000000"/>
          <w:sz w:val="24"/>
        </w:rPr>
        <w:fldChar w:fldCharType="begin">
          <w:ffData>
            <w:name w:val="Text49"/>
            <w:enabled/>
            <w:calcOnExit w:val="0"/>
            <w:textInput/>
          </w:ffData>
        </w:fldChar>
      </w:r>
      <w:bookmarkStart w:id="58" w:name="Text49"/>
      <w:r>
        <w:rPr>
          <w:rFonts w:hint="eastAsia" w:ascii="宋体" w:hAnsi="宋体" w:eastAsia="宋体" w:cs="宋体"/>
          <w:color w:val="000000"/>
          <w:sz w:val="24"/>
        </w:rPr>
        <w:instrText xml:space="preserve">FORMTEXT</w:instrText>
      </w:r>
      <w:r>
        <w:rPr>
          <w:rFonts w:hint="eastAsia" w:ascii="宋体" w:hAnsi="宋体" w:eastAsia="宋体" w:cs="宋体"/>
          <w:color w:val="000000"/>
          <w:sz w:val="24"/>
        </w:rPr>
        <w:fldChar w:fldCharType="separate"/>
      </w:r>
      <w:r>
        <w:rPr>
          <w:rFonts w:hint="eastAsia" w:ascii="宋体" w:hAnsi="宋体" w:eastAsia="宋体" w:cs="宋体"/>
          <w:color w:val="000000"/>
          <w:sz w:val="24"/>
        </w:rPr>
        <w:t>7.6理财产品清算完毕后，管理人应在5日内向托管人发起销户申请，递交账户的销户资料，托管人配合管理人注销理财产品的托管账户以及</w:t>
      </w:r>
      <w:r>
        <w:rPr>
          <w:rFonts w:hint="eastAsia" w:ascii="宋体" w:hAnsi="宋体" w:eastAsia="宋体" w:cs="宋体"/>
          <w:color w:val="000000"/>
          <w:sz w:val="24"/>
          <w:szCs w:val="24"/>
        </w:rPr>
        <w:t>理财专用证券账户、债券账户</w:t>
      </w:r>
      <w:r>
        <w:rPr>
          <w:rFonts w:hint="eastAsia" w:ascii="宋体" w:hAnsi="宋体" w:eastAsia="宋体" w:cs="宋体"/>
          <w:color w:val="000000"/>
          <w:sz w:val="24"/>
        </w:rPr>
        <w:t>等投资所需的账户。</w:t>
      </w:r>
      <w:r>
        <w:rPr>
          <w:rFonts w:hint="eastAsia" w:ascii="宋体" w:hAnsi="宋体" w:eastAsia="宋体" w:cs="宋体"/>
        </w:rPr>
        <w:fldChar w:fldCharType="end"/>
      </w:r>
      <w:bookmarkEnd w:id="58"/>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59" w:name="_Toc382240762"/>
      <w:bookmarkStart w:id="60" w:name="_Toc51421608"/>
      <w:bookmarkStart w:id="61" w:name="_Toc57797445"/>
      <w:bookmarkStart w:id="62" w:name="_Toc20286"/>
    </w:p>
    <w:p>
      <w:pPr>
        <w:pStyle w:val="2"/>
        <w:adjustRightInd w:val="0"/>
        <w:spacing w:before="0" w:after="0" w:line="360" w:lineRule="auto"/>
        <w:jc w:val="center"/>
        <w:textAlignment w:val="auto"/>
        <w:rPr>
          <w:rFonts w:hint="eastAsia" w:ascii="宋体" w:hAnsi="宋体" w:eastAsia="宋体" w:cs="宋体"/>
          <w:bCs w:val="0"/>
          <w:kern w:val="2"/>
          <w:sz w:val="24"/>
          <w:szCs w:val="24"/>
        </w:rPr>
      </w:pPr>
      <w:r>
        <w:rPr>
          <w:rFonts w:hint="eastAsia" w:ascii="宋体" w:hAnsi="宋体" w:eastAsia="宋体" w:cs="宋体"/>
          <w:bCs w:val="0"/>
          <w:kern w:val="2"/>
          <w:sz w:val="24"/>
          <w:szCs w:val="24"/>
        </w:rPr>
        <w:t>第八条  会计核算</w:t>
      </w:r>
      <w:bookmarkEnd w:id="59"/>
      <w:r>
        <w:rPr>
          <w:rFonts w:hint="eastAsia" w:ascii="宋体" w:hAnsi="宋体" w:eastAsia="宋体" w:cs="宋体"/>
          <w:bCs w:val="0"/>
          <w:kern w:val="2"/>
          <w:sz w:val="24"/>
          <w:szCs w:val="24"/>
        </w:rPr>
        <w:t>与资产估值</w:t>
      </w:r>
      <w:bookmarkEnd w:id="60"/>
      <w:bookmarkEnd w:id="61"/>
      <w:bookmarkEnd w:id="62"/>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8.1管理人、托管人双方对本理财产品分别建账、独立核算，并指定专门人员负责理财产品的会计核算、资产估值与账册保管。管理人定期计算理财产品资产净值、</w:t>
      </w:r>
      <w:r>
        <w:rPr>
          <w:rFonts w:hint="eastAsia" w:ascii="宋体" w:hAnsi="宋体" w:cs="宋体"/>
          <w:kern w:val="0"/>
          <w:sz w:val="24"/>
          <w:szCs w:val="24"/>
          <w:lang w:val="en-US" w:eastAsia="zh-Hans"/>
        </w:rPr>
        <w:t>资金账目、</w:t>
      </w:r>
      <w:r>
        <w:rPr>
          <w:rFonts w:hint="eastAsia" w:ascii="宋体" w:hAnsi="宋体" w:eastAsia="宋体" w:cs="宋体"/>
          <w:kern w:val="0"/>
          <w:sz w:val="24"/>
          <w:szCs w:val="24"/>
        </w:rPr>
        <w:t>份额净值</w:t>
      </w:r>
      <w:bookmarkStart w:id="63" w:name="_Hlk57855721"/>
      <w:r>
        <w:rPr>
          <w:rFonts w:hint="eastAsia" w:ascii="宋体" w:hAnsi="宋体" w:eastAsia="宋体" w:cs="宋体"/>
          <w:kern w:val="0"/>
          <w:sz w:val="24"/>
          <w:szCs w:val="24"/>
          <w:shd w:val="pct10" w:color="auto" w:fill="FFFFFF"/>
        </w:rPr>
        <w:fldChar w:fldCharType="begin">
          <w:ffData>
            <w:name w:val="文字3"/>
            <w:enabled/>
            <w:calcOnExit w:val="0"/>
            <w:textInput/>
          </w:ffData>
        </w:fldChar>
      </w:r>
      <w:bookmarkStart w:id="64" w:name="文字3"/>
      <w:r>
        <w:rPr>
          <w:rFonts w:hint="eastAsia" w:ascii="宋体" w:hAnsi="宋体" w:eastAsia="宋体" w:cs="宋体"/>
          <w:kern w:val="0"/>
          <w:sz w:val="24"/>
          <w:szCs w:val="24"/>
          <w:shd w:val="pct10" w:color="auto" w:fill="FFFFFF"/>
        </w:rPr>
        <w:instrText xml:space="preserve"> FORMTEXT </w:instrText>
      </w:r>
      <w:r>
        <w:rPr>
          <w:rFonts w:hint="eastAsia" w:ascii="宋体" w:hAnsi="宋体" w:eastAsia="宋体" w:cs="宋体"/>
          <w:kern w:val="0"/>
          <w:sz w:val="24"/>
          <w:szCs w:val="24"/>
          <w:shd w:val="pct10" w:color="auto" w:fill="FFFFFF"/>
        </w:rPr>
        <w:fldChar w:fldCharType="separate"/>
      </w:r>
      <w:r>
        <w:rPr>
          <w:rFonts w:hint="eastAsia" w:ascii="宋体" w:hAnsi="宋体" w:eastAsia="宋体" w:cs="宋体"/>
          <w:kern w:val="0"/>
          <w:sz w:val="24"/>
          <w:szCs w:val="24"/>
          <w:shd w:val="pct10" w:color="auto" w:fill="FFFFFF"/>
        </w:rPr>
        <w:t>、认购和赎回价格</w:t>
      </w:r>
      <w:r>
        <w:rPr>
          <w:rFonts w:hint="eastAsia" w:ascii="宋体" w:hAnsi="宋体" w:cs="宋体"/>
          <w:kern w:val="0"/>
          <w:sz w:val="24"/>
          <w:szCs w:val="24"/>
          <w:lang w:eastAsia="zh-Hans"/>
        </w:rPr>
        <w:t>以及投资资金的支付和到账情况</w:t>
      </w:r>
      <w:r>
        <w:rPr>
          <w:rFonts w:hint="eastAsia" w:ascii="宋体" w:hAnsi="宋体" w:eastAsia="宋体" w:cs="宋体"/>
          <w:kern w:val="0"/>
          <w:sz w:val="24"/>
          <w:szCs w:val="24"/>
          <w:shd w:val="pct10" w:color="auto" w:fill="FFFFFF"/>
        </w:rPr>
        <w:t> </w:t>
      </w:r>
      <w:r>
        <w:rPr>
          <w:rFonts w:hint="eastAsia" w:ascii="宋体" w:hAnsi="宋体" w:eastAsia="宋体" w:cs="宋体"/>
          <w:kern w:val="0"/>
          <w:sz w:val="24"/>
          <w:szCs w:val="24"/>
          <w:shd w:val="pct10" w:color="auto" w:fill="FFFFFF"/>
        </w:rPr>
        <w:fldChar w:fldCharType="end"/>
      </w:r>
      <w:bookmarkEnd w:id="63"/>
      <w:bookmarkEnd w:id="64"/>
      <w:r>
        <w:rPr>
          <w:rFonts w:hint="eastAsia" w:ascii="宋体" w:hAnsi="宋体" w:eastAsia="宋体" w:cs="宋体"/>
          <w:kern w:val="0"/>
          <w:sz w:val="24"/>
          <w:szCs w:val="24"/>
        </w:rPr>
        <w:t>，经托管人复核，由管理人按规定公告。</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8.2 业务处理原则</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8.2.1理财产品的记账主体为理财产品，主会计责任人为管理人。</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8.2.2对于理财产品通过信托、券商等投资银行间债券的，原则上按照所投资直接标的记账处理，不按照债券投资处理，不做穿透式处理。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8.2.3理财产品分期发行的，每期理财产品按照本条约定进行单独建账、独立核算。</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8.3 资产估值方法和特殊情形处理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8.3.1 估值对象</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本理财产品所投资的所有金融资产及负债，包括</w:t>
      </w:r>
      <w:r>
        <w:rPr>
          <w:rFonts w:hint="eastAsia" w:ascii="宋体" w:hAnsi="宋体" w:eastAsia="宋体" w:cs="宋体"/>
          <w:kern w:val="0"/>
          <w:sz w:val="24"/>
          <w:szCs w:val="24"/>
          <w:shd w:val="clear" w:color="FFFFFF" w:fill="D9D9D9"/>
        </w:rPr>
        <w:fldChar w:fldCharType="begin">
          <w:ffData>
            <w:name w:val="Text3"/>
            <w:enabled/>
            <w:calcOnExit w:val="0"/>
            <w:textInput>
              <w:default w:val="国债、金融债、央行票据、企业债、短融、中票、私募债、存放同业、信贷资产、票据、贵金属、资产管理计划、信托计划、信托受益权"/>
            </w:textInput>
          </w:ffData>
        </w:fldChar>
      </w:r>
      <w:bookmarkStart w:id="65" w:name="Text3"/>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国债、金融债、央行票据、企业债、短融、中票、私募债、存放同业、信贷资产、票据、贵金属、资产管理计划、信托计划、信托受益权</w:t>
      </w:r>
      <w:r>
        <w:rPr>
          <w:rFonts w:hint="eastAsia" w:ascii="宋体" w:hAnsi="宋体" w:eastAsia="宋体" w:cs="宋体"/>
          <w:kern w:val="0"/>
          <w:sz w:val="24"/>
          <w:szCs w:val="24"/>
          <w:shd w:val="clear" w:color="FFFFFF" w:fill="D9D9D9"/>
        </w:rPr>
        <w:fldChar w:fldCharType="end"/>
      </w:r>
      <w:bookmarkEnd w:id="65"/>
      <w:r>
        <w:rPr>
          <w:rFonts w:hint="eastAsia" w:ascii="宋体" w:hAnsi="宋体" w:eastAsia="宋体" w:cs="宋体"/>
          <w:kern w:val="0"/>
          <w:sz w:val="24"/>
          <w:szCs w:val="24"/>
          <w:shd w:val="clear" w:color="FFFFFF" w:fill="D9D9D9"/>
        </w:rPr>
        <w:t>、证券投资基金</w:t>
      </w:r>
      <w:r>
        <w:rPr>
          <w:rFonts w:hint="eastAsia" w:ascii="宋体" w:hAnsi="宋体" w:eastAsia="宋体" w:cs="宋体"/>
          <w:kern w:val="0"/>
          <w:sz w:val="24"/>
          <w:szCs w:val="24"/>
        </w:rPr>
        <w:t>等。</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8.3.2估值方法</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shd w:val="pct10" w:color="auto" w:fill="FFFFFF"/>
        </w:rPr>
        <w:fldChar w:fldCharType="begin">
          <w:ffData>
            <w:name w:val="文字3"/>
            <w:enabled/>
            <w:calcOnExit w:val="0"/>
            <w:textInput/>
          </w:ffData>
        </w:fldChar>
      </w:r>
      <w:r>
        <w:rPr>
          <w:rFonts w:hint="eastAsia" w:ascii="宋体" w:hAnsi="宋体" w:eastAsia="宋体" w:cs="宋体"/>
          <w:kern w:val="0"/>
          <w:sz w:val="24"/>
          <w:szCs w:val="24"/>
          <w:shd w:val="pct10" w:color="auto" w:fill="FFFFFF"/>
        </w:rPr>
        <w:instrText xml:space="preserve"> FORMTEXT </w:instrText>
      </w:r>
      <w:r>
        <w:rPr>
          <w:rFonts w:hint="eastAsia" w:ascii="宋体" w:hAnsi="宋体" w:eastAsia="宋体" w:cs="宋体"/>
          <w:kern w:val="0"/>
          <w:sz w:val="24"/>
          <w:szCs w:val="24"/>
          <w:shd w:val="pct10" w:color="auto" w:fill="FFFFFF"/>
        </w:rPr>
        <w:fldChar w:fldCharType="separate"/>
      </w:r>
      <w:r>
        <w:rPr>
          <w:rFonts w:hint="eastAsia" w:ascii="宋体" w:hAnsi="宋体" w:eastAsia="宋体" w:cs="宋体"/>
          <w:kern w:val="0"/>
          <w:sz w:val="24"/>
          <w:szCs w:val="24"/>
        </w:rPr>
        <w:t>1、银行存款、存放同业，以成本列示，按商定利率以当日银行存款余额或者存放同业余额为基数，在实际持有期间逐日计提应收利息，银行结息时，如有差异，以实际到账金额为准；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2、票据、贵金属、资产管理计划、信托计划、信贷资产、信托受益权等，根据被投资资产特点，按照成本法估值或者按照双方认可的方法估值；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3、拆借、买入返售等以成本列示，按照商定利率在实际持有期间逐日计提利息；</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4、债券的估值方法：</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同一债券同时在两个或两个以上市场交易的，按债券所处的市场分别估值。</w:t>
      </w:r>
    </w:p>
    <w:p>
      <w:pPr>
        <w:tabs>
          <w:tab w:val="right" w:leader="dot" w:pos="0"/>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在证券交易所市场挂牌交易的实行净价交易的债券按估值日收盘价估值，估值日没有交易的，但最近交易日后经济环境未发生重大变化的，按最近交易日的收盘价估值；估值日无交易，且最近交易日后经济环境发生了重大变化的，将参考类似投资品种的现行市价及重大变化因素，调整最近交易日收盘价，确定公允价值进行估值。如有充足证据表明最近交易日收盘价不能真实地反映公允价值的，应对最近交易日的收盘价进行调整，确定公允价值进行估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在证券交易所市场挂牌交易的未实行净价交易的债券按估值日收盘价减去债券收盘价中所含的债券应收利息得到的净价进行估值，估值日没有交易的，但最近交易日后经济环境未发生重大变化的，按最近交易日债券收盘价减去所含的最近交易日债券应收利息后的净价进行估值；估值日无交易，且最近交易日后经济环境发生了重大变化的，将参考类似投资品种的现行市价（净价）及重大变化因素，调整最近交易日收盘价（净价），确定公允价值进行估值。如有充足证据表明最近交易日收盘价（净价）不能真实地反映公允价值的，应对最近交易日的收盘价（净价）进行调整，确定公允价值进行估值。</w:t>
      </w:r>
    </w:p>
    <w:p>
      <w:pPr>
        <w:numPr>
          <w:ilvl w:val="0"/>
          <w:numId w:val="2"/>
        </w:num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首次发行未上市债券采用估值技术确定的公允价值进行估值，在估值技术难以可靠计量公允价值的情况下，按成本估值。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（4）在银行间债券市场交易的债券根据行业协会指导的处理标准或意见并综合考虑市场成交价、市场报价、流动性及收益率曲线等因素确定其公允价值进行估值。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5、证券投资基金的估值：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（1）上市流通的证券投资基金按估值日其所在证券交易所的收盘价估值；估值日无交易的，以最近一个交易日的收盘价估值。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开放式基金（包括托管在场外的上市开放式基金（LOF））以估值日前一工作日基金净值估值，估值日前一工作日开放式基金单位净值未公布的，以此前最近一个工作日基金净值计算；处于募集期的开放式基金以认购成本估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（3）货币市场基金以成本估值，按照该基金公布的前一工作日每万份收益逐日计提收益。</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6、不存在活跃市场的有价证券估值：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交易所或银行间上市不存在活跃市场的有价证券，采用估值技术确定公允价值，在估值技术难以可靠计量公允价值的情况下，按成本进行估值，管理人应持续评估上述做法的适当性，定期评估估值质量，并对估值价格进行检验，防范可能出现的偏差并在情况发生改变时做出适当调整。</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如有确凿证据表明按上述方法进行估值不能客观反映其公允价值的，或在理财产品所投资资产发生异常事件导致无法采用前述估值方法的，管理人应根据相关监管规定、行业规则等具体情况及时评估，论证采用新估值方法的合规合理性，并按照最能反映公允价值的价格估值。由此产生的风险由管理人承担。</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8、其他资产的估值方法：</w:t>
      </w:r>
      <w:r>
        <w:rPr>
          <w:rFonts w:hint="eastAsia" w:ascii="宋体" w:hAnsi="宋体" w:eastAsia="宋体" w:cs="宋体"/>
          <w:kern w:val="0"/>
          <w:sz w:val="24"/>
          <w:szCs w:val="24"/>
          <w:u w:val="single"/>
        </w:rPr>
        <w:fldChar w:fldCharType="begin">
          <w:ffData>
            <w:name w:val="Text4"/>
            <w:enabled/>
            <w:calcOnExit w:val="0"/>
            <w:textInput/>
          </w:ffData>
        </w:fldChar>
      </w:r>
      <w:r>
        <w:rPr>
          <w:rFonts w:hint="eastAsia" w:ascii="宋体" w:hAnsi="宋体" w:eastAsia="宋体" w:cs="宋体"/>
          <w:kern w:val="0"/>
          <w:sz w:val="24"/>
          <w:szCs w:val="24"/>
          <w:u w:val="single"/>
        </w:rPr>
        <w:instrText xml:space="preserve">FORMTEXT</w:instrText>
      </w:r>
      <w:r>
        <w:rPr>
          <w:rFonts w:hint="eastAsia" w:ascii="宋体" w:hAnsi="宋体" w:eastAsia="宋体" w:cs="宋体"/>
          <w:kern w:val="0"/>
          <w:sz w:val="24"/>
          <w:szCs w:val="24"/>
          <w:u w:val="single"/>
        </w:rPr>
        <w:fldChar w:fldCharType="separate"/>
      </w:r>
      <w:r>
        <w:rPr>
          <w:rFonts w:hint="eastAsia" w:ascii="宋体" w:hAnsi="宋体" w:eastAsia="宋体" w:cs="宋体"/>
          <w:kern w:val="0"/>
          <w:sz w:val="24"/>
          <w:szCs w:val="24"/>
          <w:u w:val="single"/>
        </w:rPr>
        <w:t> </w:t>
      </w:r>
      <w:r>
        <w:rPr>
          <w:rFonts w:hint="eastAsia" w:ascii="宋体" w:hAnsi="宋体" w:cs="宋体"/>
          <w:kern w:val="0"/>
          <w:sz w:val="24"/>
          <w:szCs w:val="24"/>
          <w:u w:val="single"/>
          <w:lang w:val="en-US" w:eastAsia="zh-CN"/>
        </w:rPr>
        <w:t>/</w:t>
      </w:r>
      <w:r>
        <w:rPr>
          <w:rFonts w:hint="eastAsia" w:ascii="宋体" w:hAnsi="宋体" w:eastAsia="宋体" w:cs="宋体"/>
          <w:kern w:val="0"/>
          <w:sz w:val="24"/>
          <w:szCs w:val="24"/>
          <w:u w:val="single"/>
        </w:rPr>
        <w:t> </w:t>
      </w:r>
      <w:r>
        <w:rPr>
          <w:rFonts w:hint="eastAsia" w:ascii="宋体" w:hAnsi="宋体" w:eastAsia="宋体" w:cs="宋体"/>
          <w:kern w:val="0"/>
          <w:sz w:val="24"/>
          <w:szCs w:val="24"/>
          <w:u w:val="single"/>
        </w:rPr>
        <w:fldChar w:fldCharType="end"/>
      </w:r>
      <w:r>
        <w:rPr>
          <w:rFonts w:hint="eastAsia" w:ascii="宋体" w:hAnsi="宋体" w:eastAsia="宋体" w:cs="宋体"/>
          <w:kern w:val="0"/>
          <w:sz w:val="24"/>
          <w:szCs w:val="24"/>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shd w:val="clear" w:color="FFFFFF" w:fill="D9D9D9"/>
        </w:rPr>
      </w:pPr>
      <w:r>
        <w:rPr>
          <w:rFonts w:hint="eastAsia" w:ascii="宋体" w:hAnsi="宋体" w:eastAsia="宋体" w:cs="宋体"/>
          <w:kern w:val="0"/>
          <w:sz w:val="24"/>
          <w:szCs w:val="24"/>
        </w:rPr>
        <w:t>9、国家有最新规定的，按其规定进行估值。</w:t>
      </w:r>
      <w:r>
        <w:rPr>
          <w:rFonts w:hint="eastAsia" w:ascii="宋体" w:hAnsi="宋体" w:eastAsia="宋体" w:cs="宋体"/>
          <w:kern w:val="0"/>
          <w:sz w:val="24"/>
          <w:szCs w:val="24"/>
          <w:shd w:val="pct10" w:color="auto" w:fill="FFFFFF"/>
        </w:rPr>
        <w:fldChar w:fldCharType="end"/>
      </w:r>
      <w:r>
        <w:rPr>
          <w:rFonts w:hint="eastAsia" w:ascii="宋体" w:hAnsi="宋体" w:eastAsia="宋体" w:cs="宋体"/>
          <w:kern w:val="0"/>
          <w:sz w:val="24"/>
          <w:szCs w:val="24"/>
        </w:rPr>
        <w:t> </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8.3.3交易数据传递和估值结果核对</w:t>
      </w:r>
    </w:p>
    <w:p>
      <w:pPr>
        <w:tabs>
          <w:tab w:val="right" w:leader="dot" w:pos="284"/>
          <w:tab w:val="left" w:pos="1455"/>
        </w:tabs>
        <w:spacing w:line="360" w:lineRule="auto"/>
        <w:ind w:firstLine="480" w:firstLineChars="200"/>
        <w:rPr>
          <w:rFonts w:hint="eastAsia" w:ascii="宋体" w:hAnsi="宋体" w:eastAsia="宋体" w:cs="宋体"/>
          <w:b/>
          <w:bCs/>
          <w:kern w:val="0"/>
          <w:sz w:val="24"/>
          <w:szCs w:val="24"/>
        </w:rPr>
      </w:pPr>
      <w:r>
        <w:rPr>
          <w:rFonts w:hint="eastAsia" w:ascii="宋体" w:hAnsi="宋体" w:eastAsia="宋体" w:cs="宋体"/>
          <w:kern w:val="0"/>
          <w:sz w:val="24"/>
          <w:szCs w:val="24"/>
        </w:rPr>
        <w:t>对于日常交易数据的传递，管理人应及时将交易数据发送给托管人（根据</w:t>
      </w:r>
      <w:r>
        <w:rPr>
          <w:rFonts w:hint="eastAsia" w:ascii="宋体" w:hAnsi="宋体" w:eastAsia="宋体" w:cs="宋体"/>
          <w:kern w:val="0"/>
          <w:sz w:val="24"/>
          <w:szCs w:val="24"/>
          <w:shd w:val="pct10" w:color="auto" w:fill="FFFFFF"/>
        </w:rPr>
        <w:fldChar w:fldCharType="begin">
          <w:ffData>
            <w:name w:val="文字3"/>
            <w:enabled/>
            <w:calcOnExit w:val="0"/>
            <w:textInput/>
          </w:ffData>
        </w:fldChar>
      </w:r>
      <w:r>
        <w:rPr>
          <w:rFonts w:hint="eastAsia" w:ascii="宋体" w:hAnsi="宋体" w:eastAsia="宋体" w:cs="宋体"/>
          <w:kern w:val="0"/>
          <w:sz w:val="24"/>
          <w:szCs w:val="24"/>
          <w:shd w:val="pct10" w:color="auto" w:fill="FFFFFF"/>
        </w:rPr>
        <w:instrText xml:space="preserve"> FORMTEXT </w:instrText>
      </w:r>
      <w:r>
        <w:rPr>
          <w:rFonts w:hint="eastAsia" w:ascii="宋体" w:hAnsi="宋体" w:eastAsia="宋体" w:cs="宋体"/>
          <w:kern w:val="0"/>
          <w:sz w:val="24"/>
          <w:szCs w:val="24"/>
          <w:shd w:val="pct10" w:color="auto" w:fill="FFFFFF"/>
        </w:rPr>
        <w:fldChar w:fldCharType="separate"/>
      </w:r>
      <w:r>
        <w:rPr>
          <w:rFonts w:hint="eastAsia" w:ascii="宋体" w:hAnsi="宋体" w:eastAsia="宋体" w:cs="宋体"/>
          <w:kern w:val="0"/>
          <w:sz w:val="24"/>
          <w:szCs w:val="24"/>
          <w:shd w:val="pct10" w:color="auto" w:fill="FFFFFF"/>
        </w:rPr>
        <w:t>《</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齐鲁银行泉心理财人民币理财计划</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shd w:val="pct10" w:color="auto" w:fill="FFFFFF"/>
        </w:rPr>
        <w:t>资金托管协议之证券投资操作备忘录》 </w:t>
      </w:r>
      <w:r>
        <w:rPr>
          <w:rFonts w:hint="eastAsia" w:ascii="宋体" w:hAnsi="宋体" w:eastAsia="宋体" w:cs="宋体"/>
          <w:kern w:val="0"/>
          <w:sz w:val="24"/>
          <w:szCs w:val="24"/>
          <w:shd w:val="pct10" w:color="auto" w:fill="FFFFFF"/>
        </w:rPr>
        <w:fldChar w:fldCharType="end"/>
      </w:r>
      <w:r>
        <w:rPr>
          <w:rFonts w:hint="eastAsia" w:ascii="宋体" w:hAnsi="宋体" w:eastAsia="宋体" w:cs="宋体"/>
          <w:kern w:val="0"/>
          <w:sz w:val="24"/>
          <w:szCs w:val="24"/>
        </w:rPr>
        <w:t>约定由证券经纪商直接发送给托管人的除外），管理人按交易日进行交易记录的核对，交易日终时向托管人发送当日理财产品所有投资资产的交易交割单以供托管人核算估值。</w:t>
      </w:r>
      <w:r>
        <w:rPr>
          <w:rFonts w:hint="eastAsia" w:ascii="宋体" w:hAnsi="宋体" w:eastAsia="宋体" w:cs="宋体"/>
          <w:b/>
          <w:bCs/>
          <w:kern w:val="0"/>
          <w:sz w:val="24"/>
          <w:szCs w:val="24"/>
        </w:rPr>
        <w:t>托管人不承担管理人提供错误交易数据导致任何损失的责任</w:t>
      </w:r>
      <w:r>
        <w:rPr>
          <w:rFonts w:hint="eastAsia" w:ascii="宋体" w:hAnsi="宋体" w:cs="宋体"/>
          <w:b/>
          <w:bCs/>
          <w:kern w:val="0"/>
          <w:sz w:val="24"/>
          <w:szCs w:val="24"/>
          <w:lang w:eastAsia="zh-Hans"/>
        </w:rPr>
        <w:t>，</w:t>
      </w:r>
      <w:r>
        <w:rPr>
          <w:rFonts w:hint="eastAsia" w:ascii="宋体" w:hAnsi="宋体" w:cs="宋体"/>
          <w:b/>
          <w:bCs/>
          <w:kern w:val="0"/>
          <w:sz w:val="24"/>
          <w:szCs w:val="24"/>
          <w:lang w:val="en-US" w:eastAsia="zh-Hans"/>
        </w:rPr>
        <w:t>托管人未勤勉尽责的除外</w:t>
      </w:r>
      <w:r>
        <w:rPr>
          <w:rFonts w:hint="eastAsia" w:ascii="宋体" w:hAnsi="宋体" w:eastAsia="宋体" w:cs="宋体"/>
          <w:b/>
          <w:bCs/>
          <w:kern w:val="0"/>
          <w:sz w:val="24"/>
          <w:szCs w:val="24"/>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管理人应根据产品特点，</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 每个工作日/每周/每月 </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与托管人就估值结果通过</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传真、电话、电子邮件或双方认可的方式 </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进行核对。核对有误的应及时告知对方，双方共同查明原因，及时调整账务，直到一致。如果双方在合理期限内未能达成一致意见，则最终以管理人确认的数据为准，由此给委托人或理财财产造成的损失，由管理人承担全部责任。</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8.3.4特殊情形的处理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管理人、托管人</w:t>
      </w:r>
      <w:r>
        <w:rPr>
          <w:rFonts w:hint="eastAsia" w:ascii="宋体" w:hAnsi="宋体" w:eastAsia="宋体" w:cs="宋体"/>
          <w:sz w:val="24"/>
          <w:szCs w:val="24"/>
        </w:rPr>
        <w:t>按第8.3.2项</w:t>
      </w:r>
      <w:r>
        <w:rPr>
          <w:rFonts w:hint="eastAsia" w:ascii="宋体" w:hAnsi="宋体" w:eastAsia="宋体" w:cs="宋体"/>
          <w:kern w:val="0"/>
          <w:sz w:val="24"/>
          <w:szCs w:val="24"/>
        </w:rPr>
        <w:t>进行估值时，所造成的误差不作为本系列理财产品份额净值错误处理。</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如管理人或托管人发现资产估值违反本协议订明的估值方法、程序及相关法律法规的规定或者未能充分维护委托人利益时，应</w:t>
      </w:r>
      <w:r>
        <w:rPr>
          <w:rFonts w:hint="eastAsia" w:ascii="宋体" w:hAnsi="宋体" w:eastAsia="宋体" w:cs="宋体"/>
          <w:sz w:val="24"/>
          <w:szCs w:val="24"/>
          <w:lang w:eastAsia="zh-CN"/>
        </w:rPr>
        <w:t>及时</w:t>
      </w:r>
      <w:r>
        <w:rPr>
          <w:rFonts w:hint="eastAsia" w:ascii="宋体" w:hAnsi="宋体" w:eastAsia="宋体" w:cs="宋体"/>
          <w:sz w:val="24"/>
          <w:szCs w:val="24"/>
        </w:rPr>
        <w:t>通知对方，共同查明原因，协商解决，如经相关各方在平等基础上充分讨论后，仍无法达成一致意见，以管理人的意见为准。</w:t>
      </w:r>
      <w:r>
        <w:rPr>
          <w:rFonts w:hint="eastAsia" w:ascii="宋体" w:hAnsi="宋体" w:eastAsia="宋体" w:cs="宋体"/>
          <w:kern w:val="0"/>
          <w:sz w:val="24"/>
          <w:szCs w:val="24"/>
        </w:rPr>
        <w:t>由此给委托人或理财财产造成的损失，由管理人承担全部责任</w:t>
      </w:r>
      <w:r>
        <w:rPr>
          <w:rFonts w:hint="eastAsia" w:ascii="宋体" w:hAnsi="宋体" w:cs="宋体"/>
          <w:kern w:val="0"/>
          <w:sz w:val="24"/>
          <w:szCs w:val="24"/>
          <w:lang w:eastAsia="zh-Hans"/>
        </w:rPr>
        <w:t>，</w:t>
      </w:r>
      <w:r>
        <w:rPr>
          <w:rFonts w:hint="eastAsia" w:ascii="宋体" w:hAnsi="宋体" w:cs="宋体"/>
          <w:kern w:val="0"/>
          <w:sz w:val="24"/>
          <w:szCs w:val="24"/>
          <w:lang w:val="en-US" w:eastAsia="zh-Hans"/>
        </w:rPr>
        <w:t>托管人存在过错的除外。</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bookmarkStart w:id="66" w:name="_Toc233017927"/>
      <w:r>
        <w:rPr>
          <w:rFonts w:hint="eastAsia" w:ascii="宋体" w:hAnsi="宋体" w:eastAsia="宋体" w:cs="宋体"/>
          <w:sz w:val="24"/>
          <w:szCs w:val="24"/>
        </w:rPr>
        <w:t>4理财财产的会计核算</w:t>
      </w:r>
      <w:bookmarkEnd w:id="66"/>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本理财财产的会计政策比照证券投资基金现行政策执行。</w:t>
      </w:r>
      <w:r>
        <w:rPr>
          <w:rFonts w:hint="eastAsia" w:ascii="宋体" w:hAnsi="宋体" w:eastAsia="宋体" w:cs="宋体"/>
          <w:kern w:val="0"/>
          <w:sz w:val="24"/>
          <w:szCs w:val="24"/>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8.4.1会计年度、计账本位币和会计核算制度</w:t>
      </w:r>
    </w:p>
    <w:p>
      <w:pPr>
        <w:numPr>
          <w:ilvl w:val="0"/>
          <w:numId w:val="3"/>
        </w:num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本理财财产的会计年度为每年1月1日至12月31日。</w:t>
      </w:r>
    </w:p>
    <w:p>
      <w:pPr>
        <w:numPr>
          <w:ilvl w:val="0"/>
          <w:numId w:val="4"/>
        </w:num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计账本位币为人民币，计账单位为元。</w:t>
      </w:r>
    </w:p>
    <w:p>
      <w:pPr>
        <w:numPr>
          <w:ilvl w:val="0"/>
          <w:numId w:val="5"/>
        </w:num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本理财财产的会计核算按照《证券投资基金会计核算业务指引》执行。</w:t>
      </w:r>
      <w:r>
        <w:rPr>
          <w:rFonts w:hint="eastAsia" w:ascii="宋体" w:hAnsi="宋体" w:eastAsia="宋体" w:cs="宋体"/>
          <w:kern w:val="0"/>
          <w:sz w:val="24"/>
          <w:szCs w:val="24"/>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8.4.2会计核算方法</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（1）管理人、托管人应根据有关法律法规和委托人的相关规定，对理财财产独立建账、独立核算。</w:t>
      </w:r>
    </w:p>
    <w:p>
      <w:pPr>
        <w:numPr>
          <w:ilvl w:val="0"/>
          <w:numId w:val="6"/>
        </w:num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管理人应保留完整的会计账目、凭证并进行日常的会计核算，编制会计报表。</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（3）托管人应定期与管理人就理财财产的会计核算、报表编制等进行核对。</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8.5资金账目的核对</w:t>
      </w:r>
    </w:p>
    <w:p>
      <w:pPr>
        <w:tabs>
          <w:tab w:val="right" w:leader="dot" w:pos="284"/>
          <w:tab w:val="left" w:pos="1455"/>
        </w:tabs>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highlight w:val="none"/>
        </w:rPr>
        <w:t>托管人应管理人要求开通托管账户网上银行或线上托管运营服务平台查询功能，管理人及时查询托管账户资金变动和余额情况。</w:t>
      </w:r>
      <w:r>
        <w:rPr>
          <w:rFonts w:hint="eastAsia" w:ascii="宋体" w:hAnsi="宋体" w:eastAsia="宋体" w:cs="宋体"/>
          <w:kern w:val="0"/>
          <w:sz w:val="24"/>
          <w:szCs w:val="24"/>
        </w:rPr>
        <w:t xml:space="preserve"> </w:t>
      </w:r>
      <w:bookmarkStart w:id="67" w:name="_Toc382240763"/>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bookmarkStart w:id="68" w:name="_Toc57797446"/>
      <w:bookmarkStart w:id="69" w:name="_Toc51421609"/>
      <w:r>
        <w:rPr>
          <w:rFonts w:hint="eastAsia" w:ascii="宋体" w:hAnsi="宋体" w:eastAsia="宋体" w:cs="宋体"/>
          <w:kern w:val="0"/>
          <w:sz w:val="24"/>
          <w:szCs w:val="24"/>
        </w:rPr>
        <w:t>8.</w:t>
      </w:r>
      <w:r>
        <w:rPr>
          <w:rFonts w:hint="eastAsia" w:ascii="宋体" w:hAnsi="宋体" w:eastAsia="宋体" w:cs="宋体"/>
          <w:kern w:val="0"/>
          <w:sz w:val="24"/>
          <w:szCs w:val="24"/>
          <w:lang w:val="en-US" w:eastAsia="zh-CN"/>
        </w:rPr>
        <w:t>6期初值的确定</w:t>
      </w:r>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对于每只理财产品，管理人需于期初向托管人提交包含理财产品期初值的的</w:t>
      </w:r>
      <w:r>
        <w:rPr>
          <w:rFonts w:hint="eastAsia" w:ascii="宋体" w:hAnsi="宋体" w:eastAsia="宋体" w:cs="宋体"/>
          <w:sz w:val="24"/>
          <w:szCs w:val="24"/>
          <w:lang w:val="en-US" w:eastAsia="zh-CN"/>
        </w:rPr>
        <w:t>理财产品估值表</w:t>
      </w:r>
      <w:r>
        <w:rPr>
          <w:rFonts w:hint="eastAsia" w:ascii="宋体" w:hAnsi="宋体" w:eastAsia="宋体" w:cs="宋体"/>
          <w:sz w:val="24"/>
          <w:szCs w:val="24"/>
          <w:lang w:eastAsia="zh-CN"/>
        </w:rPr>
        <w:t>，</w:t>
      </w:r>
      <w:r>
        <w:rPr>
          <w:rFonts w:hint="eastAsia" w:ascii="宋体" w:hAnsi="宋体" w:eastAsia="宋体" w:cs="宋体"/>
          <w:kern w:val="0"/>
          <w:sz w:val="24"/>
          <w:szCs w:val="24"/>
          <w:lang w:val="en-US" w:eastAsia="zh-CN"/>
        </w:rPr>
        <w:t>并加盖管理人预留印鉴，</w:t>
      </w:r>
      <w:r>
        <w:rPr>
          <w:rFonts w:hint="eastAsia" w:ascii="宋体" w:hAnsi="宋体" w:eastAsia="宋体" w:cs="宋体"/>
          <w:sz w:val="24"/>
          <w:szCs w:val="24"/>
          <w:lang w:val="en-US" w:eastAsia="zh-CN"/>
        </w:rPr>
        <w:t>估值表数据以管理人确定为准。</w:t>
      </w:r>
    </w:p>
    <w:p>
      <w:pPr>
        <w:pStyle w:val="2"/>
        <w:adjustRightInd w:val="0"/>
        <w:spacing w:before="0" w:after="0" w:line="360" w:lineRule="auto"/>
        <w:jc w:val="center"/>
        <w:textAlignment w:val="auto"/>
        <w:rPr>
          <w:rFonts w:hint="eastAsia" w:ascii="宋体" w:hAnsi="宋体" w:eastAsia="宋体" w:cs="宋体"/>
          <w:bCs w:val="0"/>
          <w:kern w:val="2"/>
          <w:sz w:val="24"/>
          <w:szCs w:val="24"/>
        </w:rPr>
      </w:pPr>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70" w:name="_Toc9039"/>
      <w:r>
        <w:rPr>
          <w:rFonts w:hint="eastAsia" w:ascii="宋体" w:hAnsi="宋体" w:eastAsia="宋体" w:cs="宋体"/>
          <w:bCs w:val="0"/>
          <w:kern w:val="2"/>
          <w:sz w:val="24"/>
          <w:szCs w:val="24"/>
        </w:rPr>
        <w:t>第九条  理财产品承担的各项费用</w:t>
      </w:r>
      <w:bookmarkEnd w:id="67"/>
      <w:bookmarkEnd w:id="68"/>
      <w:bookmarkEnd w:id="69"/>
      <w:bookmarkEnd w:id="70"/>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9.1税费的承担</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color w:val="000000"/>
          <w:kern w:val="0"/>
          <w:sz w:val="24"/>
          <w:szCs w:val="24"/>
        </w:rPr>
        <w:t>理财产品合同各方当事人作为各纳税主体依据国家有关规定依法自行纳税。应由理财财产承担的税费，由管理人按照国家有关规定办理。按国家有关规定由管理人缴纳的理财财产承担的税费，由托管人根据管理人出具的划款指令，将该笔款项从托管账户中向管理人指定账户中划拨</w:t>
      </w:r>
      <w:r>
        <w:rPr>
          <w:rFonts w:hint="eastAsia" w:ascii="宋体" w:hAnsi="宋体" w:eastAsia="宋体" w:cs="宋体"/>
          <w:kern w:val="0"/>
          <w:sz w:val="24"/>
          <w:szCs w:val="24"/>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9.2 管理费的计算及支付方法</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9.2.1管理人作为理财产品发行人和管理人，有权按照理财产品合同的约定收取理财产品管理费。</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9.2.2管理费的计算方法：</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kern w:val="0"/>
          <w:sz w:val="24"/>
          <w:szCs w:val="24"/>
          <w:u w:val="single"/>
          <w:shd w:val="clear" w:color="FFFFFF" w:fill="D9D9D9"/>
        </w:rPr>
        <w:fldChar w:fldCharType="begin">
          <w:ffData>
            <w:enabled/>
            <w:calcOnExit w:val="0"/>
            <w:textInput/>
          </w:ffData>
        </w:fldChar>
      </w:r>
      <w:r>
        <w:rPr>
          <w:rFonts w:hint="eastAsia" w:ascii="宋体" w:hAnsi="宋体" w:eastAsia="宋体" w:cs="宋体"/>
          <w:kern w:val="0"/>
          <w:sz w:val="24"/>
          <w:szCs w:val="24"/>
          <w:u w:val="single"/>
          <w:shd w:val="clear" w:color="FFFFFF" w:fill="D9D9D9"/>
        </w:rPr>
        <w:instrText xml:space="preserve">FORMTEXT</w:instrText>
      </w:r>
      <w:r>
        <w:rPr>
          <w:rFonts w:hint="eastAsia" w:ascii="宋体" w:hAnsi="宋体" w:eastAsia="宋体" w:cs="宋体"/>
          <w:kern w:val="0"/>
          <w:sz w:val="24"/>
          <w:szCs w:val="24"/>
          <w:u w:val="single"/>
          <w:shd w:val="clear" w:color="FFFFFF" w:fill="D9D9D9"/>
        </w:rPr>
        <w:fldChar w:fldCharType="separate"/>
      </w:r>
      <w:r>
        <w:rPr>
          <w:rFonts w:hint="eastAsia" w:ascii="宋体" w:hAnsi="宋体" w:eastAsia="宋体" w:cs="宋体"/>
          <w:kern w:val="0"/>
          <w:sz w:val="24"/>
          <w:szCs w:val="24"/>
          <w:u w:val="single"/>
          <w:shd w:val="clear" w:color="FFFFFF" w:fill="D9D9D9"/>
        </w:rPr>
        <w:t>【当日计提的管理费=前一日的理财产品资产净值×管理年费率/365】</w:t>
      </w:r>
      <w:r>
        <w:rPr>
          <w:rFonts w:hint="eastAsia" w:ascii="宋体" w:hAnsi="宋体" w:eastAsia="宋体" w:cs="宋体"/>
          <w:kern w:val="0"/>
          <w:sz w:val="24"/>
          <w:szCs w:val="24"/>
          <w:u w:val="single"/>
          <w:shd w:val="clear" w:color="FFFFFF" w:fill="D9D9D9"/>
        </w:rPr>
        <w:fldChar w:fldCharType="end"/>
      </w:r>
      <w:r>
        <w:rPr>
          <w:rFonts w:hint="eastAsia" w:ascii="宋体" w:hAnsi="宋体" w:eastAsia="宋体" w:cs="宋体"/>
          <w:kern w:val="0"/>
          <w:sz w:val="24"/>
          <w:szCs w:val="24"/>
          <w:u w:val="single"/>
          <w:shd w:val="clear" w:color="FFFFFF" w:fill="D9D9D9"/>
          <w:lang w:eastAsia="zh-CN"/>
        </w:rPr>
        <w:t>，</w:t>
      </w:r>
      <w:r>
        <w:rPr>
          <w:rFonts w:hint="eastAsia" w:ascii="宋体" w:hAnsi="宋体" w:eastAsia="宋体" w:cs="宋体"/>
          <w:kern w:val="0"/>
          <w:sz w:val="24"/>
          <w:szCs w:val="24"/>
          <w:u w:val="single"/>
          <w:shd w:val="clear" w:color="FFFFFF" w:fill="D9D9D9"/>
          <w:lang w:val="en-US" w:eastAsia="zh-CN"/>
        </w:rPr>
        <w:t>管理年费率以甲方发布的每期理财产品说明书为准。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9.2.3管理费的支付方式：</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管理费自理财产品运作起始日起，按日计提，按自然季支付，每季度支付日为该自然季度结束后下一月的前五个工作日内。</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rPr>
        <w:t>管理费的支付由托管人根据管理人出具的划款指令，经托管人复核后从理财产品托管账户中支付。</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9.3 托管费的计算及支付方法</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9.3.1托管人作为理财资金托管人按托管协议提供托管服务，按照下述约定收取托管费。</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9.3.2托管费的计算方法：</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u w:val="single"/>
          <w:shd w:val="clear" w:color="FFFFFF" w:fill="D9D9D9"/>
        </w:rPr>
        <w:fldChar w:fldCharType="begin">
          <w:ffData>
            <w:enabled/>
            <w:calcOnExit w:val="0"/>
            <w:textInput/>
          </w:ffData>
        </w:fldChar>
      </w:r>
      <w:r>
        <w:rPr>
          <w:rFonts w:hint="eastAsia" w:ascii="宋体" w:hAnsi="宋体" w:eastAsia="宋体" w:cs="宋体"/>
          <w:kern w:val="0"/>
          <w:sz w:val="24"/>
          <w:szCs w:val="24"/>
          <w:u w:val="single"/>
          <w:shd w:val="clear" w:color="FFFFFF" w:fill="D9D9D9"/>
        </w:rPr>
        <w:instrText xml:space="preserve">FORMTEXT</w:instrText>
      </w:r>
      <w:r>
        <w:rPr>
          <w:rFonts w:hint="eastAsia" w:ascii="宋体" w:hAnsi="宋体" w:eastAsia="宋体" w:cs="宋体"/>
          <w:kern w:val="0"/>
          <w:sz w:val="24"/>
          <w:szCs w:val="24"/>
          <w:u w:val="single"/>
          <w:shd w:val="clear" w:color="FFFFFF" w:fill="D9D9D9"/>
        </w:rPr>
        <w:fldChar w:fldCharType="separate"/>
      </w:r>
      <w:r>
        <w:rPr>
          <w:rFonts w:hint="eastAsia" w:ascii="宋体" w:hAnsi="宋体" w:eastAsia="宋体" w:cs="宋体"/>
          <w:kern w:val="0"/>
          <w:sz w:val="24"/>
          <w:szCs w:val="24"/>
          <w:u w:val="single"/>
          <w:shd w:val="clear" w:color="FFFFFF" w:fill="D9D9D9"/>
        </w:rPr>
        <w:t>【当日计提的托管费=前一日的理财产品资产净值×托管年费率</w:t>
      </w:r>
      <w:r>
        <w:rPr>
          <w:rFonts w:hint="eastAsia" w:ascii="宋体" w:hAnsi="宋体" w:eastAsia="宋体" w:cs="宋体"/>
          <w:kern w:val="0"/>
          <w:sz w:val="24"/>
          <w:szCs w:val="24"/>
          <w:u w:val="single"/>
          <w:shd w:val="clear" w:color="FFFFFF" w:fill="D9D9D9"/>
          <w:lang w:val="en-US" w:eastAsia="zh-CN"/>
        </w:rPr>
        <w:t>0.01%</w:t>
      </w:r>
      <w:r>
        <w:rPr>
          <w:rFonts w:hint="eastAsia" w:ascii="宋体" w:hAnsi="宋体" w:eastAsia="宋体" w:cs="宋体"/>
          <w:kern w:val="0"/>
          <w:sz w:val="24"/>
          <w:szCs w:val="24"/>
          <w:u w:val="single"/>
          <w:shd w:val="clear" w:color="FFFFFF" w:fill="D9D9D9"/>
        </w:rPr>
        <w:t>/365】</w:t>
      </w:r>
      <w:r>
        <w:rPr>
          <w:rFonts w:hint="eastAsia" w:ascii="宋体" w:hAnsi="宋体" w:eastAsia="宋体" w:cs="宋体"/>
          <w:kern w:val="0"/>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9.3.3托管费的支付方式：</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托管费自理财产品运作起始日起，按日计提，按自然季支付，每季度支付日为该自然季度结束后下一月的前五个工作日内。</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kern w:val="0"/>
          <w:sz w:val="24"/>
          <w:szCs w:val="24"/>
        </w:rPr>
        <w:t>托管费的支付由托管人根据管理人出具的划款指令，经托管人复核后从理财产品托管账户中支付。</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托管人有权自动扣除逾期未支付的托管费，逾期扣费无需管理人出具划款指令。理财产品延期时，托管费按理财产品实际存续天数计算。</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托管手续费账户信息如下：</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sz w:val="24"/>
          <w:szCs w:val="24"/>
          <w:u w:val="single"/>
          <w:shd w:val="clear" w:color="FFFFFF" w:fill="D9D9D9"/>
        </w:rPr>
        <w:t>账户名称（接收托管费）：他行发行银行理财产品托管费</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sz w:val="24"/>
          <w:szCs w:val="24"/>
          <w:u w:val="single"/>
          <w:shd w:val="clear" w:color="FFFFFF" w:fill="D9D9D9"/>
        </w:rPr>
        <w:t>账    号：C110160</w:t>
      </w:r>
    </w:p>
    <w:p>
      <w:pPr>
        <w:tabs>
          <w:tab w:val="right" w:leader="dot" w:pos="284"/>
          <w:tab w:val="left" w:pos="1455"/>
        </w:tabs>
        <w:spacing w:line="360" w:lineRule="auto"/>
        <w:ind w:firstLine="480" w:firstLineChars="200"/>
        <w:rPr>
          <w:rFonts w:hint="eastAsia" w:ascii="宋体" w:hAnsi="宋体" w:eastAsia="宋体" w:cs="宋体"/>
          <w:sz w:val="24"/>
          <w:szCs w:val="24"/>
          <w:u w:val="single"/>
          <w:shd w:val="clear" w:color="FFFFFF" w:fill="D9D9D9"/>
        </w:rPr>
      </w:pPr>
      <w:r>
        <w:rPr>
          <w:rFonts w:hint="eastAsia" w:ascii="宋体" w:hAnsi="宋体" w:eastAsia="宋体" w:cs="宋体"/>
          <w:sz w:val="24"/>
          <w:szCs w:val="24"/>
          <w:u w:val="single"/>
          <w:shd w:val="clear" w:color="FFFFFF" w:fill="D9D9D9"/>
        </w:rPr>
        <w:t>开户银行：中国民生银行</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9.4 其他费用</w:t>
      </w:r>
    </w:p>
    <w:p>
      <w:pPr>
        <w:tabs>
          <w:tab w:val="right" w:leader="dot" w:pos="284"/>
          <w:tab w:val="left" w:pos="1455"/>
        </w:tabs>
        <w:spacing w:line="360" w:lineRule="auto"/>
        <w:ind w:firstLine="480" w:firstLineChars="200"/>
        <w:rPr>
          <w:rFonts w:hint="eastAsia" w:ascii="宋体" w:hAnsi="宋体" w:eastAsia="宋体" w:cs="宋体"/>
          <w:b/>
          <w:bCs/>
          <w:sz w:val="24"/>
          <w:szCs w:val="24"/>
        </w:rPr>
      </w:pPr>
      <w:r>
        <w:rPr>
          <w:rFonts w:hint="eastAsia" w:ascii="宋体" w:hAnsi="宋体" w:eastAsia="宋体" w:cs="宋体"/>
          <w:kern w:val="0"/>
          <w:sz w:val="24"/>
          <w:szCs w:val="24"/>
        </w:rPr>
        <w:t>其他应该由理财产品承担的费用，托管人根据管理人出具的划款指令进行划拨，如管理人未按时出具划款指令，托管人可书面通知管理人出具划款指令。</w:t>
      </w:r>
      <w:r>
        <w:rPr>
          <w:rFonts w:hint="eastAsia" w:ascii="宋体" w:hAnsi="宋体" w:eastAsia="宋体" w:cs="宋体"/>
          <w:b/>
          <w:bCs/>
          <w:kern w:val="0"/>
          <w:sz w:val="24"/>
          <w:szCs w:val="24"/>
        </w:rPr>
        <w:t>因管理人未按时出具划款指令产生的损失或责任由管理人承担，托管人不承担任何形式的责任</w:t>
      </w:r>
      <w:r>
        <w:rPr>
          <w:rFonts w:hint="eastAsia" w:ascii="宋体" w:hAnsi="宋体" w:cs="宋体"/>
          <w:b/>
          <w:bCs/>
          <w:kern w:val="0"/>
          <w:sz w:val="24"/>
          <w:szCs w:val="24"/>
          <w:lang w:eastAsia="zh-Hans"/>
        </w:rPr>
        <w:t>，</w:t>
      </w:r>
      <w:r>
        <w:rPr>
          <w:rFonts w:hint="eastAsia" w:ascii="宋体" w:hAnsi="宋体" w:cs="宋体"/>
          <w:b/>
          <w:bCs/>
          <w:kern w:val="0"/>
          <w:sz w:val="24"/>
          <w:szCs w:val="24"/>
          <w:lang w:val="en-US" w:eastAsia="zh-Hans"/>
        </w:rPr>
        <w:t>托管人存在过错的除外。</w:t>
      </w:r>
      <w:bookmarkStart w:id="71" w:name="_Toc382240764"/>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72" w:name="_Toc51421610"/>
      <w:bookmarkStart w:id="73" w:name="_Toc57797447"/>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74" w:name="_Toc20685"/>
      <w:r>
        <w:rPr>
          <w:rFonts w:hint="eastAsia" w:ascii="宋体" w:hAnsi="宋体" w:eastAsia="宋体" w:cs="宋体"/>
          <w:bCs w:val="0"/>
          <w:kern w:val="2"/>
          <w:sz w:val="24"/>
          <w:szCs w:val="24"/>
        </w:rPr>
        <w:t>第十条  业务监督与核查</w:t>
      </w:r>
      <w:bookmarkEnd w:id="71"/>
      <w:bookmarkEnd w:id="72"/>
      <w:bookmarkEnd w:id="73"/>
      <w:bookmarkEnd w:id="74"/>
    </w:p>
    <w:p>
      <w:pPr>
        <w:tabs>
          <w:tab w:val="right" w:leader="dot" w:pos="284"/>
          <w:tab w:val="left" w:pos="1455"/>
        </w:tabs>
        <w:spacing w:line="360" w:lineRule="auto"/>
        <w:ind w:firstLine="480" w:firstLineChars="200"/>
        <w:rPr>
          <w:rFonts w:hint="eastAsia" w:ascii="宋体" w:hAnsi="宋体" w:eastAsia="宋体" w:cs="宋体"/>
          <w:b/>
          <w:bCs/>
          <w:kern w:val="0"/>
          <w:sz w:val="24"/>
          <w:szCs w:val="24"/>
        </w:rPr>
      </w:pPr>
      <w:r>
        <w:rPr>
          <w:rFonts w:hint="eastAsia" w:ascii="宋体" w:hAnsi="宋体" w:eastAsia="宋体" w:cs="宋体"/>
          <w:kern w:val="0"/>
          <w:sz w:val="24"/>
          <w:szCs w:val="24"/>
        </w:rPr>
        <w:t>10.1管理人经与托管人协商一致后向托管人提供《投资监督事项表》（见</w:t>
      </w:r>
      <w:r>
        <w:rPr>
          <w:rFonts w:hint="eastAsia" w:ascii="宋体" w:hAnsi="宋体" w:eastAsia="宋体" w:cs="宋体"/>
          <w:kern w:val="0"/>
          <w:sz w:val="24"/>
          <w:szCs w:val="24"/>
          <w:lang w:eastAsia="zh-CN"/>
        </w:rPr>
        <w:t>附件四</w:t>
      </w:r>
      <w:r>
        <w:rPr>
          <w:rFonts w:hint="eastAsia" w:ascii="宋体" w:hAnsi="宋体" w:eastAsia="宋体" w:cs="宋体"/>
          <w:kern w:val="0"/>
          <w:sz w:val="24"/>
          <w:szCs w:val="24"/>
        </w:rPr>
        <w:t>），托管人根据《投资监督事项表》的有关内容对管理人的投资行为进行监督。</w:t>
      </w:r>
      <w:r>
        <w:rPr>
          <w:rFonts w:hint="eastAsia" w:ascii="宋体" w:hAnsi="宋体" w:eastAsia="宋体" w:cs="宋体"/>
          <w:b/>
          <w:bCs/>
          <w:kern w:val="0"/>
          <w:sz w:val="24"/>
          <w:szCs w:val="24"/>
        </w:rPr>
        <w:t>托管人按照《投资监督事项表》的约定履行了相应义务即完成了本协议项下的监督和核查义务。</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10.2在法律法规规定或监管机构的监管规则发生变化时，管理人对理财产品的监督内容进行调整的，应</w:t>
      </w:r>
      <w:r>
        <w:rPr>
          <w:rFonts w:hint="eastAsia" w:ascii="宋体" w:hAnsi="宋体" w:eastAsia="宋体" w:cs="宋体"/>
          <w:sz w:val="24"/>
          <w:szCs w:val="24"/>
        </w:rPr>
        <w:t>在与托管人协商一致后，</w:t>
      </w:r>
      <w:r>
        <w:rPr>
          <w:rFonts w:hint="eastAsia" w:ascii="宋体" w:hAnsi="宋体" w:eastAsia="宋体" w:cs="宋体"/>
          <w:kern w:val="0"/>
          <w:sz w:val="24"/>
          <w:szCs w:val="24"/>
        </w:rPr>
        <w:t>将调整事项</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以书面方式</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及时告知托管人，</w:t>
      </w:r>
      <w:r>
        <w:rPr>
          <w:rFonts w:hint="eastAsia" w:ascii="宋体" w:hAnsi="宋体" w:eastAsia="宋体" w:cs="宋体"/>
          <w:sz w:val="24"/>
          <w:szCs w:val="24"/>
        </w:rPr>
        <w:t>并为新品种或新标准的托管流程设计和系统开发上线预留足够准备时间，同时管理人需向托管人</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电话</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sz w:val="24"/>
          <w:szCs w:val="24"/>
        </w:rPr>
        <w:t>确认，经托管人</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电话</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sz w:val="24"/>
          <w:szCs w:val="24"/>
        </w:rPr>
        <w:t>确认后的调整事项方可生效</w:t>
      </w:r>
      <w:r>
        <w:rPr>
          <w:rFonts w:hint="eastAsia" w:ascii="宋体" w:hAnsi="宋体" w:eastAsia="宋体" w:cs="宋体"/>
          <w:kern w:val="0"/>
          <w:sz w:val="24"/>
          <w:szCs w:val="24"/>
        </w:rPr>
        <w:t>。</w:t>
      </w:r>
    </w:p>
    <w:p>
      <w:pPr>
        <w:tabs>
          <w:tab w:val="right" w:leader="dot" w:pos="284"/>
          <w:tab w:val="left" w:pos="1455"/>
        </w:tabs>
        <w:spacing w:line="360" w:lineRule="auto"/>
        <w:ind w:firstLine="480" w:firstLineChars="200"/>
        <w:rPr>
          <w:rFonts w:hint="eastAsia" w:ascii="宋体" w:hAnsi="宋体" w:eastAsia="宋体" w:cs="宋体"/>
          <w:b/>
          <w:bCs/>
          <w:kern w:val="0"/>
          <w:sz w:val="24"/>
          <w:szCs w:val="24"/>
        </w:rPr>
      </w:pPr>
      <w:r>
        <w:rPr>
          <w:rFonts w:hint="eastAsia" w:ascii="宋体" w:hAnsi="宋体" w:eastAsia="宋体" w:cs="宋体"/>
          <w:kern w:val="0"/>
          <w:sz w:val="24"/>
          <w:szCs w:val="24"/>
        </w:rPr>
        <w:t>10.3在管理人向托管人发出投资划款指令之前，应向托管人提供与该项投资相关的各项资料，包括但不限于理财产品资金运用说明书及与该理财产品投资有关的合同、协议，所有文本需为正本或经与原件核对一致并加盖管理人预留印鉴的复印或传真件；</w:t>
      </w:r>
      <w:r>
        <w:rPr>
          <w:rFonts w:hint="eastAsia" w:ascii="宋体" w:hAnsi="宋体" w:eastAsia="宋体" w:cs="宋体"/>
          <w:b/>
          <w:bCs/>
          <w:kern w:val="0"/>
          <w:sz w:val="24"/>
          <w:szCs w:val="24"/>
        </w:rPr>
        <w:t>若管理人不能完整提供上述文件，托管人将暂缓执行指令直至管理人补齐所有文件，托管人不承担任何形式的责任。</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10.4管理人应保证其所提供的上述与投资相关的各项法律文件的合法性、真实性、完整性及有效性，</w:t>
      </w:r>
      <w:r>
        <w:rPr>
          <w:rFonts w:hint="eastAsia" w:ascii="宋体" w:hAnsi="宋体" w:eastAsia="宋体" w:cs="宋体"/>
          <w:b/>
          <w:bCs/>
          <w:kern w:val="0"/>
          <w:sz w:val="24"/>
          <w:szCs w:val="24"/>
        </w:rPr>
        <w:t>如因管理人提供的上述文件不合法、不真实、不完整或失去效力而影响托管人对《投资监督事项表》各项约定的审核或给理财产品或任何第三人带来损失，托管人不承担任何形式的责任</w:t>
      </w:r>
      <w:r>
        <w:rPr>
          <w:rFonts w:hint="eastAsia" w:ascii="宋体" w:hAnsi="宋体" w:cs="宋体"/>
          <w:b/>
          <w:bCs/>
          <w:kern w:val="0"/>
          <w:sz w:val="24"/>
          <w:szCs w:val="24"/>
          <w:lang w:eastAsia="zh-Hans"/>
        </w:rPr>
        <w:t>，</w:t>
      </w:r>
      <w:r>
        <w:rPr>
          <w:rFonts w:hint="eastAsia" w:ascii="宋体" w:hAnsi="宋体" w:cs="宋体"/>
          <w:b/>
          <w:bCs/>
          <w:kern w:val="0"/>
          <w:sz w:val="24"/>
          <w:szCs w:val="24"/>
          <w:lang w:val="en-US" w:eastAsia="zh-Hans"/>
        </w:rPr>
        <w:t>托管人存在过错的除外。</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10.5如果托管人发现管理人违反法律法规规定或《投资监督事项表》的约定进行投资，托管人应及时通知管理人限期纠正，管理人收到通知后应及时核对确认并回复托管人。在限期内，托管人有权随时对通知事项进行复查，督促管理人改正。管理人对托管人通知的违规事项未能在限期内纠正的，以及发生托管人认为可能对理财产品安全产生重大不利影响的情况时，托管人有权先</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书面</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通知管理人确认事实后，可向监管部门提交书面报告。</w:t>
      </w:r>
    </w:p>
    <w:p>
      <w:pPr>
        <w:tabs>
          <w:tab w:val="right" w:leader="dot" w:pos="284"/>
          <w:tab w:val="left" w:pos="1455"/>
        </w:tabs>
        <w:spacing w:line="360" w:lineRule="auto"/>
        <w:ind w:firstLine="480" w:firstLineChars="200"/>
        <w:rPr>
          <w:rFonts w:hint="eastAsia" w:ascii="宋体" w:hAnsi="宋体" w:eastAsia="宋体" w:cs="宋体"/>
          <w:b/>
          <w:bCs/>
          <w:kern w:val="0"/>
          <w:sz w:val="24"/>
          <w:szCs w:val="24"/>
          <w:shd w:val="clear" w:color="FFFFFF" w:fill="D9D9D9"/>
        </w:rPr>
      </w:pPr>
      <w:r>
        <w:rPr>
          <w:rFonts w:hint="eastAsia" w:ascii="宋体" w:hAnsi="宋体" w:eastAsia="宋体" w:cs="宋体"/>
          <w:sz w:val="24"/>
          <w:szCs w:val="24"/>
        </w:rPr>
        <w:t>10.6</w:t>
      </w:r>
      <w:r>
        <w:rPr>
          <w:rFonts w:hint="eastAsia" w:ascii="宋体" w:hAnsi="宋体" w:eastAsia="宋体" w:cs="宋体"/>
          <w:b/>
          <w:bCs/>
          <w:kern w:val="0"/>
          <w:sz w:val="24"/>
          <w:szCs w:val="24"/>
          <w:shd w:val="clear" w:color="FFFFFF" w:fill="D9D9D9"/>
        </w:rPr>
        <w:fldChar w:fldCharType="begin">
          <w:ffData>
            <w:enabled/>
            <w:calcOnExit w:val="0"/>
            <w:textInput/>
          </w:ffData>
        </w:fldChar>
      </w:r>
      <w:r>
        <w:rPr>
          <w:rFonts w:hint="eastAsia" w:ascii="宋体" w:hAnsi="宋体" w:eastAsia="宋体" w:cs="宋体"/>
          <w:b/>
          <w:bCs/>
          <w:kern w:val="0"/>
          <w:sz w:val="24"/>
          <w:szCs w:val="24"/>
          <w:shd w:val="clear" w:color="FFFFFF" w:fill="D9D9D9"/>
        </w:rPr>
        <w:instrText xml:space="preserve">FORMTEXT</w:instrText>
      </w:r>
      <w:r>
        <w:rPr>
          <w:rFonts w:hint="eastAsia" w:ascii="宋体" w:hAnsi="宋体" w:eastAsia="宋体" w:cs="宋体"/>
          <w:b/>
          <w:bCs/>
          <w:kern w:val="0"/>
          <w:sz w:val="24"/>
          <w:szCs w:val="24"/>
          <w:shd w:val="clear" w:color="FFFFFF" w:fill="D9D9D9"/>
        </w:rPr>
        <w:fldChar w:fldCharType="separate"/>
      </w:r>
      <w:r>
        <w:rPr>
          <w:rFonts w:hint="eastAsia" w:ascii="宋体" w:hAnsi="宋体" w:eastAsia="宋体" w:cs="宋体"/>
          <w:b/>
          <w:bCs/>
          <w:kern w:val="0"/>
          <w:sz w:val="24"/>
          <w:szCs w:val="24"/>
          <w:shd w:val="clear" w:color="FFFFFF" w:fill="D9D9D9"/>
        </w:rPr>
        <w:t xml:space="preserve"> 管理人认可托管人采用第三方机构提供的数据和信息进行辅助以完成投资监督义务。托管人</w:t>
      </w:r>
      <w:r>
        <w:rPr>
          <w:rFonts w:hint="eastAsia" w:ascii="宋体" w:hAnsi="宋体" w:eastAsia="宋体" w:cs="宋体"/>
          <w:b/>
          <w:bCs/>
          <w:kern w:val="0"/>
          <w:sz w:val="24"/>
          <w:szCs w:val="24"/>
          <w:shd w:val="clear" w:color="FFFFFF" w:fill="D9D9D9"/>
          <w:lang w:eastAsia="zh-CN"/>
        </w:rPr>
        <w:t>对上述内容进行</w:t>
      </w:r>
      <w:r>
        <w:rPr>
          <w:rFonts w:hint="eastAsia" w:ascii="宋体" w:hAnsi="宋体" w:eastAsia="宋体" w:cs="宋体"/>
          <w:b/>
          <w:bCs/>
          <w:kern w:val="0"/>
          <w:sz w:val="24"/>
          <w:szCs w:val="24"/>
          <w:shd w:val="clear" w:color="FFFFFF" w:fill="D9D9D9"/>
        </w:rPr>
        <w:t>投资监督的准确性和完整性受限于管理人及其他中介机构提供的数据和信息，托管人对这些机构信息的准确性和完整性不作任何担保、暗示或表示。</w:t>
      </w:r>
      <w:r>
        <w:rPr>
          <w:rFonts w:hint="eastAsia" w:ascii="宋体" w:hAnsi="宋体" w:eastAsia="宋体" w:cs="宋体"/>
          <w:b/>
          <w:bCs/>
          <w:kern w:val="0"/>
          <w:sz w:val="24"/>
          <w:szCs w:val="24"/>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b/>
          <w:bCs/>
          <w:sz w:val="24"/>
          <w:szCs w:val="24"/>
        </w:rPr>
      </w:pPr>
      <w:bookmarkStart w:id="75" w:name="_Hlk60308843"/>
      <w:r>
        <w:rPr>
          <w:rFonts w:hint="eastAsia" w:ascii="宋体" w:hAnsi="宋体" w:eastAsia="宋体" w:cs="宋体"/>
          <w:sz w:val="24"/>
          <w:szCs w:val="24"/>
        </w:rPr>
        <w:t>10.7 托管人对理财产品投资限制的监督自理财产品成立日起开始，至理财产品进入清算期止。</w:t>
      </w:r>
      <w:bookmarkEnd w:id="75"/>
      <w:bookmarkStart w:id="76" w:name="_Toc382240765"/>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77" w:name="_Toc51421611"/>
      <w:bookmarkStart w:id="78" w:name="_Toc57797448"/>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79" w:name="_Toc14901"/>
      <w:r>
        <w:rPr>
          <w:rFonts w:hint="eastAsia" w:ascii="宋体" w:hAnsi="宋体" w:eastAsia="宋体" w:cs="宋体"/>
          <w:bCs w:val="0"/>
          <w:kern w:val="2"/>
          <w:sz w:val="24"/>
          <w:szCs w:val="24"/>
        </w:rPr>
        <w:t>第十一条  理财产品档案保管</w:t>
      </w:r>
      <w:bookmarkEnd w:id="76"/>
      <w:bookmarkEnd w:id="77"/>
      <w:bookmarkEnd w:id="78"/>
      <w:bookmarkEnd w:id="79"/>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11.1理财产品有关的重大合同的保管</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管理人代表理财产品签署与理财产品投资有关的各类合同、协议，应及时将其中一份原件（或加盖管理人预留印鉴的复印件/传真件）送交托管人。</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与理财产品（包括财产权利、或有利益等）有关的行使依据的原件由管理人保管，托管人保存复印件。</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由于管理人代表理财产品签署与本理财产品投资有关的各类合同、协议本身产生的问题，由合同签署方负责处理，与托管人无关。</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11.2管理人和托管人应完整保存各自记录本托管协议项下理财产品经济活动的原始凭证、重要合同原件或复印件、记账凭证、账册、交易记录、财务报表等文件档案，保存期限为</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15</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年。</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11.3在本协议有效期内国家有关监管部门对上述文件和档案的保存做出明确规定的，按其规定执行并在规定执行之日起</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10</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个工作日内办理相关手续。</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11.4 管理人和托管人分别建立和保管适合履行其职能并满足其内部管理需要的业务台账。</w:t>
      </w:r>
      <w:bookmarkStart w:id="80" w:name="_Toc382240766"/>
    </w:p>
    <w:p>
      <w:pPr>
        <w:pStyle w:val="2"/>
        <w:adjustRightInd w:val="0"/>
        <w:spacing w:before="0" w:after="0" w:line="360" w:lineRule="auto"/>
        <w:jc w:val="center"/>
        <w:textAlignment w:val="auto"/>
        <w:rPr>
          <w:rFonts w:hint="eastAsia" w:ascii="宋体" w:hAnsi="宋体" w:eastAsia="宋体" w:cs="宋体"/>
          <w:kern w:val="2"/>
          <w:sz w:val="24"/>
          <w:szCs w:val="24"/>
        </w:rPr>
      </w:pPr>
      <w:bookmarkStart w:id="81" w:name="_Toc57797449"/>
      <w:bookmarkStart w:id="82" w:name="_Toc51421612"/>
    </w:p>
    <w:p>
      <w:pPr>
        <w:pStyle w:val="2"/>
        <w:adjustRightInd w:val="0"/>
        <w:spacing w:before="0" w:after="0" w:line="360" w:lineRule="auto"/>
        <w:jc w:val="center"/>
        <w:textAlignment w:val="auto"/>
        <w:rPr>
          <w:rFonts w:hint="eastAsia" w:ascii="宋体" w:hAnsi="宋体" w:eastAsia="宋体" w:cs="宋体"/>
          <w:kern w:val="2"/>
          <w:sz w:val="24"/>
          <w:szCs w:val="24"/>
        </w:rPr>
      </w:pPr>
      <w:bookmarkStart w:id="83" w:name="_Toc7043"/>
      <w:r>
        <w:rPr>
          <w:rFonts w:hint="eastAsia" w:ascii="宋体" w:hAnsi="宋体" w:eastAsia="宋体" w:cs="宋体"/>
          <w:kern w:val="2"/>
          <w:sz w:val="24"/>
          <w:szCs w:val="24"/>
        </w:rPr>
        <w:t>第十二条  信息披露</w:t>
      </w:r>
      <w:bookmarkEnd w:id="80"/>
      <w:bookmarkEnd w:id="81"/>
      <w:bookmarkEnd w:id="82"/>
      <w:bookmarkEnd w:id="83"/>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12.1管理人负责按照法律法规的有关规定及理财</w:t>
      </w:r>
      <w:bookmarkStart w:id="84" w:name="_Hlk57856911"/>
      <w:r>
        <w:rPr>
          <w:rFonts w:hint="eastAsia" w:ascii="宋体" w:hAnsi="宋体" w:eastAsia="宋体" w:cs="宋体"/>
          <w:kern w:val="0"/>
          <w:sz w:val="24"/>
          <w:szCs w:val="24"/>
        </w:rPr>
        <w:t>产品合同</w:t>
      </w:r>
      <w:bookmarkEnd w:id="84"/>
      <w:r>
        <w:rPr>
          <w:rFonts w:hint="eastAsia" w:ascii="宋体" w:hAnsi="宋体" w:eastAsia="宋体" w:cs="宋体"/>
          <w:kern w:val="0"/>
          <w:sz w:val="24"/>
          <w:szCs w:val="24"/>
        </w:rPr>
        <w:t>的要求进行理财产品的信息披露，包括但不限于理财产品销售文件、定期报告、临时报告、重大事项报告、到期公告等。</w:t>
      </w: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12.2托管人按照法律法规的有关规定，办理与理财产品托管业务活动相关的信息披露事项。</w:t>
      </w:r>
    </w:p>
    <w:p>
      <w:pPr>
        <w:tabs>
          <w:tab w:val="right" w:leader="dot" w:pos="284"/>
          <w:tab w:val="left" w:pos="1455"/>
        </w:tabs>
        <w:spacing w:line="360" w:lineRule="auto"/>
        <w:ind w:firstLine="480" w:firstLineChars="200"/>
        <w:rPr>
          <w:rFonts w:hint="eastAsia" w:ascii="宋体" w:hAnsi="宋体" w:eastAsia="宋体" w:cs="宋体"/>
          <w:b/>
          <w:bCs/>
          <w:sz w:val="24"/>
          <w:szCs w:val="24"/>
        </w:rPr>
      </w:pPr>
      <w:r>
        <w:rPr>
          <w:rFonts w:hint="eastAsia" w:ascii="宋体" w:hAnsi="宋体" w:eastAsia="宋体" w:cs="宋体"/>
          <w:kern w:val="0"/>
          <w:sz w:val="24"/>
          <w:szCs w:val="24"/>
        </w:rPr>
        <w:t>12.3 管理人需要将信息披露文件中的理财产品财务会计报告，及时向托管人提供，托管人对财务数据进行复核，</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向管理人回复报告意见或出具理财产品的复核函（见</w:t>
      </w:r>
      <w:r>
        <w:rPr>
          <w:rFonts w:hint="eastAsia" w:ascii="宋体" w:hAnsi="宋体" w:eastAsia="宋体" w:cs="宋体"/>
          <w:kern w:val="0"/>
          <w:sz w:val="24"/>
          <w:szCs w:val="24"/>
          <w:shd w:val="clear" w:color="FFFFFF" w:fill="D9D9D9"/>
          <w:lang w:eastAsia="zh-CN"/>
        </w:rPr>
        <w:t>附件六</w:t>
      </w:r>
      <w:r>
        <w:rPr>
          <w:rFonts w:hint="eastAsia" w:ascii="宋体" w:hAnsi="宋体" w:eastAsia="宋体" w:cs="宋体"/>
          <w:kern w:val="0"/>
          <w:sz w:val="24"/>
          <w:szCs w:val="24"/>
          <w:shd w:val="clear" w:color="FFFFFF" w:fill="D9D9D9"/>
        </w:rPr>
        <w:t>）</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w:t>
      </w:r>
      <w:r>
        <w:rPr>
          <w:rFonts w:hint="eastAsia" w:ascii="宋体" w:hAnsi="宋体" w:eastAsia="宋体" w:cs="宋体"/>
          <w:b/>
          <w:bCs/>
          <w:kern w:val="0"/>
          <w:sz w:val="24"/>
          <w:szCs w:val="24"/>
        </w:rPr>
        <w:t>如管理人在披露财务会计报告时，未向托管人提供信息披露文件的理财产品财务会计报告导致托管人无法复核财务报告数据，托管人不承担由此导致的相关责任。</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12.4</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托管人应于上半年结束之日起60日内、年度结束之日起90日内完成</w:t>
      </w:r>
      <w:r>
        <w:rPr>
          <w:rFonts w:hint="eastAsia" w:ascii="宋体" w:hAnsi="宋体" w:eastAsia="宋体" w:cs="宋体"/>
          <w:kern w:val="0"/>
          <w:sz w:val="24"/>
          <w:szCs w:val="24"/>
          <w:shd w:val="clear" w:color="FFFFFF" w:fill="D9D9D9"/>
          <w:lang w:eastAsia="zh-CN"/>
        </w:rPr>
        <w:t>半年度和年度报告中</w:t>
      </w:r>
      <w:r>
        <w:rPr>
          <w:rFonts w:hint="eastAsia" w:ascii="宋体" w:hAnsi="宋体" w:eastAsia="宋体" w:cs="宋体"/>
          <w:kern w:val="0"/>
          <w:sz w:val="24"/>
          <w:szCs w:val="24"/>
          <w:shd w:val="clear" w:color="FFFFFF" w:fill="D9D9D9"/>
        </w:rPr>
        <w:t>财务数据复核并及时向管理人反馈结果。管理人对托管报告如有异议，应在收到托管报告后的五个工作日内向托管人提出，双方协商直到达成一致。</w:t>
      </w:r>
      <w:r>
        <w:rPr>
          <w:rFonts w:hint="eastAsia" w:ascii="宋体" w:hAnsi="宋体" w:eastAsia="宋体" w:cs="宋体"/>
          <w:kern w:val="0"/>
          <w:sz w:val="24"/>
          <w:szCs w:val="24"/>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若本理财产品为公募理财产品的，管理人应及时向托管人提供半年度、年度等定期报告，且其信息披露文件应包含托管</w:t>
      </w:r>
      <w:r>
        <w:rPr>
          <w:rFonts w:hint="eastAsia" w:ascii="宋体" w:hAnsi="宋体" w:eastAsia="宋体" w:cs="宋体"/>
          <w:kern w:val="0"/>
          <w:sz w:val="24"/>
          <w:szCs w:val="24"/>
          <w:lang w:eastAsia="zh-CN"/>
        </w:rPr>
        <w:t>报告</w:t>
      </w:r>
      <w:r>
        <w:rPr>
          <w:rFonts w:hint="eastAsia" w:ascii="宋体" w:hAnsi="宋体" w:eastAsia="宋体" w:cs="宋体"/>
          <w:kern w:val="0"/>
          <w:sz w:val="24"/>
          <w:szCs w:val="24"/>
        </w:rPr>
        <w:t>等事项（见</w:t>
      </w:r>
      <w:r>
        <w:rPr>
          <w:rFonts w:hint="eastAsia" w:ascii="宋体" w:hAnsi="宋体" w:eastAsia="宋体" w:cs="宋体"/>
          <w:kern w:val="0"/>
          <w:sz w:val="24"/>
          <w:szCs w:val="24"/>
          <w:lang w:eastAsia="zh-CN"/>
        </w:rPr>
        <w:t>附件五</w:t>
      </w:r>
      <w:r>
        <w:rPr>
          <w:rFonts w:hint="eastAsia" w:ascii="宋体" w:hAnsi="宋体" w:eastAsia="宋体" w:cs="宋体"/>
          <w:kern w:val="0"/>
          <w:sz w:val="24"/>
          <w:szCs w:val="24"/>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12.5管理人根据法律、法规及监管部门的要求需要披露除以上报告所包含内容以外的、与托管人有关的任何信息，均需先经过托管人的核对与确认。但根据法律法规及相关政策文件规定的信息披露除外。</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12.6托管人根据法律、法规及监管部门的要求需要披露除以上报告所含内容以外的、与管理人有关的任何信息，均需先经过管理人的核对与确认。</w:t>
      </w:r>
      <w:bookmarkStart w:id="85" w:name="_Toc382240767"/>
      <w:r>
        <w:rPr>
          <w:rFonts w:hint="eastAsia" w:ascii="宋体" w:hAnsi="宋体" w:eastAsia="宋体" w:cs="宋体"/>
          <w:kern w:val="0"/>
          <w:sz w:val="24"/>
          <w:szCs w:val="24"/>
        </w:rPr>
        <w:t>但根据法律法规及相关政策文件规定的信息披露除外。</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12.7 监管机构有最新规定的，按其规定进行。</w:t>
      </w:r>
    </w:p>
    <w:p>
      <w:pPr>
        <w:pStyle w:val="2"/>
        <w:adjustRightInd w:val="0"/>
        <w:spacing w:before="0" w:after="0" w:line="360" w:lineRule="auto"/>
        <w:jc w:val="center"/>
        <w:textAlignment w:val="auto"/>
        <w:rPr>
          <w:rFonts w:hint="eastAsia" w:ascii="宋体" w:hAnsi="宋体" w:eastAsia="宋体" w:cs="宋体"/>
          <w:bCs w:val="0"/>
          <w:kern w:val="2"/>
          <w:sz w:val="24"/>
          <w:szCs w:val="24"/>
        </w:rPr>
      </w:pPr>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86" w:name="_Toc57797450"/>
      <w:bookmarkStart w:id="87" w:name="_Toc51421613"/>
      <w:bookmarkStart w:id="88" w:name="_Toc1399"/>
      <w:r>
        <w:rPr>
          <w:rFonts w:hint="eastAsia" w:ascii="宋体" w:hAnsi="宋体" w:eastAsia="宋体" w:cs="宋体"/>
          <w:bCs w:val="0"/>
          <w:kern w:val="2"/>
          <w:sz w:val="24"/>
          <w:szCs w:val="24"/>
        </w:rPr>
        <w:t>第十三条  保密条款</w:t>
      </w:r>
      <w:bookmarkEnd w:id="85"/>
      <w:bookmarkEnd w:id="86"/>
      <w:bookmarkEnd w:id="87"/>
      <w:bookmarkEnd w:id="88"/>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双方在此承诺：</w:t>
      </w:r>
      <w:bookmarkStart w:id="89" w:name="_Hlk57856986"/>
      <w:r>
        <w:rPr>
          <w:rFonts w:hint="eastAsia" w:ascii="宋体" w:hAnsi="宋体" w:eastAsia="宋体" w:cs="宋体"/>
          <w:kern w:val="0"/>
          <w:sz w:val="24"/>
          <w:szCs w:val="24"/>
        </w:rPr>
        <w:t>双方对在订立本协议过程中所获悉的对方的商业信息或者其他对方认为应当保密的信息均负有保密的义务，不得泄露或者不正当地使用，否则承担本协议约定的违约责任并应赔偿由此给对方造成的实际损失。</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前述商业信息是指：因履行本协议而直接或间接地以书面、口头、电子媒介或其他形式从披露方获得的任何非公开的信息、资料或数据，包括但不限于</w:t>
      </w:r>
      <w:bookmarkEnd w:id="89"/>
      <w:r>
        <w:rPr>
          <w:rFonts w:hint="eastAsia" w:ascii="宋体" w:hAnsi="宋体" w:eastAsia="宋体" w:cs="宋体"/>
          <w:kern w:val="0"/>
          <w:sz w:val="24"/>
          <w:szCs w:val="24"/>
        </w:rPr>
        <w:t>依据本协议所获得的所有关于对方资产状况、公司经营状况、理财产品客户信息、理财产品运作明细、托管运作明细</w:t>
      </w:r>
      <w:bookmarkStart w:id="90" w:name="_Hlk57857012"/>
      <w:r>
        <w:rPr>
          <w:rFonts w:hint="eastAsia" w:ascii="宋体" w:hAnsi="宋体" w:eastAsia="宋体" w:cs="宋体"/>
          <w:kern w:val="0"/>
          <w:sz w:val="24"/>
          <w:szCs w:val="24"/>
        </w:rPr>
        <w:t>以及商业秘密、技术成果、研究成果、商业计划、客户信息、财务数据、文档模板、业务流程、管理经验、职员个人信息等非公开的信息、资料或数据。双方应</w:t>
      </w:r>
      <w:bookmarkEnd w:id="90"/>
      <w:r>
        <w:rPr>
          <w:rFonts w:hint="eastAsia" w:ascii="宋体" w:hAnsi="宋体" w:eastAsia="宋体" w:cs="宋体"/>
          <w:kern w:val="0"/>
          <w:sz w:val="24"/>
          <w:szCs w:val="24"/>
        </w:rPr>
        <w:t>要求因履行本协议而知悉上述机密的人员以及其他任何有可能接触到上述机密的人员保守秘密。未经一方书面事先同意，另一方不得向第三方披露上述机密。但为履行本协议之目的向该方的中介机构、外部顾问、关联方披露，或根据国家有关法律法规或规章规定，或监管部门、一方作为上市公司的证券交易所</w:t>
      </w:r>
      <w:bookmarkStart w:id="91" w:name="_Hlk57857053"/>
      <w:r>
        <w:rPr>
          <w:rFonts w:hint="eastAsia" w:ascii="宋体" w:hAnsi="宋体" w:eastAsia="宋体" w:cs="宋体"/>
          <w:kern w:val="0"/>
          <w:sz w:val="24"/>
          <w:szCs w:val="24"/>
        </w:rPr>
        <w:t>或相关理财登记机构</w:t>
      </w:r>
      <w:bookmarkEnd w:id="91"/>
      <w:r>
        <w:rPr>
          <w:rFonts w:hint="eastAsia" w:ascii="宋体" w:hAnsi="宋体" w:eastAsia="宋体" w:cs="宋体"/>
          <w:kern w:val="0"/>
          <w:sz w:val="24"/>
          <w:szCs w:val="24"/>
        </w:rPr>
        <w:t>要求的情况除外，但应要求该等中介机构、外部顾问、关联方保密。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bookmarkStart w:id="92" w:name="_Hlk57857064"/>
      <w:r>
        <w:rPr>
          <w:rFonts w:hint="eastAsia" w:ascii="宋体" w:hAnsi="宋体" w:eastAsia="宋体" w:cs="宋体"/>
          <w:kern w:val="0"/>
          <w:sz w:val="24"/>
          <w:szCs w:val="24"/>
        </w:rPr>
        <w:t>无论本协议是否生效、发生变更、解除、中止、终止，本条款均始终有效。</w:t>
      </w:r>
      <w:bookmarkEnd w:id="92"/>
    </w:p>
    <w:p>
      <w:pPr>
        <w:pStyle w:val="2"/>
        <w:adjustRightInd w:val="0"/>
        <w:spacing w:before="0" w:after="0" w:line="360" w:lineRule="auto"/>
        <w:jc w:val="center"/>
        <w:textAlignment w:val="auto"/>
        <w:rPr>
          <w:rFonts w:hint="eastAsia" w:ascii="宋体" w:hAnsi="宋体" w:eastAsia="宋体" w:cs="宋体"/>
          <w:bCs w:val="0"/>
          <w:kern w:val="2"/>
          <w:sz w:val="24"/>
          <w:szCs w:val="24"/>
        </w:rPr>
      </w:pPr>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93" w:name="_Toc57797451"/>
      <w:bookmarkStart w:id="94" w:name="_Toc10936"/>
      <w:bookmarkStart w:id="95" w:name="_Toc51421614"/>
      <w:r>
        <w:rPr>
          <w:rFonts w:hint="eastAsia" w:ascii="宋体" w:hAnsi="宋体" w:eastAsia="宋体" w:cs="宋体"/>
          <w:bCs w:val="0"/>
          <w:kern w:val="2"/>
          <w:sz w:val="24"/>
          <w:szCs w:val="24"/>
        </w:rPr>
        <w:t xml:space="preserve">第十四条 </w:t>
      </w:r>
      <w:bookmarkStart w:id="96" w:name="_Toc382240768"/>
      <w:r>
        <w:rPr>
          <w:rFonts w:hint="eastAsia" w:ascii="宋体" w:hAnsi="宋体" w:eastAsia="宋体" w:cs="宋体"/>
          <w:bCs w:val="0"/>
          <w:kern w:val="2"/>
          <w:sz w:val="24"/>
          <w:szCs w:val="24"/>
        </w:rPr>
        <w:t xml:space="preserve"> 违约责任</w:t>
      </w:r>
      <w:bookmarkEnd w:id="93"/>
      <w:bookmarkEnd w:id="94"/>
      <w:bookmarkEnd w:id="95"/>
      <w:bookmarkEnd w:id="96"/>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14.1本协议任何一方未能按本协议的约定履行各项义务均将被视为违约，违约方应承担因其违约行为给理财产品和协议对方造成的直接损失（包括但不限于诉讼费、律师费、差旅费等为实现权利而支付的费用）。如因管理人未按本协议的约定向托管人发送划款指令导致托管人未足额收到托管费的，管理人应向托管人支付该等托管费，</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并在逾期期间按逾期托管费每日万分之五的金额支付违约金。</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但甲、乙双方仅在理财</w:t>
      </w:r>
      <w:bookmarkStart w:id="97" w:name="_Hlk57857098"/>
      <w:r>
        <w:rPr>
          <w:rFonts w:hint="eastAsia" w:ascii="宋体" w:hAnsi="宋体" w:eastAsia="宋体" w:cs="宋体"/>
          <w:kern w:val="0"/>
          <w:sz w:val="24"/>
          <w:szCs w:val="24"/>
        </w:rPr>
        <w:t>产品合同</w:t>
      </w:r>
      <w:bookmarkEnd w:id="97"/>
      <w:r>
        <w:rPr>
          <w:rFonts w:hint="eastAsia" w:ascii="宋体" w:hAnsi="宋体" w:eastAsia="宋体" w:cs="宋体"/>
          <w:kern w:val="0"/>
          <w:sz w:val="24"/>
          <w:szCs w:val="24"/>
        </w:rPr>
        <w:t>和本协议约定的职责范围内承担各自的相应责任，而不因理财产品合同和本协议职责以外的事由与对方或第三方一起对外承担任何责任。</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w:t>
      </w:r>
      <w:r>
        <w:rPr>
          <w:rFonts w:hint="eastAsia" w:ascii="宋体" w:hAnsi="宋体" w:eastAsia="宋体" w:cs="宋体"/>
          <w:b/>
          <w:bCs/>
          <w:kern w:val="0"/>
          <w:sz w:val="24"/>
          <w:szCs w:val="24"/>
        </w:rPr>
        <w:t>4</w:t>
      </w:r>
      <w:r>
        <w:rPr>
          <w:rFonts w:hint="eastAsia" w:ascii="宋体" w:hAnsi="宋体" w:eastAsia="宋体" w:cs="宋体"/>
          <w:b/>
          <w:bCs/>
          <w:color w:val="000000"/>
          <w:kern w:val="0"/>
          <w:sz w:val="24"/>
          <w:szCs w:val="24"/>
        </w:rPr>
        <w:t>.</w:t>
      </w:r>
      <w:r>
        <w:rPr>
          <w:rFonts w:hint="eastAsia" w:ascii="宋体" w:hAnsi="宋体" w:eastAsia="宋体" w:cs="宋体"/>
          <w:b/>
          <w:bCs/>
          <w:kern w:val="0"/>
          <w:sz w:val="24"/>
          <w:szCs w:val="24"/>
        </w:rPr>
        <w:t>2</w:t>
      </w:r>
      <w:bookmarkStart w:id="98" w:name="_Hlk57857132"/>
      <w:r>
        <w:rPr>
          <w:rFonts w:hint="eastAsia" w:ascii="宋体" w:hAnsi="宋体" w:eastAsia="宋体" w:cs="宋体"/>
          <w:b/>
          <w:bCs/>
          <w:color w:val="000000"/>
          <w:kern w:val="0"/>
          <w:sz w:val="24"/>
          <w:szCs w:val="24"/>
        </w:rPr>
        <w:t>管理人确认，托管人的职责不包含以下内容：</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（1）投资者的适当性管理；</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（2）审核项目及交易信息真实性；</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（3）审查理财以及理财资金来源的合法合规性；</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（4）对理财本金及收益提供保证或承诺；</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（5）对已划出托管账户以及处于托管人实际控制之外的资产的保管责任；</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（6）对未兑付理财份额后续资金的追偿</w:t>
      </w:r>
      <w:r>
        <w:rPr>
          <w:rFonts w:hint="eastAsia" w:ascii="宋体" w:hAnsi="宋体" w:cs="宋体"/>
          <w:b/>
          <w:bCs/>
          <w:color w:val="000000"/>
          <w:kern w:val="0"/>
          <w:sz w:val="24"/>
          <w:szCs w:val="24"/>
          <w:lang w:eastAsia="zh-Hans"/>
        </w:rPr>
        <w:t>（</w:t>
      </w:r>
      <w:r>
        <w:rPr>
          <w:rFonts w:hint="eastAsia" w:ascii="宋体" w:hAnsi="宋体" w:cs="宋体"/>
          <w:b/>
          <w:bCs/>
          <w:color w:val="000000"/>
          <w:kern w:val="0"/>
          <w:sz w:val="24"/>
          <w:szCs w:val="24"/>
          <w:lang w:val="en-US" w:eastAsia="zh-Hans"/>
        </w:rPr>
        <w:t>但管理人要求托管人进行配合协助的除外）</w:t>
      </w:r>
      <w:r>
        <w:rPr>
          <w:rFonts w:hint="eastAsia" w:ascii="宋体" w:hAnsi="宋体" w:eastAsia="宋体" w:cs="宋体"/>
          <w:b/>
          <w:bCs/>
          <w:color w:val="000000"/>
          <w:kern w:val="0"/>
          <w:sz w:val="24"/>
          <w:szCs w:val="24"/>
        </w:rPr>
        <w:t>；</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（7）主会计方未接受托管人的复核意见进行信息披露产生的相应责任；</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（8）提供保证或其他形式的担保；</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（9）自身应尽职责之外的连带责任。</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lang w:val="en-US" w:eastAsia="zh-Hans"/>
        </w:rPr>
      </w:pPr>
      <w:r>
        <w:rPr>
          <w:rFonts w:hint="eastAsia" w:ascii="宋体" w:hAnsi="宋体" w:cs="宋体"/>
          <w:b/>
          <w:bCs/>
          <w:color w:val="000000"/>
          <w:kern w:val="0"/>
          <w:sz w:val="24"/>
          <w:szCs w:val="24"/>
          <w:lang w:val="en-US" w:eastAsia="zh-Hans"/>
        </w:rPr>
        <w:t>针对上述情形，托管人存在过错的，应承担给管理人及理财产品、投资人造成的所有损失。</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14.3</w:t>
      </w:r>
      <w:bookmarkEnd w:id="98"/>
      <w:r>
        <w:rPr>
          <w:rFonts w:hint="eastAsia" w:ascii="宋体" w:hAnsi="宋体" w:eastAsia="宋体" w:cs="宋体"/>
          <w:kern w:val="0"/>
          <w:sz w:val="24"/>
          <w:szCs w:val="24"/>
        </w:rPr>
        <w:t>发生下列情况之一的，一方予以免责：</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14.3.1不可抗力</w:t>
      </w:r>
      <w:r>
        <w:rPr>
          <w:rFonts w:hint="eastAsia" w:ascii="宋体" w:hAnsi="宋体" w:eastAsia="宋体" w:cs="宋体"/>
          <w:color w:val="000000"/>
          <w:sz w:val="24"/>
          <w:szCs w:val="24"/>
        </w:rPr>
        <w:t>，不可抗力是指不能预见、不能避免、不能克服的客观情况，包括但不限于：</w:t>
      </w:r>
      <w:bookmarkStart w:id="99" w:name="_Hlk57857152"/>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地震、洪水等自然灾害，战争、骚乱、火灾、突发性公共卫生事件，政府征用、没收、法律法规变化、其他突发事件，非因双方自身原因导致的技术系统异常事故、政策法规的修改或监管要求调整等情形</w:t>
      </w:r>
      <w:r>
        <w:rPr>
          <w:rFonts w:hint="eastAsia" w:ascii="宋体" w:hAnsi="宋体" w:eastAsia="宋体" w:cs="宋体"/>
          <w:kern w:val="0"/>
          <w:sz w:val="24"/>
          <w:szCs w:val="24"/>
          <w:shd w:val="clear" w:color="FFFFFF" w:fill="D9D9D9"/>
        </w:rPr>
        <w:fldChar w:fldCharType="end"/>
      </w:r>
      <w:bookmarkEnd w:id="99"/>
      <w:r>
        <w:rPr>
          <w:rFonts w:hint="eastAsia" w:ascii="宋体" w:hAnsi="宋体" w:eastAsia="宋体" w:cs="宋体"/>
          <w:color w:val="000000"/>
          <w:sz w:val="24"/>
          <w:szCs w:val="24"/>
        </w:rPr>
        <w:t>。因中国人民银行银行间结算系统</w:t>
      </w:r>
      <w:bookmarkStart w:id="100" w:name="_Hlk57857182"/>
      <w:r>
        <w:rPr>
          <w:rFonts w:hint="eastAsia" w:ascii="宋体" w:hAnsi="宋体" w:eastAsia="宋体" w:cs="宋体"/>
          <w:color w:val="000000"/>
          <w:sz w:val="24"/>
          <w:szCs w:val="24"/>
        </w:rPr>
        <w:t>、中国证券登记结算有限责任公司和债券结算登记机构资金结算系统以及其他机构的结算系统</w:t>
      </w:r>
      <w:bookmarkEnd w:id="100"/>
      <w:r>
        <w:rPr>
          <w:rFonts w:hint="eastAsia" w:ascii="宋体" w:hAnsi="宋体" w:eastAsia="宋体" w:cs="宋体"/>
          <w:color w:val="000000"/>
          <w:sz w:val="24"/>
          <w:szCs w:val="24"/>
        </w:rPr>
        <w:t>出现故障导致银行间的结算无法进行的情形，因电信服务商原因导致资金划付的网络中断、无法使用的情形，构成不可抗力事件。</w:t>
      </w:r>
      <w:r>
        <w:rPr>
          <w:rFonts w:hint="eastAsia" w:ascii="宋体" w:hAnsi="宋体" w:eastAsia="宋体" w:cs="宋体"/>
          <w:kern w:val="0"/>
          <w:sz w:val="24"/>
          <w:szCs w:val="24"/>
        </w:rPr>
        <w:t>任何一方因不可抗力不能履行本协议时，应及时通知对方并在合理期限内提供受到不可抗力影响的证明，并采取适当措施防止对方损失的扩大和保护理财产品的完整。</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14.3.2管理人或托管人按照当时有效的法律、法规或监管部门的规定作为或不作为而造成的损失。</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14.3.3在没有欺诈或过失的情况下，管理人由于按照理财</w:t>
      </w:r>
      <w:bookmarkStart w:id="101" w:name="_Hlk57857223"/>
      <w:r>
        <w:rPr>
          <w:rFonts w:hint="eastAsia" w:ascii="宋体" w:hAnsi="宋体" w:eastAsia="宋体" w:cs="宋体"/>
          <w:kern w:val="0"/>
          <w:sz w:val="24"/>
          <w:szCs w:val="24"/>
        </w:rPr>
        <w:t>产品合同</w:t>
      </w:r>
      <w:bookmarkEnd w:id="101"/>
      <w:r>
        <w:rPr>
          <w:rFonts w:hint="eastAsia" w:ascii="宋体" w:hAnsi="宋体" w:eastAsia="宋体" w:cs="宋体"/>
          <w:kern w:val="0"/>
          <w:sz w:val="24"/>
          <w:szCs w:val="24"/>
        </w:rPr>
        <w:t>约定的投资原则投资或不投资造成的损失。</w:t>
      </w:r>
    </w:p>
    <w:p>
      <w:pPr>
        <w:tabs>
          <w:tab w:val="right" w:leader="dot" w:pos="284"/>
          <w:tab w:val="left" w:pos="1455"/>
        </w:tabs>
        <w:spacing w:line="360" w:lineRule="auto"/>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14.3.4在没有欺诈或过失的情况下，托管人执行管理人的指令对理财资金造成的损失。</w:t>
      </w:r>
    </w:p>
    <w:p>
      <w:pPr>
        <w:tabs>
          <w:tab w:val="right" w:leader="dot" w:pos="284"/>
          <w:tab w:val="left" w:pos="1455"/>
        </w:tabs>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kern w:val="0"/>
          <w:sz w:val="24"/>
          <w:szCs w:val="24"/>
        </w:rPr>
        <w:t>14.4 管理</w:t>
      </w:r>
      <w:r>
        <w:rPr>
          <w:rFonts w:hint="eastAsia" w:ascii="宋体" w:hAnsi="宋体" w:eastAsia="宋体" w:cs="宋体"/>
          <w:b/>
          <w:bCs/>
          <w:color w:val="000000"/>
          <w:sz w:val="24"/>
          <w:szCs w:val="24"/>
        </w:rPr>
        <w:t>人应根据国家法律法规及相关规定，保证理财产品结构和发行的合法合规性。由于理财产品的设计安排、管理和运作模式而产生的经济责任和法律责任，托管人不承担任何责任</w:t>
      </w:r>
      <w:r>
        <w:rPr>
          <w:rFonts w:hint="eastAsia" w:ascii="宋体" w:hAnsi="宋体" w:cs="宋体"/>
          <w:b/>
          <w:bCs/>
          <w:color w:val="000000"/>
          <w:sz w:val="24"/>
          <w:szCs w:val="24"/>
          <w:lang w:eastAsia="zh-Hans"/>
        </w:rPr>
        <w:t>，</w:t>
      </w:r>
      <w:r>
        <w:rPr>
          <w:rFonts w:hint="eastAsia" w:ascii="宋体" w:hAnsi="宋体" w:cs="宋体"/>
          <w:b/>
          <w:bCs/>
          <w:color w:val="000000"/>
          <w:sz w:val="24"/>
          <w:szCs w:val="24"/>
          <w:lang w:val="en-US" w:eastAsia="zh-Hans"/>
        </w:rPr>
        <w:t>托管人存在过错的除外。</w:t>
      </w:r>
      <w:bookmarkStart w:id="102" w:name="_Toc382240769"/>
    </w:p>
    <w:p>
      <w:pPr>
        <w:tabs>
          <w:tab w:val="right" w:leader="dot" w:pos="284"/>
          <w:tab w:val="left" w:pos="1455"/>
        </w:tabs>
        <w:spacing w:line="360" w:lineRule="auto"/>
        <w:ind w:firstLine="482" w:firstLineChars="200"/>
        <w:rPr>
          <w:rFonts w:hint="eastAsia" w:ascii="宋体" w:hAnsi="宋体" w:eastAsia="宋体" w:cs="宋体"/>
          <w:b/>
          <w:bCs/>
          <w:color w:val="000000"/>
          <w:sz w:val="24"/>
          <w:szCs w:val="24"/>
        </w:rPr>
      </w:pPr>
      <w:bookmarkStart w:id="103" w:name="_Hlk57857260"/>
      <w:r>
        <w:rPr>
          <w:rFonts w:hint="eastAsia" w:ascii="宋体" w:hAnsi="宋体" w:eastAsia="宋体" w:cs="宋体"/>
          <w:b/>
          <w:bCs/>
          <w:color w:val="000000"/>
          <w:sz w:val="24"/>
          <w:szCs w:val="24"/>
        </w:rPr>
        <w:t>14.5 托管人因协助司法机关、行政机关或其他有权机关执行对托管账户或管理人在托管人开立的其他账户内资金进行查询、冻结、扣划，不视为托管人对本协议的违反，托管人不因此承担责任。</w:t>
      </w:r>
      <w:bookmarkEnd w:id="103"/>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104" w:name="_Toc51421615"/>
      <w:bookmarkStart w:id="105" w:name="_Toc57797452"/>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106" w:name="_Toc11148"/>
      <w:r>
        <w:rPr>
          <w:rFonts w:hint="eastAsia" w:ascii="宋体" w:hAnsi="宋体" w:eastAsia="宋体" w:cs="宋体"/>
          <w:bCs w:val="0"/>
          <w:kern w:val="2"/>
          <w:sz w:val="24"/>
          <w:szCs w:val="24"/>
        </w:rPr>
        <w:t>第十五条  协议生效和终止</w:t>
      </w:r>
      <w:bookmarkEnd w:id="102"/>
      <w:bookmarkEnd w:id="104"/>
      <w:bookmarkEnd w:id="105"/>
      <w:bookmarkEnd w:id="106"/>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15.1 本协议自双方法定代表人/负责人或授权代表签名或签章并加盖</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公章或合同专用章</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shd w:val="clear" w:color="FFFFFF" w:fill="D9D9D9"/>
          <w:lang w:val="en-US" w:eastAsia="zh-CN"/>
        </w:rPr>
        <w:t>/托管业务专用章</w:t>
      </w:r>
      <w:r>
        <w:rPr>
          <w:rFonts w:hint="eastAsia" w:ascii="宋体" w:hAnsi="宋体" w:eastAsia="宋体" w:cs="宋体"/>
          <w:kern w:val="0"/>
          <w:sz w:val="24"/>
          <w:szCs w:val="24"/>
        </w:rPr>
        <w:t>之日起生效。</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color w:val="auto"/>
          <w:sz w:val="24"/>
          <w:highlight w:val="none"/>
        </w:rPr>
        <w:t>各方确认，各方及各方法定代表人（负责人）或其授权代表具备签署、履行本合同相应的权利能力及行为能力，并根据中国现行法律法规、公司章程的规定已获得所需的有效授权。</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15.2 本协议的有效期限为自合同生效之日起至本协议项下权利义务履行完毕为止。在本协议有效期内，任何一方不得单方终止本协议，但本协议另有约定的除外。</w:t>
      </w:r>
    </w:p>
    <w:p>
      <w:pPr>
        <w:tabs>
          <w:tab w:val="right" w:leader="dot" w:pos="284"/>
          <w:tab w:val="left" w:pos="1455"/>
        </w:tabs>
        <w:spacing w:line="360" w:lineRule="auto"/>
        <w:ind w:firstLine="480" w:firstLineChars="200"/>
        <w:rPr>
          <w:rFonts w:hint="eastAsia" w:ascii="宋体" w:hAnsi="宋体" w:eastAsia="宋体" w:cs="宋体"/>
          <w:b/>
          <w:bCs/>
          <w:kern w:val="0"/>
          <w:sz w:val="24"/>
          <w:szCs w:val="24"/>
          <w:shd w:val="pct10" w:color="auto" w:fill="FFFFFF"/>
        </w:rPr>
      </w:pPr>
      <w:r>
        <w:rPr>
          <w:rFonts w:hint="eastAsia" w:ascii="宋体" w:hAnsi="宋体" w:eastAsia="宋体" w:cs="宋体"/>
          <w:color w:val="000000"/>
          <w:kern w:val="0"/>
          <w:sz w:val="24"/>
          <w:szCs w:val="24"/>
          <w:lang w:bidi="ar"/>
        </w:rPr>
        <w:t>1</w:t>
      </w:r>
      <w:r>
        <w:rPr>
          <w:rFonts w:hint="eastAsia" w:ascii="宋体" w:hAnsi="宋体" w:eastAsia="宋体" w:cs="宋体"/>
          <w:kern w:val="0"/>
          <w:sz w:val="24"/>
          <w:szCs w:val="24"/>
          <w:lang w:bidi="ar"/>
        </w:rPr>
        <w:t>5</w:t>
      </w:r>
      <w:r>
        <w:rPr>
          <w:rFonts w:hint="eastAsia" w:ascii="宋体" w:hAnsi="宋体" w:eastAsia="宋体" w:cs="宋体"/>
          <w:color w:val="000000"/>
          <w:kern w:val="0"/>
          <w:sz w:val="24"/>
          <w:szCs w:val="24"/>
          <w:lang w:bidi="ar"/>
        </w:rPr>
        <w:t>.3</w:t>
      </w:r>
      <w:r>
        <w:rPr>
          <w:rFonts w:hint="eastAsia" w:ascii="宋体" w:hAnsi="宋体" w:eastAsia="宋体" w:cs="宋体"/>
          <w:b/>
          <w:bCs/>
          <w:color w:val="000000"/>
          <w:kern w:val="0"/>
          <w:sz w:val="24"/>
          <w:szCs w:val="24"/>
          <w:shd w:val="pct10" w:color="auto" w:fill="FFFFFF"/>
          <w:lang w:bidi="ar"/>
        </w:rPr>
        <w:fldChar w:fldCharType="begin">
          <w:ffData>
            <w:enabled/>
            <w:calcOnExit w:val="0"/>
            <w:textInput/>
          </w:ffData>
        </w:fldChar>
      </w:r>
      <w:r>
        <w:rPr>
          <w:rFonts w:hint="eastAsia" w:ascii="宋体" w:hAnsi="宋体" w:eastAsia="宋体" w:cs="宋体"/>
          <w:b/>
          <w:bCs/>
          <w:color w:val="000000"/>
          <w:kern w:val="0"/>
          <w:sz w:val="24"/>
          <w:szCs w:val="24"/>
          <w:shd w:val="pct10" w:color="auto" w:fill="FFFFFF"/>
          <w:lang w:bidi="ar"/>
        </w:rPr>
        <w:instrText xml:space="preserve">FORMTEXT</w:instrText>
      </w:r>
      <w:r>
        <w:rPr>
          <w:rFonts w:hint="eastAsia" w:ascii="宋体" w:hAnsi="宋体" w:eastAsia="宋体" w:cs="宋体"/>
          <w:b/>
          <w:bCs/>
          <w:color w:val="000000"/>
          <w:kern w:val="0"/>
          <w:sz w:val="24"/>
          <w:szCs w:val="24"/>
          <w:shd w:val="pct10" w:color="auto" w:fill="FFFFFF"/>
          <w:lang w:bidi="ar"/>
        </w:rPr>
        <w:fldChar w:fldCharType="separate"/>
      </w:r>
      <w:r>
        <w:rPr>
          <w:rFonts w:hint="eastAsia" w:ascii="宋体" w:hAnsi="宋体" w:eastAsia="宋体" w:cs="宋体"/>
          <w:b/>
          <w:bCs/>
          <w:color w:val="000000"/>
          <w:kern w:val="0"/>
          <w:sz w:val="24"/>
          <w:szCs w:val="24"/>
          <w:shd w:val="pct10" w:color="auto" w:fill="FFFFFF"/>
          <w:lang w:bidi="ar"/>
        </w:rPr>
        <w:t>托管人发现</w:t>
      </w:r>
      <w:r>
        <w:rPr>
          <w:rFonts w:hint="eastAsia" w:ascii="宋体" w:hAnsi="宋体" w:eastAsia="宋体" w:cs="宋体"/>
          <w:b/>
          <w:bCs/>
          <w:kern w:val="0"/>
          <w:sz w:val="24"/>
          <w:szCs w:val="24"/>
          <w:shd w:val="pct10" w:color="auto" w:fill="FFFFFF"/>
          <w:lang w:bidi="ar"/>
        </w:rPr>
        <w:t>管理</w:t>
      </w:r>
      <w:r>
        <w:rPr>
          <w:rFonts w:hint="eastAsia" w:ascii="宋体" w:hAnsi="宋体" w:eastAsia="宋体" w:cs="宋体"/>
          <w:b/>
          <w:bCs/>
          <w:color w:val="000000"/>
          <w:kern w:val="0"/>
          <w:sz w:val="24"/>
          <w:szCs w:val="24"/>
          <w:shd w:val="pct10" w:color="auto" w:fill="FFFFFF"/>
          <w:lang w:bidi="ar"/>
        </w:rPr>
        <w:t>人有下列情形的，有权终止本协议约定的全部托管服务：</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shd w:val="pct10" w:color="auto" w:fill="FFFFFF"/>
        </w:rPr>
      </w:pPr>
      <w:r>
        <w:rPr>
          <w:rFonts w:hint="eastAsia" w:ascii="宋体" w:hAnsi="宋体" w:eastAsia="宋体" w:cs="宋体"/>
          <w:b/>
          <w:bCs/>
          <w:color w:val="000000"/>
          <w:kern w:val="0"/>
          <w:sz w:val="24"/>
          <w:szCs w:val="24"/>
          <w:shd w:val="pct10" w:color="auto" w:fill="FFFFFF"/>
          <w:lang w:bidi="ar"/>
        </w:rPr>
        <w:t>（1）违反理财目的，不当处分理财资产的；</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shd w:val="pct10" w:color="auto" w:fill="FFFFFF"/>
        </w:rPr>
      </w:pPr>
      <w:r>
        <w:rPr>
          <w:rFonts w:hint="eastAsia" w:ascii="宋体" w:hAnsi="宋体" w:eastAsia="宋体" w:cs="宋体"/>
          <w:b/>
          <w:bCs/>
          <w:color w:val="000000"/>
          <w:kern w:val="0"/>
          <w:sz w:val="24"/>
          <w:szCs w:val="24"/>
          <w:shd w:val="pct10" w:color="auto" w:fill="FFFFFF"/>
          <w:lang w:bidi="ar"/>
        </w:rPr>
        <w:t>（2）未能遵守或履行《理财合产品同》、本协议约定的有关承诺、义务、陈述或保证；</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shd w:val="pct10" w:color="auto" w:fill="FFFFFF"/>
        </w:rPr>
      </w:pPr>
      <w:r>
        <w:rPr>
          <w:rFonts w:hint="eastAsia" w:ascii="宋体" w:hAnsi="宋体" w:eastAsia="宋体" w:cs="宋体"/>
          <w:b/>
          <w:bCs/>
          <w:color w:val="000000"/>
          <w:kern w:val="0"/>
          <w:sz w:val="24"/>
          <w:szCs w:val="24"/>
          <w:shd w:val="pct10" w:color="auto" w:fill="FFFFFF"/>
          <w:lang w:bidi="ar"/>
        </w:rPr>
        <w:t>（3）被依法取消从事相关业务的相关资质或经营异常；</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shd w:val="pct10" w:color="auto" w:fill="FFFFFF"/>
        </w:rPr>
      </w:pPr>
      <w:r>
        <w:rPr>
          <w:rFonts w:hint="eastAsia" w:ascii="宋体" w:hAnsi="宋体" w:eastAsia="宋体" w:cs="宋体"/>
          <w:b/>
          <w:bCs/>
          <w:color w:val="000000"/>
          <w:kern w:val="0"/>
          <w:sz w:val="24"/>
          <w:szCs w:val="24"/>
          <w:shd w:val="pct10" w:color="auto" w:fill="FFFFFF"/>
          <w:lang w:bidi="ar"/>
        </w:rPr>
        <w:t>（4）被依法解散、被依法撤销、被依法宣告破产或失联；</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shd w:val="pct10" w:color="auto" w:fill="FFFFFF"/>
        </w:rPr>
      </w:pPr>
      <w:r>
        <w:rPr>
          <w:rFonts w:hint="eastAsia" w:ascii="宋体" w:hAnsi="宋体" w:eastAsia="宋体" w:cs="宋体"/>
          <w:b/>
          <w:bCs/>
          <w:color w:val="000000"/>
          <w:kern w:val="0"/>
          <w:sz w:val="24"/>
          <w:szCs w:val="24"/>
          <w:shd w:val="pct10" w:color="auto" w:fill="FFFFFF"/>
          <w:lang w:bidi="ar"/>
        </w:rPr>
        <w:t>（5）违反本协议项下声明与承诺或因声明与承诺事项变动导致不能达到法律法规、监管机关的要求，或不能继续履行本协议项下的责任和义务；</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shd w:val="pct10" w:color="auto" w:fill="FFFFFF"/>
        </w:rPr>
      </w:pPr>
      <w:r>
        <w:rPr>
          <w:rFonts w:hint="eastAsia" w:ascii="宋体" w:hAnsi="宋体" w:eastAsia="宋体" w:cs="宋体"/>
          <w:b/>
          <w:bCs/>
          <w:color w:val="000000"/>
          <w:kern w:val="0"/>
          <w:sz w:val="24"/>
          <w:szCs w:val="24"/>
          <w:shd w:val="pct10" w:color="auto" w:fill="FFFFFF"/>
          <w:lang w:bidi="ar"/>
        </w:rPr>
        <w:t>（6）本理财终止后【</w:t>
      </w:r>
      <w:r>
        <w:rPr>
          <w:rFonts w:hint="eastAsia" w:ascii="宋体" w:hAnsi="宋体" w:eastAsia="宋体" w:cs="宋体"/>
          <w:b/>
          <w:bCs/>
          <w:kern w:val="0"/>
          <w:sz w:val="24"/>
          <w:szCs w:val="24"/>
          <w:shd w:val="pct10" w:color="auto" w:fill="FFFFFF"/>
          <w:lang w:bidi="ar"/>
        </w:rPr>
        <w:fldChar w:fldCharType="begin">
          <w:ffData>
            <w:enabled/>
            <w:calcOnExit w:val="0"/>
            <w:textInput/>
          </w:ffData>
        </w:fldChar>
      </w:r>
      <w:bookmarkStart w:id="107" w:name="Text67"/>
      <w:r>
        <w:rPr>
          <w:rFonts w:hint="eastAsia" w:ascii="宋体" w:hAnsi="宋体" w:eastAsia="宋体" w:cs="宋体"/>
          <w:b/>
          <w:bCs/>
          <w:color w:val="000000"/>
          <w:kern w:val="0"/>
          <w:sz w:val="24"/>
          <w:szCs w:val="24"/>
          <w:shd w:val="pct10" w:color="auto" w:fill="FFFFFF"/>
          <w:lang w:bidi="ar"/>
        </w:rPr>
        <w:instrText xml:space="preserve">FORMTEXT</w:instrText>
      </w:r>
      <w:r>
        <w:rPr>
          <w:rFonts w:hint="eastAsia" w:ascii="宋体" w:hAnsi="宋体" w:eastAsia="宋体" w:cs="宋体"/>
          <w:b/>
          <w:bCs/>
          <w:color w:val="000000"/>
          <w:kern w:val="0"/>
          <w:sz w:val="24"/>
          <w:szCs w:val="24"/>
          <w:shd w:val="pct10" w:color="auto" w:fill="FFFFFF"/>
          <w:lang w:bidi="ar"/>
        </w:rPr>
        <w:fldChar w:fldCharType="separate"/>
      </w:r>
      <w:r>
        <w:rPr>
          <w:rFonts w:hint="eastAsia" w:ascii="宋体" w:hAnsi="宋体" w:eastAsia="宋体" w:cs="宋体"/>
          <w:b/>
          <w:bCs/>
          <w:color w:val="000000"/>
          <w:kern w:val="0"/>
          <w:sz w:val="24"/>
          <w:szCs w:val="24"/>
          <w:shd w:val="pct10" w:color="auto" w:fill="FFFFFF"/>
          <w:lang w:bidi="ar"/>
        </w:rPr>
        <w:t> </w:t>
      </w:r>
      <w:r>
        <w:rPr>
          <w:rFonts w:hint="eastAsia" w:ascii="宋体" w:hAnsi="宋体" w:cs="宋体"/>
          <w:b/>
          <w:bCs/>
          <w:color w:val="000000"/>
          <w:kern w:val="0"/>
          <w:sz w:val="24"/>
          <w:szCs w:val="24"/>
          <w:shd w:val="pct10" w:color="auto" w:fill="FFFFFF"/>
          <w:lang w:val="en-US" w:eastAsia="zh-CN" w:bidi="ar"/>
        </w:rPr>
        <w:t>6</w:t>
      </w:r>
      <w:r>
        <w:rPr>
          <w:rFonts w:hint="eastAsia" w:ascii="宋体" w:hAnsi="宋体" w:eastAsia="宋体" w:cs="宋体"/>
          <w:b/>
          <w:bCs/>
          <w:color w:val="000000"/>
          <w:kern w:val="0"/>
          <w:sz w:val="24"/>
          <w:szCs w:val="24"/>
          <w:shd w:val="pct10" w:color="auto" w:fill="FFFFFF"/>
          <w:lang w:bidi="ar"/>
        </w:rPr>
        <w:t> </w:t>
      </w:r>
      <w:r>
        <w:rPr>
          <w:rFonts w:hint="eastAsia" w:ascii="宋体" w:hAnsi="宋体" w:eastAsia="宋体" w:cs="宋体"/>
          <w:b/>
          <w:bCs/>
          <w:kern w:val="0"/>
          <w:sz w:val="24"/>
          <w:szCs w:val="24"/>
          <w:shd w:val="pct10" w:color="auto" w:fill="FFFFFF"/>
          <w:lang w:bidi="ar"/>
        </w:rPr>
        <w:fldChar w:fldCharType="end"/>
      </w:r>
      <w:bookmarkEnd w:id="107"/>
      <w:r>
        <w:rPr>
          <w:rFonts w:hint="eastAsia" w:ascii="宋体" w:hAnsi="宋体" w:eastAsia="宋体" w:cs="宋体"/>
          <w:b/>
          <w:bCs/>
          <w:kern w:val="0"/>
          <w:sz w:val="24"/>
          <w:szCs w:val="24"/>
          <w:shd w:val="pct10" w:color="auto" w:fill="FFFFFF"/>
          <w:lang w:bidi="ar"/>
        </w:rPr>
        <w:t>】</w:t>
      </w:r>
      <w:r>
        <w:rPr>
          <w:rFonts w:hint="eastAsia" w:ascii="宋体" w:hAnsi="宋体" w:eastAsia="宋体" w:cs="宋体"/>
          <w:b/>
          <w:bCs/>
          <w:color w:val="000000"/>
          <w:kern w:val="0"/>
          <w:sz w:val="24"/>
          <w:szCs w:val="24"/>
          <w:shd w:val="pct10" w:color="auto" w:fill="FFFFFF"/>
          <w:lang w:bidi="ar"/>
        </w:rPr>
        <w:t>个月内，清算工作尚未完成，且托管人在清算期间未计提托管费或者托管人在清算期间计提的托管费未足额支付；</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shd w:val="pct10" w:color="auto" w:fill="FFFFFF"/>
          <w:lang w:bidi="ar"/>
        </w:rPr>
      </w:pPr>
      <w:r>
        <w:rPr>
          <w:rFonts w:hint="eastAsia" w:ascii="宋体" w:hAnsi="宋体" w:eastAsia="宋体" w:cs="宋体"/>
          <w:b/>
          <w:bCs/>
          <w:color w:val="000000"/>
          <w:kern w:val="0"/>
          <w:sz w:val="24"/>
          <w:szCs w:val="24"/>
          <w:shd w:val="pct10" w:color="auto" w:fill="FFFFFF"/>
          <w:lang w:bidi="ar"/>
        </w:rPr>
        <w:t>（7）本理财终止后，管理人已经出具清算报告、且托管人已经根据管理人发送的清算报告及资金划款指令完成清算资金的划付；</w:t>
      </w:r>
    </w:p>
    <w:p>
      <w:pPr>
        <w:tabs>
          <w:tab w:val="right" w:leader="dot" w:pos="284"/>
          <w:tab w:val="left" w:pos="1455"/>
        </w:tabs>
        <w:spacing w:line="360" w:lineRule="auto"/>
        <w:ind w:firstLine="482" w:firstLineChars="200"/>
        <w:rPr>
          <w:rFonts w:hint="eastAsia" w:ascii="宋体" w:hAnsi="宋体" w:eastAsia="宋体" w:cs="宋体"/>
          <w:b/>
          <w:bCs/>
          <w:color w:val="000000"/>
          <w:kern w:val="0"/>
          <w:sz w:val="24"/>
          <w:szCs w:val="24"/>
          <w:shd w:val="pct10" w:color="auto" w:fill="FFFFFF"/>
          <w:lang w:bidi="ar"/>
        </w:rPr>
      </w:pPr>
      <w:r>
        <w:rPr>
          <w:rFonts w:hint="eastAsia" w:ascii="宋体" w:hAnsi="宋体" w:eastAsia="宋体" w:cs="宋体"/>
          <w:b/>
          <w:bCs/>
          <w:color w:val="000000"/>
          <w:kern w:val="0"/>
          <w:sz w:val="24"/>
          <w:szCs w:val="24"/>
          <w:shd w:val="pct10" w:color="auto" w:fill="FFFFFF"/>
          <w:lang w:bidi="ar"/>
        </w:rPr>
        <w:t>（8）法律法规明确规定和协议约定的其他情形。</w:t>
      </w:r>
    </w:p>
    <w:p>
      <w:pPr>
        <w:tabs>
          <w:tab w:val="right" w:leader="dot" w:pos="284"/>
          <w:tab w:val="left" w:pos="1455"/>
        </w:tabs>
        <w:spacing w:line="360" w:lineRule="auto"/>
        <w:ind w:firstLine="482" w:firstLineChars="200"/>
        <w:rPr>
          <w:rFonts w:hint="eastAsia" w:ascii="宋体" w:hAnsi="宋体" w:eastAsia="宋体" w:cs="宋体"/>
          <w:color w:val="000000"/>
          <w:kern w:val="0"/>
          <w:sz w:val="24"/>
          <w:szCs w:val="24"/>
          <w:lang w:bidi="ar"/>
        </w:rPr>
      </w:pPr>
      <w:r>
        <w:rPr>
          <w:rFonts w:hint="eastAsia" w:ascii="宋体" w:hAnsi="宋体" w:eastAsia="宋体" w:cs="宋体"/>
          <w:b/>
          <w:bCs/>
          <w:color w:val="000000"/>
          <w:kern w:val="0"/>
          <w:sz w:val="24"/>
          <w:szCs w:val="24"/>
          <w:shd w:val="pct10" w:color="auto" w:fill="FFFFFF"/>
          <w:lang w:bidi="ar"/>
        </w:rPr>
        <w:t>托管人选择终止托管服务的，自托管人发送终止托管服务的通知之日起，托管人无需再履行本协议约定的任何义务，但仍有权获取截至终止日的托管费；</w:t>
      </w:r>
      <w:r>
        <w:rPr>
          <w:rFonts w:hint="eastAsia" w:ascii="宋体" w:hAnsi="宋体" w:eastAsia="宋体" w:cs="宋体"/>
          <w:b/>
          <w:bCs/>
          <w:kern w:val="0"/>
          <w:sz w:val="24"/>
          <w:szCs w:val="24"/>
          <w:shd w:val="pct10" w:color="auto" w:fill="FFFFFF"/>
          <w:lang w:bidi="ar"/>
        </w:rPr>
        <w:t>管理</w:t>
      </w:r>
      <w:r>
        <w:rPr>
          <w:rFonts w:hint="eastAsia" w:ascii="宋体" w:hAnsi="宋体" w:eastAsia="宋体" w:cs="宋体"/>
          <w:b/>
          <w:bCs/>
          <w:color w:val="000000"/>
          <w:kern w:val="0"/>
          <w:sz w:val="24"/>
          <w:szCs w:val="24"/>
          <w:shd w:val="pct10" w:color="auto" w:fill="FFFFFF"/>
          <w:lang w:bidi="ar"/>
        </w:rPr>
        <w:t>人应按照托管人的要求终止本托管协议，否则由此产生的任何责任由</w:t>
      </w:r>
      <w:r>
        <w:rPr>
          <w:rFonts w:hint="eastAsia" w:ascii="宋体" w:hAnsi="宋体" w:eastAsia="宋体" w:cs="宋体"/>
          <w:b/>
          <w:bCs/>
          <w:kern w:val="0"/>
          <w:sz w:val="24"/>
          <w:szCs w:val="24"/>
          <w:shd w:val="pct10" w:color="auto" w:fill="FFFFFF"/>
          <w:lang w:bidi="ar"/>
        </w:rPr>
        <w:t>管理</w:t>
      </w:r>
      <w:r>
        <w:rPr>
          <w:rFonts w:hint="eastAsia" w:ascii="宋体" w:hAnsi="宋体" w:eastAsia="宋体" w:cs="宋体"/>
          <w:b/>
          <w:bCs/>
          <w:color w:val="000000"/>
          <w:kern w:val="0"/>
          <w:sz w:val="24"/>
          <w:szCs w:val="24"/>
          <w:shd w:val="pct10" w:color="auto" w:fill="FFFFFF"/>
          <w:lang w:bidi="ar"/>
        </w:rPr>
        <w:t>人承担。</w:t>
      </w:r>
      <w:r>
        <w:rPr>
          <w:rFonts w:hint="eastAsia" w:ascii="宋体" w:hAnsi="宋体" w:eastAsia="宋体" w:cs="宋体"/>
          <w:b/>
          <w:bCs/>
          <w:color w:val="000000"/>
          <w:kern w:val="0"/>
          <w:sz w:val="24"/>
          <w:szCs w:val="24"/>
          <w:shd w:val="pct10" w:color="auto" w:fill="FFFFFF"/>
          <w:lang w:bidi="ar"/>
        </w:rPr>
        <w:fldChar w:fldCharType="end"/>
      </w:r>
    </w:p>
    <w:p>
      <w:pPr>
        <w:tabs>
          <w:tab w:val="right" w:leader="dot" w:pos="284"/>
          <w:tab w:val="left" w:pos="1455"/>
        </w:tabs>
        <w:spacing w:line="360" w:lineRule="auto"/>
        <w:ind w:firstLine="480" w:firstLineChars="200"/>
        <w:rPr>
          <w:rFonts w:hint="eastAsia" w:ascii="宋体" w:hAnsi="宋体" w:eastAsia="宋体" w:cs="宋体"/>
          <w:kern w:val="0"/>
          <w:sz w:val="28"/>
          <w:szCs w:val="28"/>
        </w:rPr>
      </w:pPr>
      <w:r>
        <w:rPr>
          <w:rFonts w:hint="eastAsia" w:ascii="宋体" w:hAnsi="宋体" w:eastAsia="宋体" w:cs="宋体"/>
          <w:kern w:val="0"/>
          <w:sz w:val="24"/>
          <w:szCs w:val="24"/>
        </w:rPr>
        <w:t>15.4本协议签署后</w:t>
      </w:r>
      <w:r>
        <w:rPr>
          <w:rFonts w:hint="eastAsia" w:ascii="宋体" w:hAnsi="宋体" w:eastAsia="宋体" w:cs="宋体"/>
          <w:kern w:val="0"/>
          <w:sz w:val="24"/>
          <w:szCs w:val="24"/>
          <w:shd w:val="clear" w:color="FFFFFF" w:fill="D9D9D9"/>
        </w:rPr>
        <w:fldChar w:fldCharType="begin">
          <w:ffData>
            <w:enabled/>
            <w:calcOnExit w:val="0"/>
            <w:textInput/>
          </w:ffData>
        </w:fldChar>
      </w:r>
      <w:r>
        <w:rPr>
          <w:rFonts w:hint="eastAsia" w:ascii="宋体" w:hAnsi="宋体" w:eastAsia="宋体" w:cs="宋体"/>
          <w:kern w:val="0"/>
          <w:sz w:val="24"/>
          <w:szCs w:val="24"/>
          <w:shd w:val="clear" w:color="FFFFFF" w:fill="D9D9D9"/>
        </w:rPr>
        <w:instrText xml:space="preserve">FORMTEXT</w:instrText>
      </w:r>
      <w:r>
        <w:rPr>
          <w:rFonts w:hint="eastAsia" w:ascii="宋体" w:hAnsi="宋体" w:eastAsia="宋体" w:cs="宋体"/>
          <w:kern w:val="0"/>
          <w:sz w:val="24"/>
          <w:szCs w:val="24"/>
          <w:shd w:val="clear" w:color="FFFFFF" w:fill="D9D9D9"/>
        </w:rPr>
        <w:fldChar w:fldCharType="separate"/>
      </w:r>
      <w:r>
        <w:rPr>
          <w:rFonts w:hint="eastAsia" w:ascii="宋体" w:hAnsi="宋体" w:eastAsia="宋体" w:cs="宋体"/>
          <w:kern w:val="0"/>
          <w:sz w:val="24"/>
          <w:szCs w:val="24"/>
          <w:shd w:val="clear" w:color="FFFFFF" w:fill="D9D9D9"/>
        </w:rPr>
        <w:t xml:space="preserve"> </w:t>
      </w:r>
      <w:r>
        <w:rPr>
          <w:rFonts w:hint="eastAsia" w:ascii="宋体" w:hAnsi="宋体" w:eastAsia="宋体" w:cs="宋体"/>
          <w:kern w:val="0"/>
          <w:sz w:val="24"/>
          <w:szCs w:val="24"/>
          <w:shd w:val="clear" w:color="FFFFFF" w:fill="D9D9D9"/>
          <w:lang w:val="en-US" w:eastAsia="zh-CN"/>
        </w:rPr>
        <w:t>6</w:t>
      </w:r>
      <w:r>
        <w:rPr>
          <w:rFonts w:hint="eastAsia" w:ascii="宋体" w:hAnsi="宋体" w:eastAsia="宋体" w:cs="宋体"/>
          <w:kern w:val="0"/>
          <w:sz w:val="24"/>
          <w:szCs w:val="24"/>
          <w:shd w:val="clear" w:color="FFFFFF" w:fill="D9D9D9"/>
        </w:rPr>
        <w:t xml:space="preserve">  </w:t>
      </w:r>
      <w:r>
        <w:rPr>
          <w:rFonts w:hint="eastAsia" w:ascii="宋体" w:hAnsi="宋体" w:eastAsia="宋体" w:cs="宋体"/>
          <w:kern w:val="0"/>
          <w:sz w:val="24"/>
          <w:szCs w:val="24"/>
          <w:shd w:val="clear" w:color="FFFFFF" w:fill="D9D9D9"/>
        </w:rPr>
        <w:fldChar w:fldCharType="end"/>
      </w:r>
      <w:r>
        <w:rPr>
          <w:rFonts w:hint="eastAsia" w:ascii="宋体" w:hAnsi="宋体" w:eastAsia="宋体" w:cs="宋体"/>
          <w:kern w:val="0"/>
          <w:sz w:val="24"/>
          <w:szCs w:val="24"/>
        </w:rPr>
        <w:t>个月内，若理财产品仍未成立的，则本协议自动终止。届时，托管人有权自行办理托管账户的销户，且无需承担任何责任。</w:t>
      </w:r>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108" w:name="_Toc382240770"/>
      <w:bookmarkStart w:id="109" w:name="_Toc51421616"/>
      <w:bookmarkStart w:id="110" w:name="_Toc57797453"/>
    </w:p>
    <w:p>
      <w:pPr>
        <w:pStyle w:val="2"/>
        <w:adjustRightInd w:val="0"/>
        <w:spacing w:before="0" w:after="0" w:line="360" w:lineRule="auto"/>
        <w:jc w:val="center"/>
        <w:textAlignment w:val="auto"/>
        <w:rPr>
          <w:rFonts w:hint="eastAsia" w:ascii="宋体" w:hAnsi="宋体" w:eastAsia="宋体" w:cs="宋体"/>
          <w:bCs w:val="0"/>
          <w:kern w:val="2"/>
          <w:sz w:val="24"/>
          <w:szCs w:val="24"/>
        </w:rPr>
      </w:pPr>
      <w:bookmarkStart w:id="111" w:name="_Toc18810"/>
      <w:r>
        <w:rPr>
          <w:rFonts w:hint="eastAsia" w:ascii="宋体" w:hAnsi="宋体" w:eastAsia="宋体" w:cs="宋体"/>
          <w:bCs w:val="0"/>
          <w:kern w:val="2"/>
          <w:sz w:val="24"/>
          <w:szCs w:val="24"/>
        </w:rPr>
        <w:t>第十六条  争议解决及其他</w:t>
      </w:r>
      <w:bookmarkEnd w:id="108"/>
      <w:bookmarkEnd w:id="109"/>
      <w:bookmarkEnd w:id="110"/>
      <w:bookmarkEnd w:id="111"/>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16.1本协议的签署、履行均适用中华人民共和国法律，不包括中国香港特别行政区、澳门特别行政区和台湾地区法律。对由于本协议引起或与本协议有关的任何争议，双方应尽其最大努力通过友好协商解决。协商不成的，则任何一方有权按下述第【</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 （1） </w:t>
      </w:r>
      <w:r>
        <w:rPr>
          <w:rFonts w:hint="eastAsia" w:ascii="宋体" w:hAnsi="宋体" w:eastAsia="宋体" w:cs="宋体"/>
          <w:sz w:val="24"/>
          <w:szCs w:val="24"/>
          <w:shd w:val="clear" w:color="FFFFFF" w:fill="D9D9D9"/>
        </w:rPr>
        <w:fldChar w:fldCharType="end"/>
      </w:r>
      <w:r>
        <w:rPr>
          <w:rFonts w:hint="eastAsia" w:ascii="宋体" w:hAnsi="宋体" w:eastAsia="宋体" w:cs="宋体"/>
          <w:kern w:val="0"/>
          <w:sz w:val="24"/>
          <w:szCs w:val="24"/>
        </w:rPr>
        <w:t>】项所述的方式解决争议：</w:t>
      </w:r>
    </w:p>
    <w:p>
      <w:pPr>
        <w:tabs>
          <w:tab w:val="right" w:leader="dot" w:pos="284"/>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cs="宋体"/>
          <w:kern w:val="0"/>
          <w:sz w:val="24"/>
          <w:szCs w:val="24"/>
          <w:lang w:val="en-US" w:eastAsia="zh-Hans"/>
        </w:rPr>
        <w:t>管理人</w:t>
      </w:r>
      <w:r>
        <w:rPr>
          <w:rFonts w:hint="eastAsia" w:ascii="宋体" w:hAnsi="宋体" w:eastAsia="宋体" w:cs="宋体"/>
          <w:kern w:val="0"/>
          <w:sz w:val="24"/>
          <w:szCs w:val="24"/>
        </w:rPr>
        <w:t>住所地有管辖权的人民法院进行诉讼；</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（2）将争议提交【</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xml:space="preserve">   </w:t>
      </w:r>
      <w:r>
        <w:rPr>
          <w:rFonts w:hint="eastAsia" w:ascii="宋体" w:hAnsi="宋体" w:eastAsia="宋体" w:cs="宋体"/>
          <w:sz w:val="24"/>
          <w:szCs w:val="24"/>
          <w:shd w:val="clear" w:color="FFFFFF" w:fill="D9D9D9"/>
          <w:lang w:val="en-US" w:eastAsia="zh-CN"/>
        </w:rPr>
        <w:t>/</w:t>
      </w:r>
      <w:r>
        <w:rPr>
          <w:rFonts w:hint="eastAsia" w:ascii="宋体" w:hAnsi="宋体" w:eastAsia="宋体" w:cs="宋体"/>
          <w:sz w:val="24"/>
          <w:szCs w:val="24"/>
          <w:shd w:val="clear" w:color="FFFFFF" w:fill="D9D9D9"/>
        </w:rPr>
        <w:t xml:space="preserve">    </w:t>
      </w:r>
      <w:r>
        <w:rPr>
          <w:rFonts w:hint="eastAsia" w:ascii="宋体" w:hAnsi="宋体" w:eastAsia="宋体" w:cs="宋体"/>
          <w:sz w:val="24"/>
          <w:szCs w:val="24"/>
          <w:shd w:val="clear" w:color="FFFFFF" w:fill="D9D9D9"/>
        </w:rPr>
        <w:fldChar w:fldCharType="end"/>
      </w:r>
      <w:r>
        <w:rPr>
          <w:rFonts w:hint="eastAsia" w:ascii="宋体" w:hAnsi="宋体" w:eastAsia="宋体" w:cs="宋体"/>
          <w:kern w:val="0"/>
          <w:sz w:val="24"/>
          <w:szCs w:val="24"/>
        </w:rPr>
        <w:t>】仲裁，仲裁地</w:t>
      </w:r>
      <w:bookmarkStart w:id="112" w:name="Text5"/>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xml:space="preserve">   </w:t>
      </w:r>
      <w:r>
        <w:rPr>
          <w:rFonts w:hint="eastAsia" w:ascii="宋体" w:hAnsi="宋体" w:eastAsia="宋体" w:cs="宋体"/>
          <w:sz w:val="24"/>
          <w:szCs w:val="24"/>
          <w:shd w:val="clear" w:color="FFFFFF" w:fill="D9D9D9"/>
          <w:lang w:val="en-US" w:eastAsia="zh-CN"/>
        </w:rPr>
        <w:t>/</w:t>
      </w:r>
      <w:r>
        <w:rPr>
          <w:rFonts w:hint="eastAsia" w:ascii="宋体" w:hAnsi="宋体" w:eastAsia="宋体" w:cs="宋体"/>
          <w:sz w:val="24"/>
          <w:szCs w:val="24"/>
          <w:shd w:val="clear" w:color="FFFFFF" w:fill="D9D9D9"/>
        </w:rPr>
        <w:t xml:space="preserve">    </w:t>
      </w:r>
      <w:r>
        <w:rPr>
          <w:rFonts w:hint="eastAsia" w:ascii="宋体" w:hAnsi="宋体" w:eastAsia="宋体" w:cs="宋体"/>
          <w:sz w:val="24"/>
          <w:szCs w:val="24"/>
          <w:shd w:val="clear" w:color="FFFFFF" w:fill="D9D9D9"/>
        </w:rPr>
        <w:fldChar w:fldCharType="end"/>
      </w:r>
      <w:bookmarkEnd w:id="112"/>
      <w:r>
        <w:rPr>
          <w:rFonts w:hint="eastAsia" w:ascii="宋体" w:hAnsi="宋体" w:eastAsia="宋体" w:cs="宋体"/>
          <w:kern w:val="0"/>
          <w:sz w:val="24"/>
          <w:szCs w:val="24"/>
        </w:rPr>
        <w:t>。仲裁裁决是终局的，对当事人均有约束力；</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 其他 </w:t>
      </w:r>
      <w:r>
        <w:rPr>
          <w:rFonts w:hint="eastAsia" w:ascii="宋体" w:hAnsi="宋体" w:eastAsia="宋体" w:cs="宋体"/>
          <w:sz w:val="24"/>
          <w:szCs w:val="24"/>
          <w:shd w:val="clear" w:color="FFFFFF" w:fill="D9D9D9"/>
        </w:rPr>
        <w:fldChar w:fldCharType="end"/>
      </w:r>
      <w:r>
        <w:rPr>
          <w:rFonts w:hint="eastAsia" w:ascii="宋体" w:hAnsi="宋体" w:eastAsia="宋体" w:cs="宋体"/>
          <w:kern w:val="0"/>
          <w:sz w:val="24"/>
          <w:szCs w:val="24"/>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在协商、诉讼或仲裁期间，本协议不涉及争议部分的条款仍须履行。</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16.2 除非一方以书面申明放弃某项权利，任何一方未能按本协议约定行使或及时行使部分或全部权利或补救权不构成该方放弃在本协议项下的权利。</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16.3本协议非经双方书面同意，不得修改。如在本协议有效期内出现影响或限制本协议履行的法律、法规及政策，管理人、托管人应对本协议进行协商和修改。</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16.4 除本协议另有约定外，本协议项下所有通知、指令或其他文件均送达至本协议约定的各方地址。</w:t>
      </w:r>
    </w:p>
    <w:p>
      <w:pPr>
        <w:tabs>
          <w:tab w:val="right" w:leader="dot" w:pos="284"/>
          <w:tab w:val="left" w:pos="1455"/>
        </w:tabs>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该等通知</w:t>
      </w:r>
      <w:r>
        <w:rPr>
          <w:rFonts w:hint="eastAsia" w:ascii="宋体" w:hAnsi="宋体" w:eastAsia="宋体" w:cs="宋体"/>
          <w:kern w:val="0"/>
          <w:sz w:val="24"/>
          <w:szCs w:val="24"/>
        </w:rPr>
        <w:t>、指令</w:t>
      </w:r>
      <w:r>
        <w:rPr>
          <w:rFonts w:hint="eastAsia" w:ascii="宋体" w:hAnsi="宋体" w:eastAsia="宋体" w:cs="宋体"/>
          <w:color w:val="000000"/>
          <w:kern w:val="0"/>
          <w:sz w:val="24"/>
          <w:szCs w:val="24"/>
        </w:rPr>
        <w:t>或其他文件以传真方式发出的，以传真发送后发送方向接收方电话确认后方视为送达；以专人递送，于递交时视为送达；如经特快邮递服务公司传递，则于邮件寄出后的第3个工作日视为送达；如经挂号信传递，则于邮件寄出后的第5个工作日视为送达。任何通知</w:t>
      </w:r>
      <w:r>
        <w:rPr>
          <w:rFonts w:hint="eastAsia" w:ascii="宋体" w:hAnsi="宋体" w:eastAsia="宋体" w:cs="宋体"/>
          <w:kern w:val="0"/>
          <w:sz w:val="24"/>
          <w:szCs w:val="24"/>
        </w:rPr>
        <w:t>、指令</w:t>
      </w:r>
      <w:r>
        <w:rPr>
          <w:rFonts w:hint="eastAsia" w:ascii="宋体" w:hAnsi="宋体" w:eastAsia="宋体" w:cs="宋体"/>
          <w:color w:val="000000"/>
          <w:kern w:val="0"/>
          <w:sz w:val="24"/>
          <w:szCs w:val="24"/>
        </w:rPr>
        <w:t>或其他文件一经送达即行生效。</w:t>
      </w:r>
    </w:p>
    <w:p>
      <w:pPr>
        <w:tabs>
          <w:tab w:val="right" w:leader="dot" w:pos="284"/>
          <w:tab w:val="left" w:pos="1455"/>
        </w:tabs>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本协议约定的各方地址亦适用于协议发生纠纷时相关文件和法律文书的送达，包括仲裁、民事诉讼程序后的一审、二审、再审和执行程序。</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color w:val="000000"/>
          <w:kern w:val="0"/>
          <w:sz w:val="24"/>
          <w:szCs w:val="24"/>
        </w:rPr>
        <w:t>各方已了解提供虚假地址或者提供地址不准确的法律后果，各方同意在送达地址变更时向相关方履行通知义务，未履行通知义务的，本协议所约定的地址仍视为有效送达地址。因当事人约定的送达地址不准确、送达地址变更后未及时依程序告知对方和法院、当事人或指定的接收人拒绝签收等原因，导致通知或其他文件（含协议发生纠纷时相关文件和法律文书等）未能被当事人实际接收的，邮寄送达的，以文书退回之日视为送达之日；直接送达的，送达人当场在送达回证上记明情况之日视为送达之日；履行送达地址变更通知义务的，以变更后的送达地址为有效送达地址。未按约定及时通知的，应承担由此造成的损失。另一方在接到书面通知之前已经按照有效通讯方法发送的任何书面文件不受影响。</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16.5本协议所有附件构成本协议的组成部分并与本协议正文具有同等的法律效力。</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16.6 管理人保证理财产品合同中有关本协议的约定与本协议一致；否则，相应约定应以本协议为准。</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16.7本协议一式【</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lang w:val="en-US" w:eastAsia="zh-CN"/>
        </w:rPr>
        <w:t>肆</w:t>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kern w:val="0"/>
          <w:sz w:val="24"/>
          <w:szCs w:val="24"/>
        </w:rPr>
        <w:t>】份，管理人执【</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lang w:val="en-US" w:eastAsia="zh-CN"/>
        </w:rPr>
        <w:t>贰</w:t>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kern w:val="0"/>
          <w:sz w:val="24"/>
          <w:szCs w:val="24"/>
        </w:rPr>
        <w:t>】份，托管人执【</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lang w:val="en-US" w:eastAsia="zh-CN"/>
        </w:rPr>
        <w:t>贰</w:t>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kern w:val="0"/>
          <w:sz w:val="24"/>
          <w:szCs w:val="24"/>
        </w:rPr>
        <w:t>】份，每份具有同等的法律效力。</w:t>
      </w:r>
    </w:p>
    <w:p>
      <w:pPr>
        <w:tabs>
          <w:tab w:val="right" w:leader="dot" w:pos="284"/>
          <w:tab w:val="left" w:pos="1455"/>
        </w:tabs>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16.8 本协议签订生效后，原《</w:t>
      </w:r>
      <w:r>
        <w:rPr>
          <w:rFonts w:hint="eastAsia" w:ascii="宋体" w:hAnsi="宋体" w:cs="宋体"/>
          <w:kern w:val="0"/>
          <w:sz w:val="24"/>
          <w:szCs w:val="24"/>
        </w:rPr>
        <w:t>齐鲁银行泉心理财人民币理财计划资金托管协议</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2017年12月29日签订</w:t>
      </w:r>
      <w:r>
        <w:rPr>
          <w:rFonts w:hint="eastAsia" w:ascii="宋体" w:hAnsi="宋体" w:eastAsia="宋体" w:cs="宋体"/>
          <w:kern w:val="0"/>
          <w:sz w:val="24"/>
          <w:szCs w:val="24"/>
          <w:lang w:eastAsia="zh-CN"/>
        </w:rPr>
        <w:t>）</w:t>
      </w:r>
      <w:r>
        <w:rPr>
          <w:rFonts w:hint="eastAsia" w:ascii="宋体" w:hAnsi="宋体" w:cs="宋体"/>
          <w:kern w:val="0"/>
          <w:sz w:val="24"/>
          <w:szCs w:val="24"/>
          <w:lang w:val="en-US" w:eastAsia="zh-CN"/>
        </w:rPr>
        <w:t>与本协议不一致的内容，均按照本协议执行</w:t>
      </w:r>
      <w:r>
        <w:rPr>
          <w:rFonts w:hint="eastAsia" w:ascii="宋体" w:hAnsi="宋体" w:eastAsia="宋体" w:cs="宋体"/>
          <w:kern w:val="0"/>
          <w:sz w:val="24"/>
          <w:szCs w:val="24"/>
          <w:lang w:val="en-US" w:eastAsia="zh-CN"/>
        </w:rPr>
        <w:t>。</w:t>
      </w:r>
    </w:p>
    <w:p>
      <w:pPr>
        <w:tabs>
          <w:tab w:val="right" w:leader="dot" w:pos="284"/>
          <w:tab w:val="left" w:pos="1455"/>
        </w:tabs>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（以下无正文）</w:t>
      </w:r>
    </w:p>
    <w:p>
      <w:pPr>
        <w:tabs>
          <w:tab w:val="right" w:leader="dot" w:pos="284"/>
          <w:tab w:val="left" w:pos="1455"/>
        </w:tabs>
        <w:spacing w:line="360" w:lineRule="auto"/>
        <w:ind w:firstLine="560" w:firstLineChars="200"/>
        <w:rPr>
          <w:rFonts w:hint="eastAsia" w:ascii="宋体" w:hAnsi="宋体" w:eastAsia="宋体" w:cs="宋体"/>
          <w:sz w:val="24"/>
          <w:szCs w:val="24"/>
        </w:rPr>
      </w:pPr>
      <w:r>
        <w:rPr>
          <w:rFonts w:hint="eastAsia" w:ascii="宋体" w:hAnsi="宋体" w:eastAsia="宋体" w:cs="宋体"/>
          <w:kern w:val="0"/>
          <w:sz w:val="28"/>
          <w:szCs w:val="28"/>
        </w:rPr>
        <w:br w:type="page"/>
      </w:r>
      <w:r>
        <w:rPr>
          <w:rFonts w:hint="eastAsia" w:ascii="宋体" w:hAnsi="宋体" w:eastAsia="宋体" w:cs="宋体"/>
          <w:sz w:val="24"/>
          <w:szCs w:val="24"/>
        </w:rPr>
        <w:t>（本页仅为编号【</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cs="宋体"/>
          <w:sz w:val="24"/>
          <w:szCs w:val="24"/>
          <w:shd w:val="clear" w:color="FFFFFF" w:fill="D9D9D9"/>
          <w:lang w:val="en-US" w:eastAsia="zh-CN"/>
        </w:rPr>
        <w:t xml:space="preserve">   </w:t>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】的《</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fldChar w:fldCharType="begin">
          <w:ffData>
            <w:name w:val="Text2"/>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lang w:val="en-US" w:eastAsia="zh-CN"/>
        </w:rPr>
        <w:t>齐鲁银行泉心理财人民币理财计划</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资金托管协议》签署页，本页无正文）</w:t>
      </w: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 w:val="left" w:pos="1455"/>
        </w:tabs>
        <w:spacing w:line="360" w:lineRule="auto"/>
        <w:ind w:firstLine="482" w:firstLineChars="200"/>
        <w:rPr>
          <w:rFonts w:hint="eastAsia" w:ascii="宋体" w:hAnsi="宋体" w:eastAsia="宋体" w:cs="宋体"/>
          <w:b/>
          <w:bCs/>
          <w:sz w:val="24"/>
          <w:szCs w:val="24"/>
        </w:rPr>
      </w:pPr>
    </w:p>
    <w:p>
      <w:pPr>
        <w:tabs>
          <w:tab w:val="right" w:leader="dot" w:pos="284"/>
          <w:tab w:val="left" w:pos="1455"/>
        </w:tabs>
        <w:spacing w:line="360" w:lineRule="auto"/>
        <w:ind w:firstLine="482" w:firstLineChars="200"/>
        <w:rPr>
          <w:rFonts w:hint="eastAsia" w:ascii="宋体" w:hAnsi="宋体" w:eastAsia="宋体" w:cs="宋体"/>
          <w:b/>
          <w:bCs/>
          <w:sz w:val="24"/>
          <w:szCs w:val="24"/>
        </w:rPr>
      </w:pPr>
    </w:p>
    <w:p>
      <w:pPr>
        <w:tabs>
          <w:tab w:val="right" w:leader="dot" w:pos="284"/>
          <w:tab w:val="left" w:pos="1455"/>
        </w:tabs>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管理人（盖章）：</w:t>
      </w:r>
      <w:r>
        <w:rPr>
          <w:rFonts w:hint="eastAsia" w:ascii="宋体" w:hAnsi="宋体" w:eastAsia="宋体" w:cs="宋体"/>
          <w:b/>
          <w:bCs/>
          <w:sz w:val="24"/>
          <w:szCs w:val="24"/>
          <w:lang w:eastAsia="zh-CN"/>
        </w:rPr>
        <w:t>齐鲁银行股份有限公司</w:t>
      </w: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法定代表人/负责人或授权代表(签名/签章)：</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p>
    <w:p>
      <w:pPr>
        <w:spacing w:line="360" w:lineRule="auto"/>
        <w:ind w:firstLine="480" w:firstLineChars="200"/>
        <w:rPr>
          <w:rFonts w:hint="eastAsia" w:ascii="宋体" w:hAnsi="宋体" w:eastAsia="宋体" w:cs="宋体"/>
          <w:color w:val="000000"/>
          <w:sz w:val="24"/>
          <w:szCs w:val="24"/>
        </w:rPr>
      </w:pPr>
    </w:p>
    <w:p>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签订日期：【</w:t>
      </w:r>
      <w:r>
        <w:rPr>
          <w:rFonts w:hint="eastAsia" w:ascii="宋体" w:hAnsi="宋体" w:eastAsia="宋体" w:cs="宋体"/>
          <w:sz w:val="24"/>
          <w:szCs w:val="24"/>
          <w:u w:val="single"/>
          <w:shd w:val="clear" w:color="FFFFFF" w:fill="D9D9D9"/>
          <w:lang w:val="en-US" w:eastAsia="zh-CN"/>
        </w:rPr>
        <w:t>2021</w:t>
      </w:r>
      <w:r>
        <w:rPr>
          <w:rFonts w:hint="eastAsia" w:ascii="宋体" w:hAnsi="宋体" w:eastAsia="宋体" w:cs="宋体"/>
          <w:color w:val="000000"/>
          <w:sz w:val="24"/>
          <w:szCs w:val="24"/>
        </w:rPr>
        <w:t>】年【</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val="en-US" w:eastAsia="zh-CN"/>
        </w:rPr>
        <w:t>12</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color w:val="000000"/>
          <w:sz w:val="24"/>
          <w:szCs w:val="24"/>
        </w:rPr>
        <w:t>】月【</w:t>
      </w:r>
      <w:r>
        <w:rPr>
          <w:rFonts w:hint="eastAsia" w:ascii="宋体" w:hAnsi="宋体" w:eastAsia="宋体" w:cs="宋体"/>
          <w:color w:val="000000"/>
          <w:sz w:val="24"/>
          <w:szCs w:val="24"/>
        </w:rPr>
        <w:fldChar w:fldCharType="begin">
          <w:ffData>
            <w:enabled/>
            <w:calcOnExit w:val="0"/>
            <w:textInput/>
          </w:ffData>
        </w:fldChar>
      </w:r>
      <w:r>
        <w:rPr>
          <w:rFonts w:hint="eastAsia" w:ascii="宋体" w:hAnsi="宋体" w:eastAsia="宋体" w:cs="宋体"/>
          <w:color w:val="000000"/>
          <w:sz w:val="24"/>
          <w:szCs w:val="24"/>
        </w:rPr>
        <w:instrText xml:space="preserve">FORMTEXT</w:instrText>
      </w:r>
      <w:r>
        <w:rPr>
          <w:rFonts w:hint="eastAsia" w:ascii="宋体" w:hAnsi="宋体" w:eastAsia="宋体" w:cs="宋体"/>
          <w:color w:val="000000"/>
          <w:sz w:val="24"/>
          <w:szCs w:val="24"/>
        </w:rPr>
        <w:fldChar w:fldCharType="separate"/>
      </w:r>
      <w:r>
        <w:rPr>
          <w:rFonts w:hint="eastAsia" w:ascii="宋体" w:hAnsi="宋体" w:eastAsia="宋体" w:cs="宋体"/>
          <w:color w:val="000000"/>
          <w:sz w:val="24"/>
          <w:szCs w:val="24"/>
        </w:rPr>
        <w:t>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color w:val="000000"/>
          <w:sz w:val="24"/>
          <w:szCs w:val="24"/>
        </w:rPr>
        <w:t> </w:t>
      </w:r>
      <w:r>
        <w:rPr>
          <w:rFonts w:hint="eastAsia" w:ascii="宋体" w:hAnsi="宋体" w:eastAsia="宋体" w:cs="宋体"/>
          <w:color w:val="000000"/>
          <w:sz w:val="24"/>
          <w:szCs w:val="24"/>
        </w:rPr>
        <w:fldChar w:fldCharType="end"/>
      </w:r>
      <w:r>
        <w:rPr>
          <w:rFonts w:hint="eastAsia" w:ascii="宋体" w:hAnsi="宋体" w:eastAsia="宋体" w:cs="宋体"/>
          <w:color w:val="000000"/>
          <w:sz w:val="24"/>
          <w:szCs w:val="24"/>
        </w:rPr>
        <w:t>】日</w:t>
      </w:r>
    </w:p>
    <w:p>
      <w:pPr>
        <w:spacing w:line="360" w:lineRule="auto"/>
        <w:ind w:firstLine="480" w:firstLineChars="200"/>
        <w:rPr>
          <w:rFonts w:hint="eastAsia" w:ascii="宋体" w:hAnsi="宋体" w:eastAsia="宋体" w:cs="宋体"/>
          <w:color w:val="000000"/>
          <w:sz w:val="24"/>
          <w:szCs w:val="24"/>
        </w:rPr>
      </w:pP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 w:val="left" w:pos="1455"/>
        </w:tabs>
        <w:spacing w:line="360" w:lineRule="auto"/>
        <w:ind w:firstLine="482" w:firstLineChars="200"/>
        <w:rPr>
          <w:rFonts w:hint="eastAsia" w:ascii="宋体" w:hAnsi="宋体" w:eastAsia="宋体" w:cs="宋体"/>
          <w:sz w:val="24"/>
          <w:szCs w:val="24"/>
          <w:u w:val="single"/>
        </w:rPr>
      </w:pPr>
      <w:r>
        <w:rPr>
          <w:rFonts w:hint="eastAsia" w:ascii="宋体" w:hAnsi="宋体" w:eastAsia="宋体" w:cs="宋体"/>
          <w:b/>
          <w:bCs/>
          <w:sz w:val="24"/>
          <w:szCs w:val="24"/>
        </w:rPr>
        <w:t>托管人（盖章）：</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 中国民生银行股份有限公司 </w:t>
      </w:r>
      <w:r>
        <w:rPr>
          <w:rFonts w:hint="eastAsia" w:ascii="宋体" w:hAnsi="宋体" w:eastAsia="宋体" w:cs="宋体"/>
          <w:sz w:val="24"/>
          <w:szCs w:val="24"/>
          <w:u w:val="single"/>
          <w:shd w:val="clear" w:color="FFFFFF" w:fill="D9D9D9"/>
        </w:rPr>
        <w:fldChar w:fldCharType="end"/>
      </w: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法定代表人或授权代表(签名/签章)：</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p>
      <w:pPr>
        <w:tabs>
          <w:tab w:val="right" w:leader="dot" w:pos="284"/>
          <w:tab w:val="left" w:pos="1455"/>
        </w:tabs>
        <w:spacing w:line="360" w:lineRule="auto"/>
        <w:ind w:firstLine="480" w:firstLineChars="200"/>
        <w:rPr>
          <w:rFonts w:hint="eastAsia" w:ascii="宋体" w:hAnsi="宋体" w:eastAsia="宋体" w:cs="宋体"/>
          <w:sz w:val="24"/>
          <w:szCs w:val="24"/>
        </w:rPr>
      </w:pPr>
    </w:p>
    <w:p>
      <w:pPr>
        <w:tabs>
          <w:tab w:val="right" w:leader="dot" w:pos="284"/>
        </w:tabs>
        <w:adjustRightInd w:val="0"/>
        <w:snapToGrid w:val="0"/>
        <w:spacing w:line="360" w:lineRule="auto"/>
        <w:ind w:firstLine="480" w:firstLineChars="200"/>
        <w:rPr>
          <w:rFonts w:hint="eastAsia" w:ascii="宋体" w:hAnsi="宋体" w:eastAsia="宋体" w:cs="宋体"/>
          <w:sz w:val="24"/>
          <w:szCs w:val="24"/>
        </w:rPr>
      </w:pPr>
      <w:bookmarkStart w:id="113" w:name="_Toc382145967"/>
      <w:bookmarkStart w:id="114" w:name="_Toc385950568"/>
      <w:bookmarkStart w:id="115" w:name="_Toc382145870"/>
      <w:bookmarkStart w:id="116" w:name="_Toc51421617"/>
      <w:bookmarkStart w:id="117" w:name="_Toc372211922"/>
      <w:bookmarkStart w:id="118" w:name="_Toc28397"/>
      <w:bookmarkStart w:id="119" w:name="_Toc382225512"/>
      <w:r>
        <w:rPr>
          <w:rFonts w:hint="eastAsia" w:ascii="宋体" w:hAnsi="宋体" w:eastAsia="宋体" w:cs="宋体"/>
          <w:sz w:val="24"/>
          <w:szCs w:val="24"/>
        </w:rPr>
        <w:t>签订日期：【</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lang w:val="en-US" w:eastAsia="zh-CN"/>
        </w:rPr>
        <w:t>2021</w:t>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】年【</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cs="宋体"/>
          <w:sz w:val="24"/>
          <w:szCs w:val="24"/>
          <w:shd w:val="clear" w:color="FFFFFF" w:fill="D9D9D9"/>
          <w:lang w:val="en-US" w:eastAsia="zh-CN"/>
        </w:rPr>
        <w:t>12</w:t>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】月【</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】日</w:t>
      </w:r>
      <w:bookmarkEnd w:id="113"/>
      <w:bookmarkEnd w:id="114"/>
      <w:bookmarkEnd w:id="115"/>
      <w:bookmarkEnd w:id="116"/>
      <w:bookmarkEnd w:id="117"/>
      <w:bookmarkEnd w:id="118"/>
      <w:bookmarkEnd w:id="119"/>
    </w:p>
    <w:p>
      <w:pPr>
        <w:tabs>
          <w:tab w:val="left" w:pos="1455"/>
          <w:tab w:val="right" w:leader="dot" w:pos="8080"/>
        </w:tabs>
        <w:spacing w:line="360" w:lineRule="auto"/>
        <w:ind w:right="848" w:rightChars="404" w:firstLine="562" w:firstLineChars="200"/>
        <w:rPr>
          <w:rFonts w:hint="eastAsia" w:ascii="宋体" w:hAnsi="宋体" w:eastAsia="宋体" w:cs="宋体"/>
          <w:b/>
          <w:bCs/>
          <w:sz w:val="28"/>
          <w:szCs w:val="28"/>
        </w:rPr>
      </w:pPr>
    </w:p>
    <w:p>
      <w:pPr>
        <w:pStyle w:val="2"/>
        <w:snapToGrid w:val="0"/>
        <w:spacing w:before="0" w:after="0" w:line="360" w:lineRule="auto"/>
        <w:rPr>
          <w:rFonts w:hint="eastAsia" w:ascii="宋体" w:hAnsi="宋体" w:eastAsia="宋体" w:cs="宋体"/>
          <w:sz w:val="24"/>
          <w:szCs w:val="24"/>
        </w:rPr>
      </w:pPr>
      <w:bookmarkStart w:id="120" w:name="_Toc57797454"/>
      <w:bookmarkStart w:id="121" w:name="_Toc51421618"/>
      <w:bookmarkStart w:id="122" w:name="_Toc25621650"/>
      <w:bookmarkStart w:id="123" w:name="_Toc385"/>
      <w:bookmarkStart w:id="124" w:name="_Toc18757"/>
      <w:bookmarkStart w:id="125" w:name="_Toc414355908"/>
      <w:bookmarkStart w:id="126" w:name="_Toc24988937"/>
      <w:r>
        <w:rPr>
          <w:rFonts w:hint="eastAsia" w:ascii="宋体" w:hAnsi="宋体" w:eastAsia="宋体" w:cs="宋体"/>
          <w:sz w:val="24"/>
        </w:rPr>
        <w:br w:type="page"/>
      </w:r>
      <w:bookmarkStart w:id="127" w:name="_Toc30685"/>
      <w:r>
        <w:rPr>
          <w:rFonts w:hint="eastAsia" w:ascii="宋体" w:hAnsi="宋体" w:eastAsia="宋体" w:cs="宋体"/>
          <w:sz w:val="24"/>
          <w:szCs w:val="24"/>
        </w:rPr>
        <w:t>附件一：《资金到账通知书》（格式）</w:t>
      </w:r>
      <w:bookmarkEnd w:id="120"/>
      <w:bookmarkEnd w:id="121"/>
      <w:bookmarkEnd w:id="122"/>
      <w:bookmarkEnd w:id="123"/>
      <w:bookmarkEnd w:id="124"/>
      <w:bookmarkEnd w:id="125"/>
      <w:bookmarkEnd w:id="126"/>
      <w:bookmarkEnd w:id="127"/>
    </w:p>
    <w:p>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资金到账通知书</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编号:</w:t>
      </w:r>
      <w:r>
        <w:rPr>
          <w:rFonts w:hint="eastAsia" w:ascii="宋体" w:hAnsi="宋体" w:eastAsia="宋体" w:cs="宋体"/>
          <w:color w:val="000000"/>
          <w:sz w:val="24"/>
          <w:szCs w:val="24"/>
        </w:rPr>
        <w:t xml:space="preserve">             </w:t>
      </w:r>
    </w:p>
    <w:p>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  中国民生银行股份有限公司   </w:t>
      </w:r>
      <w:r>
        <w:rPr>
          <w:rFonts w:hint="eastAsia" w:ascii="宋体" w:hAnsi="宋体" w:eastAsia="宋体" w:cs="宋体"/>
          <w:sz w:val="24"/>
          <w:szCs w:val="24"/>
          <w:shd w:val="clear" w:color="FFFFFF" w:fill="D9D9D9"/>
        </w:rPr>
        <w:fldChar w:fldCharType="end"/>
      </w:r>
      <w:r>
        <w:rPr>
          <w:rFonts w:hint="eastAsia" w:ascii="宋体" w:hAnsi="宋体" w:eastAsia="宋体" w:cs="宋体"/>
          <w:b/>
          <w:sz w:val="24"/>
          <w:szCs w:val="24"/>
        </w:rPr>
        <w:t>：</w:t>
      </w:r>
    </w:p>
    <w:p>
      <w:pPr>
        <w:spacing w:line="360" w:lineRule="auto"/>
        <w:ind w:firstLine="403"/>
        <w:rPr>
          <w:rFonts w:hint="eastAsia" w:ascii="宋体" w:hAnsi="宋体" w:eastAsia="宋体" w:cs="宋体"/>
          <w:sz w:val="24"/>
          <w:szCs w:val="24"/>
        </w:rPr>
      </w:pPr>
      <w:r>
        <w:rPr>
          <w:rFonts w:hint="eastAsia" w:ascii="宋体" w:hAnsi="宋体" w:eastAsia="宋体" w:cs="宋体"/>
          <w:sz w:val="24"/>
          <w:szCs w:val="24"/>
        </w:rPr>
        <w:t>请按以下通知内容和对资金到账信息,并填写确认信息后反馈管理人。</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118"/>
        <w:gridCol w:w="1418"/>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理财产品名称</w:t>
            </w:r>
          </w:p>
        </w:tc>
        <w:tc>
          <w:tcPr>
            <w:tcW w:w="6854" w:type="dxa"/>
            <w:gridSpan w:val="3"/>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预计到账日期</w:t>
            </w:r>
          </w:p>
        </w:tc>
        <w:tc>
          <w:tcPr>
            <w:tcW w:w="3118"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c>
          <w:tcPr>
            <w:tcW w:w="1418"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用途摘要</w:t>
            </w:r>
          </w:p>
        </w:tc>
        <w:tc>
          <w:tcPr>
            <w:tcW w:w="2318"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restart"/>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指定收款账户</w:t>
            </w:r>
          </w:p>
        </w:tc>
        <w:tc>
          <w:tcPr>
            <w:tcW w:w="6854" w:type="dxa"/>
            <w:gridSpan w:val="3"/>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户名：</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vAlign w:val="top"/>
          </w:tcPr>
          <w:p>
            <w:pPr>
              <w:spacing w:line="360" w:lineRule="auto"/>
              <w:rPr>
                <w:rFonts w:hint="eastAsia" w:ascii="宋体" w:hAnsi="宋体" w:eastAsia="宋体" w:cs="宋体"/>
                <w:sz w:val="24"/>
                <w:szCs w:val="24"/>
              </w:rPr>
            </w:pPr>
          </w:p>
        </w:tc>
        <w:tc>
          <w:tcPr>
            <w:tcW w:w="6854" w:type="dxa"/>
            <w:gridSpan w:val="3"/>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开户行：</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vAlign w:val="top"/>
          </w:tcPr>
          <w:p>
            <w:pPr>
              <w:spacing w:line="360" w:lineRule="auto"/>
              <w:rPr>
                <w:rFonts w:hint="eastAsia" w:ascii="宋体" w:hAnsi="宋体" w:eastAsia="宋体" w:cs="宋体"/>
                <w:sz w:val="24"/>
                <w:szCs w:val="24"/>
              </w:rPr>
            </w:pPr>
          </w:p>
        </w:tc>
        <w:tc>
          <w:tcPr>
            <w:tcW w:w="6854" w:type="dxa"/>
            <w:gridSpan w:val="3"/>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账号：</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Merge w:val="continue"/>
            <w:vAlign w:val="top"/>
          </w:tcPr>
          <w:p>
            <w:pPr>
              <w:spacing w:line="360" w:lineRule="auto"/>
              <w:rPr>
                <w:rFonts w:hint="eastAsia" w:ascii="宋体" w:hAnsi="宋体" w:eastAsia="宋体" w:cs="宋体"/>
                <w:sz w:val="24"/>
                <w:szCs w:val="24"/>
              </w:rPr>
            </w:pPr>
          </w:p>
        </w:tc>
        <w:tc>
          <w:tcPr>
            <w:tcW w:w="6854" w:type="dxa"/>
            <w:gridSpan w:val="3"/>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金额：</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668"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付款人信息</w:t>
            </w:r>
          </w:p>
        </w:tc>
        <w:tc>
          <w:tcPr>
            <w:tcW w:w="6854" w:type="dxa"/>
            <w:gridSpan w:val="3"/>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bl>
    <w:p>
      <w:pPr>
        <w:spacing w:line="360" w:lineRule="auto"/>
        <w:rPr>
          <w:rFonts w:hint="eastAsia" w:ascii="宋体" w:hAnsi="宋体" w:eastAsia="宋体" w:cs="宋体"/>
          <w:sz w:val="24"/>
          <w:szCs w:val="24"/>
        </w:rPr>
      </w:pPr>
      <w:r>
        <w:rPr>
          <w:rFonts w:hint="eastAsia" w:ascii="宋体" w:hAnsi="宋体" w:eastAsia="宋体" w:cs="宋体"/>
          <w:sz w:val="24"/>
          <w:szCs w:val="24"/>
        </w:rPr>
        <w:t>经办：             复核：             审核：</w:t>
      </w:r>
    </w:p>
    <w:p>
      <w:pPr>
        <w:spacing w:line="360" w:lineRule="auto"/>
        <w:ind w:firstLine="405"/>
        <w:jc w:val="right"/>
        <w:rPr>
          <w:rFonts w:hint="eastAsia" w:ascii="宋体" w:hAnsi="宋体" w:eastAsia="宋体" w:cs="宋体"/>
          <w:sz w:val="24"/>
          <w:szCs w:val="24"/>
        </w:rPr>
      </w:pPr>
      <w:r>
        <w:rPr>
          <w:rFonts w:hint="eastAsia" w:ascii="宋体" w:hAnsi="宋体" w:eastAsia="宋体" w:cs="宋体"/>
          <w:sz w:val="24"/>
          <w:szCs w:val="24"/>
        </w:rPr>
        <w:t>（管理人）预留印鉴：</w:t>
      </w:r>
      <w:r>
        <w:rPr>
          <w:rFonts w:hint="eastAsia" w:ascii="宋体" w:hAnsi="宋体" w:eastAsia="宋体" w:cs="宋体"/>
          <w:color w:val="000000"/>
          <w:sz w:val="24"/>
          <w:szCs w:val="24"/>
        </w:rPr>
        <w:t>____________</w:t>
      </w:r>
    </w:p>
    <w:p>
      <w:pPr>
        <w:spacing w:line="360" w:lineRule="auto"/>
        <w:ind w:firstLine="405"/>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color w:val="000000"/>
          <w:sz w:val="24"/>
          <w:szCs w:val="24"/>
        </w:rPr>
        <w:t>年</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color w:val="000000"/>
          <w:sz w:val="24"/>
          <w:szCs w:val="24"/>
        </w:rPr>
        <w:t>月</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color w:val="000000"/>
          <w:sz w:val="24"/>
          <w:szCs w:val="24"/>
        </w:rPr>
        <w:t>日</w:t>
      </w:r>
    </w:p>
    <w:p>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pPr>
        <w:numPr>
          <w:ilvl w:val="0"/>
          <w:numId w:val="7"/>
        </w:numPr>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对于核对一致的到账资金，托管人可根据本通知书进行账务处理；</w:t>
      </w:r>
    </w:p>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2、对于长（短）款情况，托管人需根据我方出具的说明书进行账务处理。</w:t>
      </w:r>
    </w:p>
    <w:p>
      <w:pPr>
        <w:spacing w:line="360" w:lineRule="auto"/>
        <w:ind w:firstLine="405"/>
        <w:jc w:val="center"/>
        <w:rPr>
          <w:rFonts w:hint="eastAsia" w:ascii="宋体" w:hAnsi="宋体" w:eastAsia="宋体" w:cs="宋体"/>
          <w:b/>
          <w:sz w:val="24"/>
          <w:szCs w:val="24"/>
        </w:rPr>
      </w:pPr>
      <w:r>
        <w:rPr>
          <w:rFonts w:hint="eastAsia" w:ascii="宋体" w:hAnsi="宋体" w:eastAsia="宋体" w:cs="宋体"/>
          <w:sz w:val="24"/>
          <w:szCs w:val="24"/>
        </w:rPr>
        <mc:AlternateContent>
          <mc:Choice Requires="wps">
            <w:drawing>
              <wp:anchor distT="0" distB="0" distL="114300" distR="114300" simplePos="0" relativeHeight="251659264" behindDoc="0" locked="0" layoutInCell="1" allowOverlap="1">
                <wp:simplePos x="0" y="0"/>
                <wp:positionH relativeFrom="column">
                  <wp:posOffset>-408305</wp:posOffset>
                </wp:positionH>
                <wp:positionV relativeFrom="paragraph">
                  <wp:posOffset>35560</wp:posOffset>
                </wp:positionV>
                <wp:extent cx="5808345" cy="25400"/>
                <wp:effectExtent l="0" t="4445" r="1905" b="8255"/>
                <wp:wrapNone/>
                <wp:docPr id="2" name="自选图形 3"/>
                <wp:cNvGraphicFramePr/>
                <a:graphic xmlns:a="http://schemas.openxmlformats.org/drawingml/2006/main">
                  <a:graphicData uri="http://schemas.microsoft.com/office/word/2010/wordprocessingShape">
                    <wps:wsp>
                      <wps:cNvCnPr/>
                      <wps:spPr>
                        <a:xfrm>
                          <a:off x="0" y="0"/>
                          <a:ext cx="5808345" cy="25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32.15pt;margin-top:2.8pt;height:2pt;width:457.35pt;z-index:251659264;mso-width-relative:page;mso-height-relative:page;" filled="f" stroked="t" coordsize="21600,21600" o:gfxdata="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blUNpNYAAAAHAQAADwAA&#10;AAAAAAABACAAAAAiAAAAZHJzL2Rvd25yZXYueG1sUEsBAhQAFAAAAAgAh07iQJ3TIH7fAQAAmQMA&#10;AA4AAAAAAAAAAQAgAAAAJQEAAGRycy9lMm9Eb2MueG1sUEsFBgAAAAAGAAYAWQEAAHYFAAAAAA==&#10;">
                <v:fill on="f" focussize="0,0"/>
                <v:stroke color="#000000" joinstyle="round"/>
                <v:imagedata o:title=""/>
                <o:lock v:ext="edit" aspectratio="f"/>
              </v:shape>
            </w:pict>
          </mc:Fallback>
        </mc:AlternateContent>
      </w:r>
      <w:r>
        <w:rPr>
          <w:rFonts w:hint="eastAsia" w:ascii="宋体" w:hAnsi="宋体" w:eastAsia="宋体" w:cs="宋体"/>
          <w:b/>
          <w:sz w:val="24"/>
          <w:szCs w:val="24"/>
        </w:rPr>
        <w:t>资金到账确认回执</w:t>
      </w:r>
    </w:p>
    <w:tbl>
      <w:tblPr>
        <w:tblStyle w:val="19"/>
        <w:tblW w:w="8723" w:type="dxa"/>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7"/>
        <w:gridCol w:w="2332"/>
        <w:gridCol w:w="1110"/>
        <w:gridCol w:w="3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7" w:type="dxa"/>
            <w:vAlign w:val="top"/>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实际到账日期</w:t>
            </w:r>
          </w:p>
        </w:tc>
        <w:tc>
          <w:tcPr>
            <w:tcW w:w="6996" w:type="dxa"/>
            <w:gridSpan w:val="3"/>
            <w:vAlign w:val="top"/>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7" w:type="dxa"/>
            <w:vAlign w:val="top"/>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实际到账金额</w:t>
            </w:r>
          </w:p>
        </w:tc>
        <w:tc>
          <w:tcPr>
            <w:tcW w:w="6996" w:type="dxa"/>
            <w:gridSpan w:val="3"/>
            <w:vAlign w:val="top"/>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7" w:type="dxa"/>
            <w:vAlign w:val="top"/>
          </w:tcPr>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核对情况</w:t>
            </w:r>
          </w:p>
        </w:tc>
        <w:tc>
          <w:tcPr>
            <w:tcW w:w="6996" w:type="dxa"/>
            <w:gridSpan w:val="3"/>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58240" behindDoc="0" locked="0" layoutInCell="1" allowOverlap="1">
                      <wp:simplePos x="0" y="0"/>
                      <wp:positionH relativeFrom="column">
                        <wp:posOffset>107315</wp:posOffset>
                      </wp:positionH>
                      <wp:positionV relativeFrom="paragraph">
                        <wp:posOffset>68580</wp:posOffset>
                      </wp:positionV>
                      <wp:extent cx="90805" cy="90805"/>
                      <wp:effectExtent l="4445" t="4445" r="19050" b="19050"/>
                      <wp:wrapNone/>
                      <wp:docPr id="3" name="矩形 4"/>
                      <wp:cNvGraphicFramePr/>
                      <a:graphic xmlns:a="http://schemas.openxmlformats.org/drawingml/2006/main">
                        <a:graphicData uri="http://schemas.microsoft.com/office/word/2010/wordprocessingShape">
                          <wps:wsp>
                            <wps:cNvSpPr/>
                            <wps:spPr>
                              <a:xfrm>
                                <a:off x="0" y="0"/>
                                <a:ext cx="90805" cy="90805"/>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rect id="矩形 4" o:spid="_x0000_s1026" o:spt="1" style="position:absolute;left:0pt;margin-left:8.45pt;margin-top:5.4pt;height:7.15pt;width:7.15pt;z-index:251658240;mso-width-relative:page;mso-height-relative:page;" fillcolor="#FFFFFF" filled="t" stroked="t" coordsize="21600,21600" o:gfxdata="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JaNlj1QAAAAcB&#10;AAAPAAAAAAAAAAEAIAAAACIAAABkcnMvZG93bnJldi54bWxQSwECFAAUAAAACACHTuJATG5Lr+UB&#10;AADbAwAADgAAAAAAAAABACAAAAAkAQAAZHJzL2Uyb0RvYy54bWxQSwUGAAAAAAYABgBZAQAAewUA&#10;AAAA&#10;">
                      <v:fill on="t" focussize="0,0"/>
                      <v:stroke color="#000000" joinstyle="miter"/>
                      <v:imagedata o:title=""/>
                      <o:lock v:ext="edit" aspectratio="f"/>
                    </v:rect>
                  </w:pict>
                </mc:Fallback>
              </mc:AlternateContent>
            </w:r>
            <w:r>
              <w:rPr>
                <w:rFonts w:hint="eastAsia" w:ascii="宋体" w:hAnsi="宋体" w:eastAsia="宋体" w:cs="宋体"/>
                <w:sz w:val="24"/>
                <w:szCs w:val="24"/>
              </w:rPr>
              <w:t xml:space="preserve">     核对一致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7" w:type="dxa"/>
            <w:vAlign w:val="top"/>
          </w:tcPr>
          <w:p>
            <w:pPr>
              <w:spacing w:line="360" w:lineRule="auto"/>
              <w:jc w:val="center"/>
              <w:rPr>
                <w:rFonts w:hint="eastAsia" w:ascii="宋体" w:hAnsi="宋体" w:eastAsia="宋体" w:cs="宋体"/>
                <w:sz w:val="24"/>
                <w:szCs w:val="24"/>
              </w:rPr>
            </w:pPr>
          </w:p>
        </w:tc>
        <w:tc>
          <w:tcPr>
            <w:tcW w:w="2332"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0288" behindDoc="0" locked="0" layoutInCell="1" allowOverlap="1">
                      <wp:simplePos x="0" y="0"/>
                      <wp:positionH relativeFrom="column">
                        <wp:posOffset>107315</wp:posOffset>
                      </wp:positionH>
                      <wp:positionV relativeFrom="paragraph">
                        <wp:posOffset>50165</wp:posOffset>
                      </wp:positionV>
                      <wp:extent cx="90805" cy="90805"/>
                      <wp:effectExtent l="4445" t="4445" r="19050" b="19050"/>
                      <wp:wrapNone/>
                      <wp:docPr id="4" name="矩形 5"/>
                      <wp:cNvGraphicFramePr/>
                      <a:graphic xmlns:a="http://schemas.openxmlformats.org/drawingml/2006/main">
                        <a:graphicData uri="http://schemas.microsoft.com/office/word/2010/wordprocessingShape">
                          <wps:wsp>
                            <wps:cNvSpPr/>
                            <wps:spPr>
                              <a:xfrm>
                                <a:off x="0" y="0"/>
                                <a:ext cx="90805" cy="90805"/>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rect id="矩形 5" o:spid="_x0000_s1026" o:spt="1" style="position:absolute;left:0pt;margin-left:8.45pt;margin-top:3.95pt;height:7.15pt;width:7.15pt;z-index:251660288;mso-width-relative:page;mso-height-relative:page;" fillcolor="#FFFFFF" filled="t" stroked="t" coordsize="21600,21600" o:gfxdata="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TfxgdMAAAAGAQAA&#10;DwAAAAAAAAABACAAAAAiAAAAZHJzL2Rvd25yZXYueG1sUEsBAhQAFAAAAAgAh07iQOIr6YvlAQAA&#10;2wMAAA4AAAAAAAAAAQAgAAAAIgEAAGRycy9lMm9Eb2MueG1sUEsFBgAAAAAGAAYAWQEAAHkFAAAA&#10;AA==&#10;">
                      <v:fill on="t" focussize="0,0"/>
                      <v:stroke color="#000000" joinstyle="miter"/>
                      <v:imagedata o:title=""/>
                      <o:lock v:ext="edit" aspectratio="f"/>
                    </v:rect>
                  </w:pict>
                </mc:Fallback>
              </mc:AlternateContent>
            </w:r>
            <w:r>
              <w:rPr>
                <w:rFonts w:hint="eastAsia" w:ascii="宋体" w:hAnsi="宋体" w:eastAsia="宋体" w:cs="宋体"/>
                <w:sz w:val="24"/>
                <w:szCs w:val="24"/>
              </w:rPr>
              <w:t xml:space="preserve">     短款  </w:t>
            </w:r>
          </w:p>
        </w:tc>
        <w:tc>
          <w:tcPr>
            <w:tcW w:w="1110"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金额</w:t>
            </w:r>
          </w:p>
        </w:tc>
        <w:tc>
          <w:tcPr>
            <w:tcW w:w="3554"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27" w:type="dxa"/>
            <w:vAlign w:val="top"/>
          </w:tcPr>
          <w:p>
            <w:pPr>
              <w:spacing w:line="360" w:lineRule="auto"/>
              <w:jc w:val="center"/>
              <w:rPr>
                <w:rFonts w:hint="eastAsia" w:ascii="宋体" w:hAnsi="宋体" w:eastAsia="宋体" w:cs="宋体"/>
                <w:sz w:val="24"/>
                <w:szCs w:val="24"/>
              </w:rPr>
            </w:pPr>
          </w:p>
        </w:tc>
        <w:tc>
          <w:tcPr>
            <w:tcW w:w="2332"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1312" behindDoc="0" locked="0" layoutInCell="1" allowOverlap="1">
                      <wp:simplePos x="0" y="0"/>
                      <wp:positionH relativeFrom="column">
                        <wp:posOffset>107315</wp:posOffset>
                      </wp:positionH>
                      <wp:positionV relativeFrom="paragraph">
                        <wp:posOffset>59690</wp:posOffset>
                      </wp:positionV>
                      <wp:extent cx="90805" cy="90805"/>
                      <wp:effectExtent l="4445" t="4445" r="19050" b="19050"/>
                      <wp:wrapNone/>
                      <wp:docPr id="6" name="矩形 6"/>
                      <wp:cNvGraphicFramePr/>
                      <a:graphic xmlns:a="http://schemas.openxmlformats.org/drawingml/2006/main">
                        <a:graphicData uri="http://schemas.microsoft.com/office/word/2010/wordprocessingShape">
                          <wps:wsp>
                            <wps:cNvSpPr/>
                            <wps:spPr>
                              <a:xfrm>
                                <a:off x="0" y="0"/>
                                <a:ext cx="90805" cy="90805"/>
                              </a:xfrm>
                              <a:prstGeom prst="rect">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rect id="_x0000_s1026" o:spid="_x0000_s1026" o:spt="1" style="position:absolute;left:0pt;margin-left:8.45pt;margin-top:4.7pt;height:7.15pt;width:7.15pt;z-index:251661312;mso-width-relative:page;mso-height-relative:page;" fillcolor="#FFFFFF" filled="t" stroked="t" coordsize="21600,21600" o:gfxdata="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giPe7UAAAABgEA&#10;AA8AAAAAAAAAAQAgAAAAIgAAAGRycy9kb3ducmV2LnhtbFBLAQIUABQAAAAIAIdO4kA1To7r5QEA&#10;ANsDAAAOAAAAAAAAAAEAIAAAACMBAABkcnMvZTJvRG9jLnhtbFBLBQYAAAAABgAGAFkBAAB6BQAA&#10;AAA=&#10;">
                      <v:fill on="t" focussize="0,0"/>
                      <v:stroke color="#000000" joinstyle="miter"/>
                      <v:imagedata o:title=""/>
                      <o:lock v:ext="edit" aspectratio="f"/>
                    </v:rect>
                  </w:pict>
                </mc:Fallback>
              </mc:AlternateContent>
            </w:r>
            <w:r>
              <w:rPr>
                <w:rFonts w:hint="eastAsia" w:ascii="宋体" w:hAnsi="宋体" w:eastAsia="宋体" w:cs="宋体"/>
                <w:sz w:val="24"/>
                <w:szCs w:val="24"/>
              </w:rPr>
              <w:t xml:space="preserve">     长款</w:t>
            </w:r>
          </w:p>
        </w:tc>
        <w:tc>
          <w:tcPr>
            <w:tcW w:w="1110" w:type="dxa"/>
            <w:vAlign w:val="top"/>
          </w:tcPr>
          <w:p>
            <w:pPr>
              <w:spacing w:line="360" w:lineRule="auto"/>
              <w:rPr>
                <w:rFonts w:hint="eastAsia" w:ascii="宋体" w:hAnsi="宋体" w:eastAsia="宋体" w:cs="宋体"/>
                <w:b/>
                <w:bCs/>
                <w:sz w:val="24"/>
                <w:szCs w:val="24"/>
              </w:rPr>
            </w:pPr>
            <w:r>
              <w:rPr>
                <w:rFonts w:hint="eastAsia" w:ascii="宋体" w:hAnsi="宋体" w:eastAsia="宋体" w:cs="宋体"/>
                <w:sz w:val="24"/>
                <w:szCs w:val="24"/>
              </w:rPr>
              <w:t>金额</w:t>
            </w:r>
          </w:p>
        </w:tc>
        <w:tc>
          <w:tcPr>
            <w:tcW w:w="3554" w:type="dxa"/>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bl>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经办：               复核：            </w:t>
      </w:r>
    </w:p>
    <w:p>
      <w:pPr>
        <w:spacing w:line="360" w:lineRule="auto"/>
        <w:ind w:firstLine="405"/>
        <w:rPr>
          <w:rFonts w:hint="eastAsia" w:ascii="宋体" w:hAnsi="宋体" w:eastAsia="宋体" w:cs="宋体"/>
          <w:sz w:val="24"/>
          <w:szCs w:val="24"/>
        </w:rPr>
      </w:pPr>
    </w:p>
    <w:p>
      <w:pPr>
        <w:spacing w:line="360" w:lineRule="auto"/>
        <w:ind w:firstLine="405"/>
        <w:jc w:val="right"/>
        <w:rPr>
          <w:rFonts w:hint="eastAsia" w:ascii="宋体" w:hAnsi="宋体" w:eastAsia="宋体" w:cs="宋体"/>
          <w:sz w:val="24"/>
          <w:szCs w:val="24"/>
        </w:rPr>
      </w:pPr>
      <w:r>
        <w:rPr>
          <w:rFonts w:hint="eastAsia" w:ascii="宋体" w:hAnsi="宋体" w:eastAsia="宋体" w:cs="宋体"/>
          <w:sz w:val="24"/>
          <w:szCs w:val="24"/>
        </w:rPr>
        <w:t>预留印鉴：</w:t>
      </w:r>
      <w:r>
        <w:rPr>
          <w:rFonts w:hint="eastAsia" w:ascii="宋体" w:hAnsi="宋体" w:eastAsia="宋体" w:cs="宋体"/>
          <w:color w:val="000000"/>
          <w:sz w:val="24"/>
          <w:szCs w:val="24"/>
        </w:rPr>
        <w:t>____________</w:t>
      </w:r>
    </w:p>
    <w:p>
      <w:pPr>
        <w:spacing w:line="360" w:lineRule="auto"/>
        <w:ind w:firstLine="405"/>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color w:val="000000"/>
          <w:sz w:val="24"/>
          <w:szCs w:val="24"/>
        </w:rPr>
        <w:t>年</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color w:val="000000"/>
          <w:sz w:val="24"/>
          <w:szCs w:val="24"/>
        </w:rPr>
        <w:t>月</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bookmarkStart w:id="128" w:name="_Toc382240676"/>
      <w:r>
        <w:rPr>
          <w:rFonts w:hint="eastAsia" w:ascii="宋体" w:hAnsi="宋体" w:eastAsia="宋体" w:cs="宋体"/>
          <w:color w:val="000000"/>
          <w:sz w:val="24"/>
          <w:szCs w:val="24"/>
        </w:rPr>
        <w:t>日</w:t>
      </w:r>
    </w:p>
    <w:p>
      <w:pPr>
        <w:spacing w:line="360" w:lineRule="auto"/>
        <w:jc w:val="left"/>
        <w:rPr>
          <w:rFonts w:hint="eastAsia" w:ascii="宋体" w:hAnsi="宋体" w:eastAsia="宋体" w:cs="宋体"/>
          <w:sz w:val="24"/>
          <w:szCs w:val="24"/>
        </w:rPr>
      </w:pPr>
      <w:bookmarkStart w:id="129" w:name="_Toc22492"/>
      <w:bookmarkStart w:id="130" w:name="_Toc51421619"/>
      <w:bookmarkStart w:id="131" w:name="_Toc57797455"/>
    </w:p>
    <w:p>
      <w:pPr>
        <w:spacing w:line="360" w:lineRule="auto"/>
        <w:jc w:val="left"/>
        <w:rPr>
          <w:rFonts w:hint="eastAsia" w:ascii="宋体" w:hAnsi="宋体" w:eastAsia="宋体" w:cs="宋体"/>
          <w:b/>
          <w:color w:val="auto"/>
          <w:sz w:val="24"/>
          <w:highlight w:val="none"/>
        </w:rPr>
      </w:pPr>
      <w:r>
        <w:rPr>
          <w:rFonts w:hint="eastAsia" w:ascii="宋体" w:hAnsi="宋体" w:eastAsia="宋体" w:cs="宋体"/>
          <w:b/>
          <w:bCs/>
          <w:sz w:val="24"/>
          <w:szCs w:val="24"/>
        </w:rPr>
        <w:t>附件二：</w:t>
      </w:r>
      <w:r>
        <w:rPr>
          <w:rFonts w:hint="eastAsia" w:ascii="宋体" w:hAnsi="宋体" w:eastAsia="宋体" w:cs="宋体"/>
          <w:b/>
          <w:color w:val="auto"/>
          <w:kern w:val="2"/>
          <w:sz w:val="24"/>
          <w:highlight w:val="none"/>
        </w:rPr>
        <w:t>授权代表签名</w:t>
      </w:r>
      <w:r>
        <w:rPr>
          <w:rFonts w:hint="eastAsia" w:ascii="宋体" w:hAnsi="宋体" w:eastAsia="宋体" w:cs="宋体"/>
          <w:b/>
          <w:color w:val="auto"/>
          <w:kern w:val="2"/>
          <w:sz w:val="24"/>
          <w:highlight w:val="none"/>
          <w:lang w:eastAsia="zh-CN"/>
        </w:rPr>
        <w:t>或</w:t>
      </w:r>
      <w:r>
        <w:rPr>
          <w:rFonts w:hint="eastAsia" w:ascii="宋体" w:hAnsi="宋体" w:eastAsia="宋体" w:cs="宋体"/>
          <w:b/>
          <w:color w:val="auto"/>
          <w:kern w:val="2"/>
          <w:sz w:val="24"/>
          <w:highlight w:val="none"/>
        </w:rPr>
        <w:t>印鉴样本通知书</w:t>
      </w:r>
      <w:r>
        <w:rPr>
          <w:rFonts w:hint="eastAsia" w:ascii="宋体" w:hAnsi="宋体" w:eastAsia="宋体" w:cs="宋体"/>
          <w:b/>
          <w:color w:val="auto"/>
          <w:sz w:val="24"/>
          <w:highlight w:val="none"/>
        </w:rPr>
        <w:t xml:space="preserve"> （样本）</w:t>
      </w:r>
    </w:p>
    <w:p>
      <w:pPr>
        <w:jc w:val="center"/>
        <w:rPr>
          <w:rFonts w:hint="eastAsia" w:ascii="宋体" w:hAnsi="宋体" w:eastAsia="宋体" w:cs="宋体"/>
          <w:b/>
          <w:bCs/>
          <w:color w:val="auto"/>
          <w:sz w:val="24"/>
          <w:highlight w:val="none"/>
        </w:rPr>
      </w:pPr>
    </w:p>
    <w:p>
      <w:pPr>
        <w:jc w:val="center"/>
        <w:rPr>
          <w:rFonts w:hint="eastAsia" w:ascii="宋体" w:hAnsi="宋体" w:eastAsia="宋体" w:cs="宋体"/>
          <w:b/>
          <w:bCs/>
          <w:color w:val="auto"/>
          <w:sz w:val="24"/>
          <w:highlight w:val="none"/>
        </w:rPr>
      </w:pPr>
      <w:r>
        <w:rPr>
          <w:rFonts w:hint="eastAsia" w:ascii="宋体" w:hAnsi="宋体" w:eastAsia="宋体" w:cs="宋体"/>
          <w:b/>
          <w:bCs/>
          <w:color w:val="auto"/>
          <w:kern w:val="2"/>
          <w:sz w:val="24"/>
          <w:highlight w:val="none"/>
        </w:rPr>
        <w:t>授权代表签名</w:t>
      </w:r>
      <w:r>
        <w:rPr>
          <w:rFonts w:hint="eastAsia" w:ascii="宋体" w:hAnsi="宋体" w:eastAsia="宋体" w:cs="宋体"/>
          <w:b/>
          <w:bCs/>
          <w:color w:val="auto"/>
          <w:kern w:val="2"/>
          <w:sz w:val="24"/>
          <w:highlight w:val="none"/>
          <w:lang w:eastAsia="zh-CN"/>
        </w:rPr>
        <w:t>或</w:t>
      </w:r>
      <w:r>
        <w:rPr>
          <w:rFonts w:hint="eastAsia" w:ascii="宋体" w:hAnsi="宋体" w:eastAsia="宋体" w:cs="宋体"/>
          <w:b/>
          <w:bCs/>
          <w:color w:val="auto"/>
          <w:kern w:val="2"/>
          <w:sz w:val="24"/>
          <w:highlight w:val="none"/>
        </w:rPr>
        <w:t>印鉴样本通知书</w:t>
      </w:r>
    </w:p>
    <w:p>
      <w:pPr>
        <w:spacing w:line="360" w:lineRule="auto"/>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fldChar w:fldCharType="begin">
          <w:ffData>
            <w:name w:val="Text65"/>
            <w:enabled/>
            <w:calcOnExit w:val="0"/>
            <w:textInput/>
          </w:ffData>
        </w:fldChar>
      </w:r>
      <w:r>
        <w:rPr>
          <w:rFonts w:hint="eastAsia" w:ascii="宋体" w:hAnsi="宋体" w:eastAsia="宋体" w:cs="宋体"/>
          <w:b/>
          <w:color w:val="auto"/>
          <w:sz w:val="24"/>
          <w:szCs w:val="24"/>
          <w:highlight w:val="none"/>
        </w:rPr>
        <w:instrText xml:space="preserve">FORMTEXT</w:instrText>
      </w:r>
      <w:r>
        <w:rPr>
          <w:rFonts w:hint="eastAsia" w:ascii="宋体" w:hAnsi="宋体" w:eastAsia="宋体" w:cs="宋体"/>
          <w:b/>
          <w:color w:val="auto"/>
          <w:sz w:val="24"/>
          <w:szCs w:val="24"/>
          <w:highlight w:val="none"/>
        </w:rPr>
        <w:fldChar w:fldCharType="separate"/>
      </w:r>
      <w:r>
        <w:rPr>
          <w:rFonts w:hint="eastAsia" w:ascii="宋体" w:hAnsi="宋体" w:eastAsia="宋体" w:cs="宋体"/>
          <w:b/>
          <w:color w:val="auto"/>
          <w:sz w:val="24"/>
          <w:szCs w:val="24"/>
          <w:highlight w:val="none"/>
        </w:rPr>
        <w:t> 中国民生银行股份有限公司</w:t>
      </w:r>
      <w:r>
        <w:rPr>
          <w:rFonts w:hint="eastAsia" w:ascii="宋体" w:hAnsi="宋体" w:eastAsia="宋体" w:cs="宋体"/>
          <w:color w:val="auto"/>
          <w:sz w:val="24"/>
          <w:szCs w:val="24"/>
          <w:highlight w:val="none"/>
        </w:rPr>
        <w:t>：</w:t>
      </w:r>
      <w:r>
        <w:rPr>
          <w:rFonts w:hint="eastAsia" w:ascii="宋体" w:hAnsi="宋体" w:eastAsia="宋体" w:cs="宋体"/>
          <w:b/>
          <w:color w:val="auto"/>
          <w:sz w:val="24"/>
          <w:szCs w:val="24"/>
          <w:highlight w:val="none"/>
        </w:rPr>
        <w:t>    </w:t>
      </w:r>
      <w:r>
        <w:rPr>
          <w:rFonts w:hint="eastAsia" w:ascii="宋体" w:hAnsi="宋体" w:eastAsia="宋体" w:cs="宋体"/>
          <w:b/>
          <w:color w:val="auto"/>
          <w:sz w:val="24"/>
          <w:szCs w:val="24"/>
          <w:highlight w:val="none"/>
        </w:rPr>
        <w:fldChar w:fldCharType="end"/>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我司作为管理人，</w:t>
      </w:r>
      <w:r>
        <w:rPr>
          <w:rFonts w:hint="eastAsia" w:ascii="宋体" w:hAnsi="宋体" w:eastAsia="宋体" w:cs="宋体"/>
          <w:color w:val="auto"/>
          <w:sz w:val="24"/>
          <w:highlight w:val="none"/>
          <w:lang w:eastAsia="zh-CN"/>
        </w:rPr>
        <w:t>通过</w:t>
      </w:r>
      <w:r>
        <w:rPr>
          <w:rFonts w:hint="eastAsia" w:ascii="宋体" w:hAnsi="宋体" w:eastAsia="宋体" w:cs="宋体"/>
          <w:color w:val="auto"/>
          <w:kern w:val="2"/>
          <w:sz w:val="24"/>
          <w:highlight w:val="none"/>
          <w:lang w:eastAsia="zh-CN"/>
        </w:rPr>
        <w:t>托管业务运营平台（</w:t>
      </w:r>
      <w:r>
        <w:rPr>
          <w:rFonts w:hint="eastAsia" w:ascii="宋体" w:hAnsi="宋体" w:eastAsia="宋体" w:cs="宋体"/>
          <w:color w:val="auto"/>
          <w:kern w:val="2"/>
          <w:sz w:val="24"/>
          <w:highlight w:val="none"/>
          <w:lang w:val="en-US" w:eastAsia="zh-CN"/>
        </w:rPr>
        <w:t>E-COS</w:t>
      </w:r>
      <w:r>
        <w:rPr>
          <w:rFonts w:hint="eastAsia" w:ascii="宋体" w:hAnsi="宋体" w:eastAsia="宋体" w:cs="宋体"/>
          <w:color w:val="auto"/>
          <w:kern w:val="2"/>
          <w:sz w:val="24"/>
          <w:highlight w:val="none"/>
          <w:lang w:eastAsia="zh-CN"/>
        </w:rPr>
        <w:t>）、托管网银、</w:t>
      </w:r>
      <w:r>
        <w:rPr>
          <w:rFonts w:hint="eastAsia" w:ascii="宋体" w:hAnsi="宋体" w:eastAsia="宋体" w:cs="宋体"/>
          <w:color w:val="auto"/>
          <w:kern w:val="2"/>
          <w:sz w:val="24"/>
          <w:highlight w:val="none"/>
        </w:rPr>
        <w:t>传真</w:t>
      </w:r>
      <w:r>
        <w:rPr>
          <w:rFonts w:hint="eastAsia" w:ascii="宋体" w:hAnsi="宋体" w:eastAsia="宋体" w:cs="宋体"/>
          <w:color w:val="auto"/>
          <w:kern w:val="2"/>
          <w:sz w:val="24"/>
          <w:highlight w:val="none"/>
          <w:lang w:eastAsia="zh-CN"/>
        </w:rPr>
        <w:t>、</w:t>
      </w:r>
      <w:r>
        <w:rPr>
          <w:rFonts w:hint="eastAsia" w:ascii="宋体" w:hAnsi="宋体" w:eastAsia="宋体" w:cs="宋体"/>
          <w:color w:val="auto"/>
          <w:sz w:val="24"/>
          <w:szCs w:val="24"/>
          <w:highlight w:val="none"/>
        </w:rPr>
        <w:fldChar w:fldCharType="begin">
          <w:ffData>
            <w:enabled/>
            <w:calcOnExit w:val="0"/>
            <w:textInput/>
          </w:ffData>
        </w:fldChar>
      </w:r>
      <w:r>
        <w:rPr>
          <w:rFonts w:hint="eastAsia" w:ascii="宋体" w:hAnsi="宋体" w:eastAsia="宋体" w:cs="宋体"/>
          <w:color w:val="auto"/>
          <w:sz w:val="24"/>
          <w:szCs w:val="24"/>
          <w:highlight w:val="none"/>
        </w:rPr>
        <w:instrText xml:space="preserve">FORMTEXT</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kern w:val="2"/>
          <w:sz w:val="24"/>
          <w:highlight w:val="none"/>
          <w:lang w:eastAsia="zh-CN"/>
        </w:rPr>
        <w:t>带有公司邮箱后缀（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kern w:val="2"/>
          <w:sz w:val="24"/>
          <w:highlight w:val="none"/>
          <w:lang w:eastAsia="zh-CN"/>
        </w:rPr>
        <w:t>电子</w:t>
      </w:r>
      <w:r>
        <w:rPr>
          <w:rFonts w:hint="eastAsia" w:ascii="宋体" w:hAnsi="宋体" w:eastAsia="宋体" w:cs="宋体"/>
          <w:color w:val="auto"/>
          <w:kern w:val="2"/>
          <w:sz w:val="24"/>
          <w:highlight w:val="none"/>
        </w:rPr>
        <w:t>邮件</w:t>
      </w:r>
      <w:r>
        <w:rPr>
          <w:rFonts w:hint="eastAsia" w:ascii="宋体" w:hAnsi="宋体" w:eastAsia="宋体" w:cs="宋体"/>
          <w:kern w:val="2"/>
          <w:sz w:val="24"/>
          <w:highlight w:val="none"/>
          <w:lang w:eastAsia="zh-CN"/>
        </w:rPr>
        <w:t>或其他双方书面认可的</w:t>
      </w:r>
      <w:r>
        <w:rPr>
          <w:rFonts w:hint="eastAsia" w:ascii="宋体" w:hAnsi="宋体" w:eastAsia="宋体" w:cs="宋体"/>
          <w:kern w:val="2"/>
          <w:sz w:val="24"/>
          <w:highlight w:val="none"/>
        </w:rPr>
        <w:t>方式</w:t>
      </w:r>
      <w:r>
        <w:rPr>
          <w:rFonts w:hint="eastAsia" w:ascii="宋体" w:hAnsi="宋体" w:eastAsia="宋体" w:cs="宋体"/>
          <w:color w:val="auto"/>
          <w:kern w:val="2"/>
          <w:sz w:val="24"/>
          <w:highlight w:val="none"/>
          <w:lang w:eastAsia="zh-CN"/>
        </w:rPr>
        <w:t>发送《</w:t>
      </w:r>
      <w:r>
        <w:rPr>
          <w:rFonts w:hint="eastAsia" w:ascii="宋体" w:hAnsi="宋体" w:eastAsia="宋体" w:cs="宋体"/>
          <w:color w:val="auto"/>
          <w:kern w:val="2"/>
          <w:sz w:val="24"/>
          <w:highlight w:val="none"/>
        </w:rPr>
        <w:t>授权代表签名</w:t>
      </w:r>
      <w:r>
        <w:rPr>
          <w:rFonts w:hint="eastAsia" w:ascii="宋体" w:hAnsi="宋体" w:eastAsia="宋体" w:cs="宋体"/>
          <w:color w:val="auto"/>
          <w:kern w:val="2"/>
          <w:sz w:val="24"/>
          <w:highlight w:val="none"/>
          <w:lang w:eastAsia="zh-CN"/>
        </w:rPr>
        <w:t>或</w:t>
      </w:r>
      <w:r>
        <w:rPr>
          <w:rFonts w:hint="eastAsia" w:ascii="宋体" w:hAnsi="宋体" w:eastAsia="宋体" w:cs="宋体"/>
          <w:color w:val="auto"/>
          <w:kern w:val="2"/>
          <w:sz w:val="24"/>
          <w:highlight w:val="none"/>
        </w:rPr>
        <w:t>印鉴样本通知书</w:t>
      </w:r>
      <w:r>
        <w:rPr>
          <w:rFonts w:hint="eastAsia" w:ascii="宋体" w:hAnsi="宋体" w:eastAsia="宋体" w:cs="宋体"/>
          <w:color w:val="auto"/>
          <w:kern w:val="2"/>
          <w:sz w:val="24"/>
          <w:highlight w:val="none"/>
          <w:lang w:eastAsia="zh-CN"/>
        </w:rPr>
        <w:t>》，</w:t>
      </w:r>
      <w:r>
        <w:rPr>
          <w:rFonts w:hint="eastAsia" w:ascii="宋体" w:hAnsi="宋体" w:eastAsia="宋体" w:cs="宋体"/>
          <w:color w:val="auto"/>
          <w:sz w:val="24"/>
          <w:highlight w:val="none"/>
        </w:rPr>
        <w:t>授权以下人员</w:t>
      </w:r>
      <w:r>
        <w:rPr>
          <w:rFonts w:hint="eastAsia" w:ascii="宋体" w:hAnsi="宋体" w:eastAsia="宋体" w:cs="宋体"/>
          <w:color w:val="auto"/>
          <w:sz w:val="24"/>
          <w:highlight w:val="none"/>
          <w:lang w:eastAsia="zh-CN"/>
        </w:rPr>
        <w:t>负责</w:t>
      </w:r>
      <w:r>
        <w:rPr>
          <w:rFonts w:hint="eastAsia" w:ascii="宋体" w:hAnsi="宋体" w:eastAsia="宋体" w:cs="宋体"/>
          <w:color w:val="auto"/>
          <w:sz w:val="24"/>
          <w:highlight w:val="none"/>
        </w:rPr>
        <w:t>贵</w:t>
      </w:r>
      <w:r>
        <w:rPr>
          <w:rFonts w:hint="eastAsia" w:ascii="宋体" w:hAnsi="宋体" w:eastAsia="宋体" w:cs="宋体"/>
          <w:color w:val="auto"/>
          <w:sz w:val="24"/>
          <w:highlight w:val="none"/>
          <w:lang w:eastAsia="zh-CN"/>
        </w:rPr>
        <w:t>司托管</w:t>
      </w:r>
      <w:r>
        <w:rPr>
          <w:rFonts w:hint="eastAsia" w:ascii="宋体" w:hAnsi="宋体" w:eastAsia="宋体" w:cs="宋体"/>
          <w:color w:val="auto"/>
          <w:sz w:val="24"/>
          <w:highlight w:val="none"/>
        </w:rPr>
        <w:t>的</w:t>
      </w:r>
      <w:r>
        <w:rPr>
          <w:rFonts w:hint="eastAsia" w:ascii="宋体" w:hAnsi="宋体" w:eastAsia="宋体" w:cs="宋体"/>
          <w:color w:val="auto"/>
          <w:sz w:val="24"/>
          <w:szCs w:val="24"/>
          <w:highlight w:val="none"/>
        </w:rPr>
        <w:fldChar w:fldCharType="begin">
          <w:ffData>
            <w:enabled/>
            <w:calcOnExit w:val="0"/>
            <w:textInput/>
          </w:ffData>
        </w:fldChar>
      </w:r>
      <w:r>
        <w:rPr>
          <w:rFonts w:hint="eastAsia" w:ascii="宋体" w:hAnsi="宋体" w:eastAsia="宋体" w:cs="宋体"/>
          <w:color w:val="auto"/>
          <w:sz w:val="24"/>
          <w:szCs w:val="24"/>
          <w:highlight w:val="none"/>
        </w:rPr>
        <w:instrText xml:space="preserve">FORMTEXT</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（产品名称）</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highlight w:val="none"/>
        </w:rPr>
        <w:t>指令性文件</w:t>
      </w:r>
      <w:r>
        <w:rPr>
          <w:rFonts w:hint="eastAsia" w:ascii="宋体" w:hAnsi="宋体" w:eastAsia="宋体" w:cs="宋体"/>
          <w:color w:val="auto"/>
          <w:sz w:val="24"/>
          <w:highlight w:val="none"/>
          <w:lang w:eastAsia="zh-CN"/>
        </w:rPr>
        <w:t>（采用传真、电子邮件</w:t>
      </w:r>
      <w:r>
        <w:rPr>
          <w:rFonts w:hint="eastAsia" w:ascii="宋体" w:hAnsi="宋体" w:eastAsia="宋体" w:cs="宋体"/>
          <w:kern w:val="2"/>
          <w:sz w:val="24"/>
          <w:highlight w:val="none"/>
          <w:lang w:eastAsia="zh-CN"/>
        </w:rPr>
        <w:t>或其他双方书面认可的</w:t>
      </w:r>
      <w:r>
        <w:rPr>
          <w:rFonts w:hint="eastAsia" w:ascii="宋体" w:hAnsi="宋体" w:eastAsia="宋体" w:cs="宋体"/>
          <w:color w:val="auto"/>
          <w:sz w:val="24"/>
          <w:highlight w:val="none"/>
          <w:lang w:eastAsia="zh-CN"/>
        </w:rPr>
        <w:t>方式发送）的签署</w:t>
      </w:r>
      <w:r>
        <w:rPr>
          <w:rFonts w:hint="eastAsia" w:ascii="宋体" w:hAnsi="宋体" w:eastAsia="宋体" w:cs="宋体"/>
          <w:color w:val="auto"/>
          <w:sz w:val="24"/>
          <w:highlight w:val="none"/>
        </w:rPr>
        <w:t>工作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本授权生效之日起，原授权同时废止（如有）</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pPr>
        <w:spacing w:line="360" w:lineRule="auto"/>
        <w:ind w:firstLine="540" w:firstLineChars="0"/>
        <w:rPr>
          <w:rFonts w:hint="eastAsia" w:ascii="宋体" w:hAnsi="宋体" w:eastAsia="宋体" w:cs="宋体"/>
          <w:color w:val="auto"/>
          <w:sz w:val="24"/>
          <w:highlight w:val="none"/>
        </w:rPr>
      </w:pPr>
      <w:bookmarkStart w:id="132" w:name="_Toc372290951"/>
      <w:r>
        <w:rPr>
          <w:rFonts w:hint="eastAsia" w:ascii="宋体" w:hAnsi="宋体" w:eastAsia="宋体" w:cs="宋体"/>
          <w:color w:val="auto"/>
          <w:sz w:val="24"/>
          <w:highlight w:val="none"/>
          <w:lang w:eastAsia="zh-CN"/>
        </w:rPr>
        <w:t>下</w:t>
      </w:r>
      <w:r>
        <w:rPr>
          <w:rFonts w:hint="eastAsia" w:ascii="宋体" w:hAnsi="宋体" w:eastAsia="宋体" w:cs="宋体"/>
          <w:color w:val="auto"/>
          <w:sz w:val="24"/>
          <w:highlight w:val="none"/>
        </w:rPr>
        <w:t>述被授权人在授权范围内向你行</w:t>
      </w:r>
      <w:r>
        <w:rPr>
          <w:rFonts w:hint="eastAsia" w:ascii="宋体" w:hAnsi="宋体" w:eastAsia="宋体" w:cs="宋体"/>
          <w:color w:val="auto"/>
          <w:sz w:val="24"/>
          <w:highlight w:val="none"/>
          <w:lang w:eastAsia="zh-CN"/>
        </w:rPr>
        <w:t>签署</w:t>
      </w:r>
      <w:r>
        <w:rPr>
          <w:rFonts w:hint="eastAsia" w:ascii="宋体" w:hAnsi="宋体" w:eastAsia="宋体" w:cs="宋体"/>
          <w:color w:val="auto"/>
          <w:sz w:val="24"/>
          <w:highlight w:val="none"/>
        </w:rPr>
        <w:t>指令的真实性、准确性及合法性由我司负全部责任。</w:t>
      </w:r>
      <w:bookmarkEnd w:id="132"/>
    </w:p>
    <w:tbl>
      <w:tblPr>
        <w:tblStyle w:val="1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1747"/>
        <w:gridCol w:w="1547"/>
        <w:gridCol w:w="1828"/>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姓名</w:t>
            </w:r>
          </w:p>
        </w:tc>
        <w:tc>
          <w:tcPr>
            <w:tcW w:w="17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联系电话</w:t>
            </w:r>
          </w:p>
        </w:tc>
        <w:tc>
          <w:tcPr>
            <w:tcW w:w="15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权限</w:t>
            </w:r>
          </w:p>
        </w:tc>
        <w:tc>
          <w:tcPr>
            <w:tcW w:w="1828"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签字样本</w:t>
            </w:r>
          </w:p>
        </w:tc>
        <w:tc>
          <w:tcPr>
            <w:tcW w:w="1920"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印章样本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7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5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7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5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7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5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7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5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7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5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7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5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7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5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7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5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7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547"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ind w:firstLine="480" w:firstLineChars="200"/>
              <w:rPr>
                <w:rFonts w:hint="eastAsia" w:ascii="宋体" w:hAnsi="宋体" w:eastAsia="宋体" w:cs="宋体"/>
                <w:color w:val="auto"/>
                <w:sz w:val="24"/>
                <w:highlight w:val="none"/>
              </w:rPr>
            </w:pPr>
          </w:p>
        </w:tc>
        <w:tc>
          <w:tcPr>
            <w:tcW w:w="17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5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ind w:firstLine="480" w:firstLineChars="200"/>
              <w:rPr>
                <w:rFonts w:hint="eastAsia" w:ascii="宋体" w:hAnsi="宋体" w:eastAsia="宋体" w:cs="宋体"/>
                <w:color w:val="auto"/>
                <w:sz w:val="24"/>
                <w:highlight w:val="none"/>
              </w:rPr>
            </w:pPr>
          </w:p>
        </w:tc>
        <w:tc>
          <w:tcPr>
            <w:tcW w:w="17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5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71" w:type="dxa"/>
            <w:tcBorders>
              <w:top w:val="single" w:color="auto" w:sz="4" w:space="0"/>
              <w:left w:val="single" w:color="auto" w:sz="4" w:space="0"/>
              <w:bottom w:val="single" w:color="auto" w:sz="4" w:space="0"/>
              <w:right w:val="single" w:color="auto" w:sz="4" w:space="0"/>
            </w:tcBorders>
            <w:vAlign w:val="top"/>
          </w:tcPr>
          <w:p>
            <w:pPr>
              <w:ind w:firstLine="480" w:firstLineChars="200"/>
              <w:rPr>
                <w:rFonts w:hint="eastAsia" w:ascii="宋体" w:hAnsi="宋体" w:eastAsia="宋体" w:cs="宋体"/>
                <w:color w:val="auto"/>
                <w:sz w:val="24"/>
                <w:highlight w:val="none"/>
              </w:rPr>
            </w:pPr>
          </w:p>
        </w:tc>
        <w:tc>
          <w:tcPr>
            <w:tcW w:w="17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547"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宋体" w:cs="宋体"/>
                <w:color w:val="auto"/>
                <w:sz w:val="24"/>
                <w:highlight w:val="none"/>
              </w:rPr>
            </w:pPr>
          </w:p>
        </w:tc>
        <w:tc>
          <w:tcPr>
            <w:tcW w:w="182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c>
          <w:tcPr>
            <w:tcW w:w="1920"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68" w:hRule="atLeast"/>
        </w:trPr>
        <w:tc>
          <w:tcPr>
            <w:tcW w:w="1571" w:type="dxa"/>
            <w:tcBorders>
              <w:top w:val="single" w:color="auto" w:sz="4" w:space="0"/>
              <w:left w:val="single" w:color="auto" w:sz="4" w:space="0"/>
              <w:bottom w:val="single" w:color="auto" w:sz="4" w:space="0"/>
              <w:right w:val="single" w:color="auto" w:sz="4" w:space="0"/>
            </w:tcBorders>
            <w:vAlign w:val="top"/>
          </w:tcPr>
          <w:p>
            <w:pPr>
              <w:jc w:val="left"/>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用章范围</w:t>
            </w:r>
            <w:r>
              <w:rPr>
                <w:rFonts w:hint="eastAsia" w:ascii="宋体" w:hAnsi="宋体" w:eastAsia="宋体" w:cs="宋体"/>
                <w:color w:val="auto"/>
                <w:sz w:val="24"/>
                <w:szCs w:val="24"/>
                <w:highlight w:val="none"/>
              </w:rPr>
              <w:fldChar w:fldCharType="begin">
                <w:ffData>
                  <w:enabled/>
                  <w:calcOnExit w:val="0"/>
                  <w:textInput/>
                </w:ffData>
              </w:fldChar>
            </w:r>
            <w:r>
              <w:rPr>
                <w:rFonts w:hint="eastAsia" w:ascii="宋体" w:hAnsi="宋体" w:eastAsia="宋体" w:cs="宋体"/>
                <w:color w:val="auto"/>
                <w:sz w:val="24"/>
                <w:szCs w:val="24"/>
                <w:highlight w:val="none"/>
              </w:rPr>
              <w:instrText xml:space="preserve">FORMTEXT</w:instrText>
            </w:r>
            <w:r>
              <w:rPr>
                <w:rFonts w:hint="eastAsia" w:ascii="宋体" w:hAnsi="宋体" w:eastAsia="宋体" w:cs="宋体"/>
                <w:color w:val="auto"/>
                <w:sz w:val="24"/>
                <w:szCs w:val="24"/>
                <w:highlight w:val="none"/>
              </w:rPr>
              <w:fldChar w:fldCharType="separate"/>
            </w:r>
          </w:p>
          <w:p>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(划款指令、往来业务函件、成交单、转托管等）</w:t>
            </w:r>
            <w:r>
              <w:rPr>
                <w:rFonts w:hint="eastAsia" w:ascii="宋体" w:hAnsi="宋体" w:eastAsia="宋体" w:cs="宋体"/>
                <w:color w:val="auto"/>
                <w:sz w:val="24"/>
                <w:szCs w:val="24"/>
                <w:highlight w:val="none"/>
              </w:rPr>
              <w:fldChar w:fldCharType="end"/>
            </w:r>
          </w:p>
        </w:tc>
        <w:tc>
          <w:tcPr>
            <w:tcW w:w="7042" w:type="dxa"/>
            <w:gridSpan w:val="4"/>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（用章样本）</w:t>
            </w:r>
          </w:p>
        </w:tc>
      </w:tr>
    </w:tbl>
    <w:p>
      <w:pPr>
        <w:spacing w:line="360" w:lineRule="auto"/>
        <w:rPr>
          <w:rFonts w:hint="eastAsia" w:ascii="宋体" w:hAnsi="宋体" w:eastAsia="宋体" w:cs="宋体"/>
          <w:b/>
          <w:color w:val="auto"/>
          <w:sz w:val="24"/>
          <w:highlight w:val="none"/>
        </w:rPr>
      </w:pPr>
    </w:p>
    <w:p>
      <w:pPr>
        <w:snapToGrid w:val="0"/>
        <w:spacing w:line="360" w:lineRule="auto"/>
        <w:jc w:val="righ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fldChar w:fldCharType="begin">
          <w:ffData>
            <w:enabled/>
            <w:calcOnExit w:val="0"/>
            <w:textInput/>
          </w:ffData>
        </w:fldChar>
      </w:r>
      <w:r>
        <w:rPr>
          <w:rFonts w:hint="eastAsia" w:ascii="宋体" w:hAnsi="宋体" w:eastAsia="宋体" w:cs="宋体"/>
          <w:b/>
          <w:bCs/>
          <w:color w:val="auto"/>
          <w:sz w:val="24"/>
          <w:szCs w:val="24"/>
          <w:highlight w:val="none"/>
        </w:rPr>
        <w:instrText xml:space="preserve">FORMTEXT</w:instrText>
      </w:r>
      <w:r>
        <w:rPr>
          <w:rFonts w:hint="eastAsia" w:ascii="宋体" w:hAnsi="宋体" w:eastAsia="宋体" w:cs="宋体"/>
          <w:b/>
          <w:bCs/>
          <w:color w:val="auto"/>
          <w:sz w:val="24"/>
          <w:szCs w:val="24"/>
          <w:highlight w:val="none"/>
        </w:rPr>
        <w:fldChar w:fldCharType="separate"/>
      </w:r>
      <w:r>
        <w:rPr>
          <w:rFonts w:hint="eastAsia" w:ascii="宋体" w:hAnsi="宋体" w:eastAsia="宋体" w:cs="宋体"/>
          <w:b/>
          <w:bCs/>
          <w:color w:val="auto"/>
          <w:sz w:val="24"/>
          <w:szCs w:val="24"/>
          <w:highlight w:val="none"/>
        </w:rPr>
        <w:t> </w:t>
      </w:r>
      <w:r>
        <w:rPr>
          <w:rFonts w:hint="eastAsia" w:ascii="宋体" w:hAnsi="宋体" w:eastAsia="宋体" w:cs="宋体"/>
          <w:color w:val="auto"/>
          <w:sz w:val="24"/>
          <w:highlight w:val="none"/>
        </w:rPr>
        <w:fldChar w:fldCharType="begin">
          <w:ffData>
            <w:enabled/>
            <w:calcOnExit w:val="0"/>
            <w:textInput/>
          </w:ffData>
        </w:fldChar>
      </w:r>
      <w:r>
        <w:rPr>
          <w:rFonts w:hint="eastAsia" w:ascii="宋体" w:hAnsi="宋体" w:eastAsia="宋体" w:cs="宋体"/>
          <w:color w:val="auto"/>
          <w:sz w:val="24"/>
          <w:highlight w:val="none"/>
        </w:rPr>
        <w:instrText xml:space="preserve">FORMTEXT</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    </w:t>
      </w:r>
      <w:r>
        <w:rPr>
          <w:rFonts w:hint="eastAsia" w:ascii="宋体" w:hAnsi="宋体" w:eastAsia="宋体" w:cs="宋体"/>
          <w:color w:val="auto"/>
          <w:sz w:val="24"/>
          <w:highlight w:val="none"/>
        </w:rPr>
        <w:fldChar w:fldCharType="end"/>
      </w:r>
      <w:r>
        <w:rPr>
          <w:rFonts w:hint="eastAsia" w:ascii="宋体" w:hAnsi="宋体" w:cs="宋体"/>
          <w:color w:val="auto"/>
          <w:sz w:val="24"/>
          <w:highlight w:val="none"/>
          <w:lang w:eastAsia="zh-CN"/>
        </w:rPr>
        <w:t>齐鲁银行股份有限公司</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管理</w:t>
      </w:r>
      <w:r>
        <w:rPr>
          <w:rFonts w:hint="eastAsia" w:ascii="宋体" w:hAnsi="宋体" w:eastAsia="宋体" w:cs="宋体"/>
          <w:b/>
          <w:bCs/>
          <w:color w:val="auto"/>
          <w:sz w:val="24"/>
          <w:szCs w:val="24"/>
          <w:highlight w:val="none"/>
          <w:lang w:eastAsia="zh-CN"/>
        </w:rPr>
        <w:t>人）</w:t>
      </w:r>
    </w:p>
    <w:p>
      <w:pPr>
        <w:snapToGrid w:val="0"/>
        <w:spacing w:line="360" w:lineRule="auto"/>
        <w:jc w:val="right"/>
        <w:rPr>
          <w:rFonts w:hint="eastAsia" w:ascii="宋体" w:hAnsi="宋体" w:eastAsia="宋体" w:cs="宋体"/>
          <w:b/>
          <w:bCs/>
          <w:color w:val="auto"/>
          <w:sz w:val="24"/>
          <w:szCs w:val="24"/>
          <w:highlight w:val="none"/>
          <w:lang w:eastAsia="zh-CN"/>
        </w:rPr>
      </w:pPr>
    </w:p>
    <w:p>
      <w:pPr>
        <w:snapToGrid w:val="0"/>
        <w:spacing w:line="360" w:lineRule="auto"/>
        <w:jc w:val="righ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rPr>
        <w:t>法定代表人/</w:t>
      </w:r>
      <w:r>
        <w:rPr>
          <w:rFonts w:hint="eastAsia" w:ascii="宋体" w:hAnsi="宋体" w:eastAsia="宋体" w:cs="宋体"/>
          <w:b/>
          <w:color w:val="auto"/>
          <w:sz w:val="24"/>
          <w:highlight w:val="none"/>
          <w:lang w:eastAsia="zh-CN"/>
        </w:rPr>
        <w:t>被授权人：</w:t>
      </w:r>
      <w:r>
        <w:rPr>
          <w:rFonts w:hint="eastAsia" w:ascii="宋体" w:hAnsi="宋体" w:eastAsia="宋体" w:cs="宋体"/>
          <w:b/>
          <w:color w:val="auto"/>
          <w:sz w:val="24"/>
          <w:highlight w:val="none"/>
          <w:lang w:val="en-US" w:eastAsia="zh-CN"/>
        </w:rPr>
        <w:t xml:space="preserve"> </w:t>
      </w:r>
    </w:p>
    <w:p>
      <w:pPr>
        <w:spacing w:line="360" w:lineRule="auto"/>
        <w:ind w:right="600" w:firstLine="5783" w:firstLineChars="2400"/>
        <w:rPr>
          <w:rFonts w:hint="eastAsia" w:ascii="宋体" w:hAnsi="宋体" w:eastAsia="宋体" w:cs="宋体"/>
          <w:b/>
          <w:bCs/>
          <w:color w:val="auto"/>
          <w:sz w:val="24"/>
          <w:szCs w:val="24"/>
          <w:highlight w:val="none"/>
        </w:rPr>
      </w:pPr>
    </w:p>
    <w:p>
      <w:pPr>
        <w:spacing w:line="360" w:lineRule="auto"/>
        <w:ind w:right="600" w:firstLine="5783" w:firstLineChars="2400"/>
        <w:rPr>
          <w:rFonts w:hint="eastAsia" w:ascii="宋体" w:hAnsi="宋体" w:eastAsia="宋体" w:cs="宋体"/>
          <w:b/>
          <w:color w:val="auto"/>
          <w:sz w:val="24"/>
          <w:highlight w:val="none"/>
        </w:rPr>
      </w:pPr>
      <w:r>
        <w:rPr>
          <w:rFonts w:hint="eastAsia" w:ascii="宋体" w:hAnsi="宋体" w:eastAsia="宋体" w:cs="宋体"/>
          <w:b/>
          <w:bCs/>
          <w:color w:val="auto"/>
          <w:sz w:val="24"/>
          <w:szCs w:val="24"/>
          <w:highlight w:val="none"/>
        </w:rPr>
        <w:t xml:space="preserve">  年   月   日 </w:t>
      </w:r>
      <w:r>
        <w:rPr>
          <w:rFonts w:hint="eastAsia" w:ascii="宋体" w:hAnsi="宋体" w:eastAsia="宋体" w:cs="宋体"/>
          <w:b/>
          <w:bCs/>
          <w:color w:val="auto"/>
          <w:sz w:val="24"/>
          <w:szCs w:val="24"/>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3975" w:firstLineChars="1650"/>
        <w:textAlignment w:val="auto"/>
        <w:outlineLvl w:val="9"/>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 </w:t>
      </w:r>
      <w:r>
        <w:rPr>
          <w:rFonts w:hint="eastAsia" w:ascii="宋体" w:hAnsi="宋体" w:eastAsia="宋体" w:cs="宋体"/>
          <w:b/>
          <w:color w:val="auto"/>
          <w:sz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Lines="0" w:afterLines="0" w:line="360" w:lineRule="auto"/>
        <w:ind w:left="0" w:leftChars="0" w:right="0" w:rightChars="0"/>
        <w:jc w:val="left"/>
        <w:textAlignment w:val="auto"/>
        <w:outlineLvl w:val="9"/>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注：</w:t>
      </w:r>
      <w:r>
        <w:rPr>
          <w:rFonts w:hint="eastAsia" w:ascii="宋体" w:hAnsi="宋体" w:eastAsia="宋体" w:cs="宋体"/>
          <w:b w:val="0"/>
          <w:bCs/>
          <w:color w:val="auto"/>
          <w:sz w:val="24"/>
          <w:highlight w:val="none"/>
          <w:lang w:val="en-US" w:eastAsia="zh-CN"/>
        </w:rPr>
        <w:t>1、</w:t>
      </w:r>
      <w:r>
        <w:rPr>
          <w:rFonts w:hint="eastAsia" w:ascii="宋体" w:hAnsi="宋体" w:eastAsia="宋体" w:cs="宋体"/>
          <w:b w:val="0"/>
          <w:bCs/>
          <w:color w:val="auto"/>
          <w:sz w:val="24"/>
          <w:highlight w:val="none"/>
          <w:lang w:eastAsia="zh-CN"/>
        </w:rPr>
        <w:t>本附件样式仅供管理人参考，具体</w:t>
      </w:r>
      <w:r>
        <w:rPr>
          <w:rFonts w:hint="eastAsia" w:ascii="宋体" w:hAnsi="宋体" w:eastAsia="宋体" w:cs="宋体"/>
          <w:b w:val="0"/>
          <w:bCs/>
          <w:color w:val="auto"/>
          <w:sz w:val="24"/>
          <w:highlight w:val="none"/>
        </w:rPr>
        <w:t>预留印鉴</w:t>
      </w:r>
      <w:r>
        <w:rPr>
          <w:rFonts w:hint="eastAsia" w:ascii="宋体" w:hAnsi="宋体" w:eastAsia="宋体" w:cs="宋体"/>
          <w:b w:val="0"/>
          <w:bCs/>
          <w:color w:val="auto"/>
          <w:sz w:val="24"/>
          <w:highlight w:val="none"/>
          <w:lang w:eastAsia="zh-CN"/>
        </w:rPr>
        <w:t>授权文件以管理人实际出</w:t>
      </w:r>
      <w:r>
        <w:rPr>
          <w:rFonts w:hint="eastAsia" w:ascii="宋体" w:hAnsi="宋体" w:eastAsia="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lang w:eastAsia="zh-CN"/>
        </w:rPr>
        <w:t>具为准。</w:t>
      </w:r>
    </w:p>
    <w:p>
      <w:pPr>
        <w:numPr>
          <w:ilvl w:val="0"/>
          <w:numId w:val="8"/>
        </w:numPr>
        <w:spacing w:beforeLines="0" w:afterLines="0" w:line="360" w:lineRule="auto"/>
        <w:ind w:firstLine="480" w:firstLineChars="200"/>
        <w:jc w:val="left"/>
        <w:rPr>
          <w:rFonts w:hint="eastAsia" w:ascii="宋体" w:hAnsi="宋体" w:eastAsia="宋体" w:cs="宋体"/>
          <w:color w:val="auto"/>
          <w:kern w:val="2"/>
          <w:sz w:val="24"/>
          <w:highlight w:val="none"/>
          <w:lang w:eastAsia="zh-CN"/>
        </w:rPr>
      </w:pPr>
      <w:r>
        <w:rPr>
          <w:rFonts w:hint="eastAsia" w:ascii="宋体" w:hAnsi="宋体" w:eastAsia="宋体" w:cs="宋体"/>
          <w:color w:val="auto"/>
          <w:sz w:val="24"/>
          <w:highlight w:val="none"/>
          <w:lang w:val="en-US" w:eastAsia="zh-CN"/>
        </w:rPr>
        <w:t>此授权文件适用于</w:t>
      </w:r>
      <w:r>
        <w:rPr>
          <w:rFonts w:hint="eastAsia" w:ascii="宋体" w:hAnsi="宋体" w:eastAsia="宋体" w:cs="宋体"/>
          <w:color w:val="auto"/>
          <w:sz w:val="24"/>
          <w:highlight w:val="none"/>
          <w:lang w:eastAsia="zh-CN"/>
        </w:rPr>
        <w:t>通过传真、电子邮件</w:t>
      </w:r>
      <w:r>
        <w:rPr>
          <w:rFonts w:hint="eastAsia" w:ascii="宋体" w:hAnsi="宋体" w:eastAsia="宋体" w:cs="宋体"/>
          <w:kern w:val="2"/>
          <w:sz w:val="24"/>
          <w:highlight w:val="none"/>
          <w:lang w:eastAsia="zh-CN"/>
        </w:rPr>
        <w:t>或其他双方书面认可的</w:t>
      </w:r>
      <w:r>
        <w:rPr>
          <w:rFonts w:hint="eastAsia" w:ascii="宋体" w:hAnsi="宋体" w:eastAsia="宋体" w:cs="宋体"/>
          <w:color w:val="auto"/>
          <w:sz w:val="24"/>
          <w:highlight w:val="none"/>
          <w:lang w:eastAsia="zh-CN"/>
        </w:rPr>
        <w:t>方式发送的指令性文件</w:t>
      </w:r>
      <w:r>
        <w:rPr>
          <w:rFonts w:hint="eastAsia" w:ascii="宋体" w:hAnsi="宋体" w:eastAsia="宋体" w:cs="宋体"/>
          <w:color w:val="auto"/>
          <w:sz w:val="24"/>
          <w:highlight w:val="none"/>
          <w:lang w:val="en-US" w:eastAsia="zh-CN"/>
        </w:rPr>
        <w:t>；如</w:t>
      </w:r>
      <w:r>
        <w:rPr>
          <w:rFonts w:hint="eastAsia" w:ascii="宋体" w:hAnsi="宋体" w:eastAsia="宋体" w:cs="宋体"/>
          <w:color w:val="auto"/>
          <w:sz w:val="24"/>
          <w:highlight w:val="none"/>
        </w:rPr>
        <w:t>指令性文件</w:t>
      </w:r>
      <w:r>
        <w:rPr>
          <w:rFonts w:hint="eastAsia" w:ascii="宋体" w:hAnsi="宋体" w:eastAsia="宋体" w:cs="宋体"/>
          <w:color w:val="auto"/>
          <w:sz w:val="24"/>
          <w:highlight w:val="none"/>
          <w:lang w:val="en-US" w:eastAsia="zh-CN"/>
        </w:rPr>
        <w:t>通过</w:t>
      </w:r>
      <w:r>
        <w:rPr>
          <w:rFonts w:hint="eastAsia" w:ascii="宋体" w:hAnsi="宋体" w:eastAsia="宋体" w:cs="宋体"/>
          <w:color w:val="auto"/>
          <w:kern w:val="2"/>
          <w:sz w:val="24"/>
          <w:highlight w:val="none"/>
          <w:lang w:eastAsia="zh-CN"/>
        </w:rPr>
        <w:t>资产托管业务运营平台（</w:t>
      </w:r>
      <w:r>
        <w:rPr>
          <w:rFonts w:hint="eastAsia" w:ascii="宋体" w:hAnsi="宋体" w:eastAsia="宋体" w:cs="宋体"/>
          <w:color w:val="auto"/>
          <w:kern w:val="2"/>
          <w:sz w:val="24"/>
          <w:highlight w:val="none"/>
          <w:lang w:val="en-US" w:eastAsia="zh-CN"/>
        </w:rPr>
        <w:t>E-COS</w:t>
      </w:r>
      <w:r>
        <w:rPr>
          <w:rFonts w:hint="eastAsia" w:ascii="宋体" w:hAnsi="宋体" w:eastAsia="宋体" w:cs="宋体"/>
          <w:color w:val="auto"/>
          <w:kern w:val="2"/>
          <w:sz w:val="24"/>
          <w:highlight w:val="none"/>
          <w:lang w:eastAsia="zh-CN"/>
        </w:rPr>
        <w:t>）、托管网银发送，授权方式另行约定。</w:t>
      </w:r>
    </w:p>
    <w:p>
      <w:pPr>
        <w:numPr>
          <w:ilvl w:val="0"/>
          <w:numId w:val="8"/>
        </w:numPr>
        <w:spacing w:beforeLines="0" w:afterLines="0" w:line="360" w:lineRule="auto"/>
        <w:ind w:firstLine="480" w:firstLineChars="200"/>
        <w:jc w:val="left"/>
        <w:rPr>
          <w:rFonts w:hint="eastAsia" w:ascii="宋体" w:hAnsi="宋体" w:eastAsia="宋体" w:cs="宋体"/>
          <w:b w:val="0"/>
          <w:bCs/>
          <w:color w:val="auto"/>
          <w:sz w:val="24"/>
          <w:highlight w:val="none"/>
          <w:lang w:val="en-US" w:eastAsia="zh-CN"/>
        </w:rPr>
      </w:pPr>
      <w:r>
        <w:rPr>
          <w:rFonts w:hint="eastAsia" w:ascii="宋体" w:hAnsi="宋体" w:eastAsia="宋体" w:cs="宋体"/>
          <w:color w:val="auto"/>
          <w:kern w:val="2"/>
          <w:sz w:val="24"/>
          <w:highlight w:val="none"/>
          <w:lang w:eastAsia="zh-CN"/>
        </w:rPr>
        <w:t>授权文件或划款指令的发送如采用电子邮件形式，应</w:t>
      </w:r>
      <w:r>
        <w:rPr>
          <w:rFonts w:hint="eastAsia" w:ascii="宋体" w:hAnsi="宋体" w:eastAsia="宋体" w:cs="宋体"/>
          <w:b w:val="0"/>
          <w:bCs/>
          <w:color w:val="auto"/>
          <w:sz w:val="24"/>
          <w:highlight w:val="none"/>
          <w:lang w:val="en-US" w:eastAsia="zh-CN"/>
        </w:rPr>
        <w:t>通过带有公司后缀邮箱发送；如</w:t>
      </w:r>
      <w:r>
        <w:rPr>
          <w:rFonts w:hint="eastAsia" w:ascii="宋体" w:hAnsi="宋体" w:eastAsia="宋体" w:cs="宋体"/>
          <w:color w:val="auto"/>
          <w:kern w:val="2"/>
          <w:sz w:val="24"/>
          <w:highlight w:val="none"/>
          <w:lang w:eastAsia="zh-CN"/>
        </w:rPr>
        <w:t>无法通过带有公司后缀的邮箱发送，需在授权书中明确发送的具体邮箱地址。</w:t>
      </w:r>
      <w:bookmarkEnd w:id="128"/>
      <w:bookmarkEnd w:id="129"/>
      <w:bookmarkEnd w:id="130"/>
      <w:bookmarkEnd w:id="131"/>
    </w:p>
    <w:p>
      <w:pPr>
        <w:tabs>
          <w:tab w:val="left" w:pos="1455"/>
        </w:tabs>
        <w:spacing w:line="360" w:lineRule="auto"/>
        <w:ind w:firstLine="480" w:firstLineChars="200"/>
        <w:jc w:val="right"/>
        <w:rPr>
          <w:rFonts w:hint="eastAsia" w:ascii="宋体" w:hAnsi="宋体" w:eastAsia="宋体" w:cs="宋体"/>
          <w:sz w:val="24"/>
          <w:szCs w:val="24"/>
        </w:rPr>
        <w:sectPr>
          <w:headerReference r:id="rId5" w:type="default"/>
          <w:footerReference r:id="rId6" w:type="default"/>
          <w:pgSz w:w="11849" w:h="16781"/>
          <w:pgMar w:top="1440" w:right="1803" w:bottom="1440" w:left="1803" w:header="850" w:footer="992" w:gutter="0"/>
          <w:cols w:space="720" w:num="1"/>
          <w:docGrid w:type="lines" w:linePitch="312" w:charSpace="0"/>
        </w:sectPr>
      </w:pPr>
    </w:p>
    <w:p>
      <w:pPr>
        <w:pStyle w:val="2"/>
        <w:snapToGrid w:val="0"/>
        <w:spacing w:before="0" w:after="0" w:line="360" w:lineRule="auto"/>
        <w:rPr>
          <w:rFonts w:hint="eastAsia" w:ascii="宋体" w:hAnsi="宋体" w:eastAsia="宋体" w:cs="宋体"/>
          <w:sz w:val="24"/>
          <w:szCs w:val="24"/>
        </w:rPr>
      </w:pPr>
      <w:bookmarkStart w:id="133" w:name="_Toc51421621"/>
      <w:bookmarkStart w:id="134" w:name="_Toc30642"/>
      <w:bookmarkStart w:id="135" w:name="_Toc57797457"/>
      <w:bookmarkStart w:id="136" w:name="_Toc374534748"/>
      <w:bookmarkStart w:id="137" w:name="_Toc382240678"/>
      <w:r>
        <w:rPr>
          <w:rFonts w:hint="eastAsia" w:ascii="宋体" w:hAnsi="宋体" w:eastAsia="宋体" w:cs="宋体"/>
          <w:sz w:val="24"/>
          <w:szCs w:val="24"/>
          <w:lang w:eastAsia="zh-CN"/>
        </w:rPr>
        <w:t>附件三</w:t>
      </w:r>
      <w:r>
        <w:rPr>
          <w:rFonts w:hint="eastAsia" w:ascii="宋体" w:hAnsi="宋体" w:eastAsia="宋体" w:cs="宋体"/>
          <w:sz w:val="24"/>
          <w:szCs w:val="24"/>
        </w:rPr>
        <w:t>：《划款指令》（格式）</w:t>
      </w:r>
      <w:bookmarkEnd w:id="133"/>
      <w:bookmarkEnd w:id="134"/>
      <w:bookmarkEnd w:id="135"/>
    </w:p>
    <w:p>
      <w:pPr>
        <w:tabs>
          <w:tab w:val="left" w:pos="1455"/>
        </w:tabs>
        <w:spacing w:line="360" w:lineRule="auto"/>
        <w:ind w:firstLine="480" w:firstLineChars="200"/>
        <w:jc w:val="center"/>
        <w:rPr>
          <w:rFonts w:hint="eastAsia" w:ascii="宋体" w:hAnsi="宋体" w:eastAsia="宋体" w:cs="宋体"/>
          <w:b/>
          <w:sz w:val="24"/>
          <w:szCs w:val="24"/>
        </w:rPr>
      </w:pPr>
      <w:r>
        <w:rPr>
          <w:rFonts w:hint="eastAsia" w:ascii="宋体" w:hAnsi="宋体" w:eastAsia="宋体" w:cs="宋体"/>
          <w:b/>
          <w:sz w:val="24"/>
          <w:szCs w:val="24"/>
        </w:rPr>
        <w:t>划款指令</w:t>
      </w:r>
    </w:p>
    <w:p>
      <w:pPr>
        <w:tabs>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编 号：【</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w:t>
      </w:r>
    </w:p>
    <w:p>
      <w:pPr>
        <w:tabs>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】年【</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】月【</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】日</w:t>
      </w:r>
    </w:p>
    <w:p>
      <w:pPr>
        <w:tabs>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  中国民生银行股份有限公司   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w:t>
      </w:r>
    </w:p>
    <w:p>
      <w:pPr>
        <w:tabs>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敬请贵行根据以下所提供的收款人名称、开户行、账号、到账日期和划款金额及时办理划款手续。</w:t>
      </w:r>
    </w:p>
    <w:tbl>
      <w:tblPr>
        <w:tblStyle w:val="19"/>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68"/>
        <w:gridCol w:w="2410"/>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ind w:firstLine="1"/>
              <w:rPr>
                <w:rFonts w:hint="eastAsia" w:ascii="宋体" w:hAnsi="宋体" w:eastAsia="宋体" w:cs="宋体"/>
                <w:sz w:val="24"/>
                <w:szCs w:val="24"/>
              </w:rPr>
            </w:pPr>
            <w:r>
              <w:rPr>
                <w:rFonts w:hint="eastAsia" w:ascii="宋体" w:hAnsi="宋体" w:eastAsia="宋体" w:cs="宋体"/>
                <w:sz w:val="24"/>
                <w:szCs w:val="24"/>
              </w:rPr>
              <w:t>划款日期</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ind w:hanging="2301"/>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xml:space="preserve">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年</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shd w:val="clear" w:color="FFFFFF" w:fill="D9D9D9"/>
              </w:rPr>
              <w:t xml:space="preserve">   </w:t>
            </w:r>
            <w:r>
              <w:rPr>
                <w:rFonts w:hint="eastAsia" w:ascii="宋体" w:hAnsi="宋体" w:eastAsia="宋体" w:cs="宋体"/>
                <w:sz w:val="24"/>
                <w:szCs w:val="24"/>
              </w:rPr>
              <w:t>月</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日</w:t>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849" w:firstLineChars="354"/>
              <w:rPr>
                <w:rFonts w:hint="eastAsia" w:ascii="宋体" w:hAnsi="宋体" w:eastAsia="宋体" w:cs="宋体"/>
                <w:sz w:val="24"/>
                <w:szCs w:val="24"/>
              </w:rPr>
            </w:pPr>
            <w:r>
              <w:rPr>
                <w:rFonts w:hint="eastAsia" w:ascii="宋体" w:hAnsi="宋体" w:eastAsia="宋体" w:cs="宋体"/>
                <w:sz w:val="24"/>
                <w:szCs w:val="24"/>
              </w:rPr>
              <w:t>最迟到账日期</w:t>
            </w:r>
          </w:p>
        </w:tc>
        <w:tc>
          <w:tcPr>
            <w:tcW w:w="2551"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年</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shd w:val="clear" w:color="FFFFFF" w:fill="D9D9D9"/>
              </w:rPr>
              <w:t xml:space="preserve">   </w:t>
            </w:r>
            <w:r>
              <w:rPr>
                <w:rFonts w:hint="eastAsia" w:ascii="宋体" w:hAnsi="宋体" w:eastAsia="宋体" w:cs="宋体"/>
                <w:sz w:val="24"/>
                <w:szCs w:val="24"/>
              </w:rPr>
              <w:t>月</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ind w:firstLine="1"/>
              <w:rPr>
                <w:rFonts w:hint="eastAsia" w:ascii="宋体" w:hAnsi="宋体" w:eastAsia="宋体" w:cs="宋体"/>
                <w:sz w:val="24"/>
                <w:szCs w:val="24"/>
              </w:rPr>
            </w:pPr>
            <w:r>
              <w:rPr>
                <w:rFonts w:hint="eastAsia" w:ascii="宋体" w:hAnsi="宋体" w:eastAsia="宋体" w:cs="宋体"/>
                <w:sz w:val="24"/>
                <w:szCs w:val="24"/>
              </w:rPr>
              <w:t>付款人</w:t>
            </w:r>
          </w:p>
        </w:tc>
        <w:tc>
          <w:tcPr>
            <w:tcW w:w="2268"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rPr>
              <w:t>收款人</w:t>
            </w:r>
          </w:p>
        </w:tc>
        <w:tc>
          <w:tcPr>
            <w:tcW w:w="2551"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ind w:firstLine="1"/>
              <w:rPr>
                <w:rFonts w:hint="eastAsia" w:ascii="宋体" w:hAnsi="宋体" w:eastAsia="宋体" w:cs="宋体"/>
                <w:sz w:val="24"/>
                <w:szCs w:val="24"/>
              </w:rPr>
            </w:pPr>
            <w:r>
              <w:rPr>
                <w:rFonts w:hint="eastAsia" w:ascii="宋体" w:hAnsi="宋体" w:eastAsia="宋体" w:cs="宋体"/>
                <w:sz w:val="24"/>
                <w:szCs w:val="24"/>
              </w:rPr>
              <w:t>划出账号</w:t>
            </w:r>
          </w:p>
        </w:tc>
        <w:tc>
          <w:tcPr>
            <w:tcW w:w="2268"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rPr>
              <w:t>划入账号</w:t>
            </w:r>
          </w:p>
        </w:tc>
        <w:tc>
          <w:tcPr>
            <w:tcW w:w="2551"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ind w:firstLine="1"/>
              <w:rPr>
                <w:rFonts w:hint="eastAsia" w:ascii="宋体" w:hAnsi="宋体" w:eastAsia="宋体" w:cs="宋体"/>
                <w:sz w:val="24"/>
                <w:szCs w:val="24"/>
              </w:rPr>
            </w:pPr>
            <w:r>
              <w:rPr>
                <w:rFonts w:hint="eastAsia" w:ascii="宋体" w:hAnsi="宋体" w:eastAsia="宋体" w:cs="宋体"/>
                <w:sz w:val="24"/>
                <w:szCs w:val="24"/>
              </w:rPr>
              <w:t>开户行</w:t>
            </w:r>
          </w:p>
        </w:tc>
        <w:tc>
          <w:tcPr>
            <w:tcW w:w="2268"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c>
          <w:tcPr>
            <w:tcW w:w="2410"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rPr>
              <w:t>开户行</w:t>
            </w:r>
          </w:p>
        </w:tc>
        <w:tc>
          <w:tcPr>
            <w:tcW w:w="2551" w:type="dxa"/>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ind w:firstLine="1"/>
              <w:rPr>
                <w:rFonts w:hint="eastAsia" w:ascii="宋体" w:hAnsi="宋体" w:eastAsia="宋体" w:cs="宋体"/>
                <w:sz w:val="24"/>
                <w:szCs w:val="24"/>
              </w:rPr>
            </w:pPr>
            <w:r>
              <w:rPr>
                <w:rFonts w:hint="eastAsia" w:ascii="宋体" w:hAnsi="宋体" w:eastAsia="宋体" w:cs="宋体"/>
                <w:sz w:val="24"/>
                <w:szCs w:val="24"/>
              </w:rPr>
              <w:t>划款金额</w:t>
            </w:r>
          </w:p>
        </w:tc>
        <w:tc>
          <w:tcPr>
            <w:tcW w:w="7229" w:type="dxa"/>
            <w:gridSpan w:val="3"/>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rPr>
              <w:t>（大写）</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auto"/>
              <w:ind w:firstLine="1"/>
              <w:rPr>
                <w:rFonts w:hint="eastAsia" w:ascii="宋体" w:hAnsi="宋体" w:eastAsia="宋体" w:cs="宋体"/>
                <w:sz w:val="24"/>
                <w:szCs w:val="24"/>
              </w:rPr>
            </w:pPr>
            <w:r>
              <w:rPr>
                <w:rFonts w:hint="eastAsia" w:ascii="宋体" w:hAnsi="宋体" w:eastAsia="宋体" w:cs="宋体"/>
                <w:sz w:val="24"/>
                <w:szCs w:val="24"/>
              </w:rPr>
              <w:t>划款用途</w:t>
            </w:r>
          </w:p>
        </w:tc>
        <w:tc>
          <w:tcPr>
            <w:tcW w:w="7229" w:type="dxa"/>
            <w:gridSpan w:val="3"/>
            <w:tcBorders>
              <w:top w:val="single" w:color="auto" w:sz="4" w:space="0"/>
              <w:left w:val="single" w:color="auto" w:sz="4" w:space="0"/>
              <w:bottom w:val="single" w:color="auto" w:sz="4" w:space="0"/>
              <w:right w:val="single" w:color="auto" w:sz="4" w:space="0"/>
            </w:tcBorders>
            <w:vAlign w:val="center"/>
          </w:tcPr>
          <w:p>
            <w:pPr>
              <w:tabs>
                <w:tab w:val="left" w:pos="1455"/>
              </w:tabs>
              <w:spacing w:line="360" w:lineRule="auto"/>
              <w:ind w:firstLine="1"/>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8505"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ind w:firstLine="1"/>
              <w:rPr>
                <w:rFonts w:hint="eastAsia" w:ascii="宋体" w:hAnsi="宋体" w:eastAsia="宋体" w:cs="宋体"/>
                <w:sz w:val="24"/>
                <w:szCs w:val="24"/>
              </w:rPr>
            </w:pPr>
            <w:r>
              <w:rPr>
                <w:rFonts w:hint="eastAsia" w:ascii="宋体" w:hAnsi="宋体" w:eastAsia="宋体" w:cs="宋体"/>
                <w:sz w:val="24"/>
                <w:szCs w:val="24"/>
              </w:rPr>
              <w:t>备注：</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jc w:val="center"/>
        </w:trPr>
        <w:tc>
          <w:tcPr>
            <w:tcW w:w="8505" w:type="dxa"/>
            <w:gridSpan w:val="4"/>
            <w:tcBorders>
              <w:top w:val="single" w:color="auto" w:sz="4" w:space="0"/>
              <w:left w:val="single" w:color="auto" w:sz="4" w:space="0"/>
              <w:bottom w:val="single" w:color="auto" w:sz="4" w:space="0"/>
              <w:right w:val="single" w:color="auto" w:sz="4" w:space="0"/>
            </w:tcBorders>
            <w:vAlign w:val="top"/>
          </w:tcPr>
          <w:p>
            <w:pPr>
              <w:spacing w:line="360" w:lineRule="auto"/>
              <w:ind w:firstLine="1"/>
              <w:rPr>
                <w:rFonts w:hint="eastAsia" w:ascii="宋体" w:hAnsi="宋体" w:eastAsia="宋体" w:cs="宋体"/>
                <w:sz w:val="24"/>
                <w:szCs w:val="24"/>
              </w:rPr>
            </w:pPr>
            <w:r>
              <w:rPr>
                <w:rFonts w:hint="eastAsia" w:ascii="宋体" w:hAnsi="宋体" w:eastAsia="宋体" w:cs="宋体"/>
                <w:sz w:val="24"/>
                <w:szCs w:val="24"/>
                <w:lang w:eastAsia="zh-CN"/>
              </w:rPr>
              <w:t>授权代表签名或印鉴样本通知书</w:t>
            </w:r>
            <w:r>
              <w:rPr>
                <w:rFonts w:hint="eastAsia" w:ascii="宋体" w:hAnsi="宋体" w:eastAsia="宋体" w:cs="宋体"/>
                <w:sz w:val="24"/>
                <w:szCs w:val="24"/>
              </w:rPr>
              <w:t>：</w:t>
            </w:r>
          </w:p>
          <w:p>
            <w:pPr>
              <w:spacing w:line="360" w:lineRule="auto"/>
              <w:ind w:firstLine="1"/>
              <w:rPr>
                <w:rFonts w:hint="eastAsia" w:ascii="宋体" w:hAnsi="宋体" w:eastAsia="宋体" w:cs="宋体"/>
                <w:sz w:val="24"/>
                <w:szCs w:val="24"/>
              </w:rPr>
            </w:pPr>
          </w:p>
          <w:p>
            <w:pPr>
              <w:spacing w:line="360" w:lineRule="auto"/>
              <w:ind w:firstLine="1"/>
              <w:rPr>
                <w:rFonts w:hint="eastAsia" w:ascii="宋体" w:hAnsi="宋体" w:eastAsia="宋体" w:cs="宋体"/>
                <w:sz w:val="24"/>
                <w:szCs w:val="24"/>
              </w:rPr>
            </w:pPr>
          </w:p>
          <w:p>
            <w:pPr>
              <w:spacing w:line="360" w:lineRule="auto"/>
              <w:ind w:firstLine="1"/>
              <w:rPr>
                <w:rFonts w:hint="eastAsia" w:ascii="宋体" w:hAnsi="宋体" w:eastAsia="宋体" w:cs="宋体"/>
                <w:sz w:val="24"/>
                <w:szCs w:val="24"/>
              </w:rPr>
            </w:pPr>
          </w:p>
          <w:p>
            <w:pPr>
              <w:spacing w:line="360" w:lineRule="auto"/>
              <w:ind w:firstLine="1"/>
              <w:rPr>
                <w:rFonts w:hint="eastAsia" w:ascii="宋体" w:hAnsi="宋体" w:eastAsia="宋体" w:cs="宋体"/>
                <w:sz w:val="24"/>
                <w:szCs w:val="24"/>
              </w:rPr>
            </w:pPr>
          </w:p>
          <w:p>
            <w:pPr>
              <w:spacing w:line="360" w:lineRule="auto"/>
              <w:ind w:firstLine="1"/>
              <w:rPr>
                <w:rFonts w:hint="eastAsia" w:ascii="宋体" w:hAnsi="宋体" w:eastAsia="宋体" w:cs="宋体"/>
                <w:sz w:val="24"/>
                <w:szCs w:val="24"/>
              </w:rPr>
            </w:pPr>
            <w:r>
              <w:rPr>
                <w:rFonts w:hint="eastAsia" w:ascii="宋体" w:hAnsi="宋体" w:eastAsia="宋体" w:cs="宋体"/>
                <w:sz w:val="24"/>
                <w:szCs w:val="24"/>
              </w:rPr>
              <w:t>经办：</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 xml:space="preserve">            复核：</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 xml:space="preserve">         审批：</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5" w:hRule="atLeast"/>
          <w:jc w:val="center"/>
        </w:trPr>
        <w:tc>
          <w:tcPr>
            <w:tcW w:w="8505" w:type="dxa"/>
            <w:gridSpan w:val="4"/>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托管银行</w:t>
            </w:r>
          </w:p>
          <w:p>
            <w:pPr>
              <w:spacing w:line="360" w:lineRule="auto"/>
              <w:ind w:firstLine="480" w:firstLineChars="200"/>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经办：</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 xml:space="preserve">           复核：</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 xml:space="preserve">          审批：</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p>
        </w:tc>
      </w:tr>
    </w:tbl>
    <w:p>
      <w:pPr>
        <w:pStyle w:val="2"/>
        <w:snapToGrid w:val="0"/>
        <w:spacing w:before="0" w:after="0" w:line="360" w:lineRule="auto"/>
        <w:rPr>
          <w:rFonts w:hint="eastAsia" w:ascii="宋体" w:hAnsi="宋体" w:eastAsia="宋体" w:cs="宋体"/>
          <w:sz w:val="24"/>
          <w:szCs w:val="24"/>
        </w:rPr>
      </w:pPr>
      <w:r>
        <w:rPr>
          <w:rFonts w:hint="eastAsia" w:ascii="宋体" w:hAnsi="宋体" w:eastAsia="宋体" w:cs="宋体"/>
          <w:b w:val="0"/>
          <w:sz w:val="24"/>
          <w:szCs w:val="24"/>
        </w:rPr>
        <w:br w:type="page"/>
      </w:r>
      <w:bookmarkStart w:id="138" w:name="_Toc57797458"/>
      <w:bookmarkStart w:id="139" w:name="_Toc6828"/>
      <w:bookmarkStart w:id="140" w:name="_Toc51421622"/>
      <w:r>
        <w:rPr>
          <w:rFonts w:hint="eastAsia" w:ascii="宋体" w:hAnsi="宋体" w:eastAsia="宋体" w:cs="宋体"/>
          <w:sz w:val="24"/>
          <w:szCs w:val="24"/>
          <w:lang w:eastAsia="zh-CN"/>
        </w:rPr>
        <w:t>附件四</w:t>
      </w:r>
      <w:r>
        <w:rPr>
          <w:rFonts w:hint="eastAsia" w:ascii="宋体" w:hAnsi="宋体" w:eastAsia="宋体" w:cs="宋体"/>
          <w:sz w:val="24"/>
          <w:szCs w:val="24"/>
        </w:rPr>
        <w:t>：《投资监督事项表》</w:t>
      </w:r>
      <w:bookmarkEnd w:id="136"/>
      <w:bookmarkEnd w:id="137"/>
      <w:bookmarkEnd w:id="138"/>
      <w:bookmarkEnd w:id="139"/>
      <w:bookmarkEnd w:id="140"/>
    </w:p>
    <w:p>
      <w:pPr>
        <w:spacing w:line="360" w:lineRule="auto"/>
        <w:ind w:firstLine="424" w:firstLineChars="177"/>
        <w:rPr>
          <w:rFonts w:hint="eastAsia" w:ascii="宋体" w:hAnsi="宋体" w:eastAsia="宋体" w:cs="宋体"/>
          <w:sz w:val="24"/>
          <w:szCs w:val="24"/>
        </w:rPr>
      </w:pPr>
    </w:p>
    <w:p>
      <w:pPr>
        <w:autoSpaceDE w:val="0"/>
        <w:autoSpaceDN w:val="0"/>
        <w:adjustRightInd w:val="0"/>
        <w:snapToGrid w:val="0"/>
        <w:spacing w:line="360" w:lineRule="auto"/>
        <w:ind w:firstLine="480" w:firstLineChars="20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投资监督事项表</w:t>
      </w:r>
    </w:p>
    <w:tbl>
      <w:tblPr>
        <w:tblStyle w:val="19"/>
        <w:tblW w:w="810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0"/>
        <w:gridCol w:w="5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720"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序号</w:t>
            </w:r>
          </w:p>
        </w:tc>
        <w:tc>
          <w:tcPr>
            <w:tcW w:w="1800"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监督事项</w:t>
            </w:r>
          </w:p>
        </w:tc>
        <w:tc>
          <w:tcPr>
            <w:tcW w:w="5580" w:type="dxa"/>
            <w:tcBorders>
              <w:top w:val="single" w:color="auto" w:sz="4" w:space="0"/>
              <w:left w:val="single" w:color="auto" w:sz="4" w:space="0"/>
              <w:bottom w:val="single" w:color="auto" w:sz="4" w:space="0"/>
              <w:right w:val="single" w:color="auto" w:sz="4" w:space="0"/>
            </w:tcBorders>
            <w:vAlign w:val="top"/>
          </w:tcPr>
          <w:p>
            <w:pPr>
              <w:spacing w:line="360" w:lineRule="auto"/>
              <w:rPr>
                <w:rFonts w:hint="eastAsia" w:ascii="宋体" w:hAnsi="宋体" w:eastAsia="宋体" w:cs="宋体"/>
                <w:sz w:val="24"/>
                <w:szCs w:val="24"/>
              </w:rPr>
            </w:pPr>
            <w:r>
              <w:rPr>
                <w:rFonts w:hint="eastAsia" w:ascii="宋体" w:hAnsi="宋体" w:eastAsia="宋体" w:cs="宋体"/>
                <w:sz w:val="24"/>
                <w:szCs w:val="24"/>
              </w:rPr>
              <w:t>监督内容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2" w:hRule="atLeast"/>
        </w:trPr>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1</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资金运用文件</w:t>
            </w:r>
          </w:p>
        </w:tc>
        <w:tc>
          <w:tcPr>
            <w:tcW w:w="558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4"/>
                <w:szCs w:val="24"/>
              </w:rPr>
            </w:pPr>
            <w:bookmarkStart w:id="141" w:name="Text177"/>
            <w:r>
              <w:rPr>
                <w:rFonts w:hint="eastAsia" w:ascii="宋体" w:hAnsi="宋体" w:eastAsia="宋体" w:cs="宋体"/>
                <w:sz w:val="24"/>
                <w:szCs w:val="24"/>
                <w:shd w:val="pct10" w:color="auto" w:fill="FFFFFF"/>
              </w:rPr>
              <w:fldChar w:fldCharType="begin">
                <w:ffData>
                  <w:name w:val="Text177"/>
                  <w:enabled/>
                  <w:calcOnExit w:val="0"/>
                  <w:textInput>
                    <w:default w:val="根据产品情况填写"/>
                  </w:textInput>
                </w:ffData>
              </w:fldChar>
            </w:r>
            <w:r>
              <w:rPr>
                <w:rFonts w:hint="eastAsia" w:ascii="宋体" w:hAnsi="宋体" w:eastAsia="宋体" w:cs="宋体"/>
                <w:sz w:val="24"/>
                <w:szCs w:val="24"/>
                <w:shd w:val="pct10" w:color="auto" w:fill="FFFFFF"/>
              </w:rPr>
              <w:instrText xml:space="preserve">FORMTEXT</w:instrText>
            </w:r>
            <w:r>
              <w:rPr>
                <w:rFonts w:hint="eastAsia" w:ascii="宋体" w:hAnsi="宋体" w:eastAsia="宋体" w:cs="宋体"/>
                <w:sz w:val="24"/>
                <w:szCs w:val="24"/>
                <w:shd w:val="pct10" w:color="auto" w:fill="FFFFFF"/>
              </w:rPr>
              <w:fldChar w:fldCharType="separate"/>
            </w:r>
            <w:r>
              <w:rPr>
                <w:rFonts w:hint="eastAsia" w:ascii="宋体" w:hAnsi="宋体" w:eastAsia="宋体" w:cs="宋体"/>
                <w:sz w:val="24"/>
                <w:szCs w:val="24"/>
                <w:shd w:val="pct10" w:color="auto" w:fill="FFFFFF"/>
                <w:lang w:val="en-US" w:eastAsia="zh-CN"/>
              </w:rPr>
              <w:t>在甲方向乙方发出投资划款指令之前，应向乙方提供与该项投资相关的各项法律文件和资料，包括但不限于理财产品资金运用说明书及与本理财产品投资有关的合同、协议，所有文本均为正本或经原件核对一致并加盖甲方指定部门公章的复印件</w:t>
            </w:r>
            <w:r>
              <w:rPr>
                <w:rFonts w:hint="eastAsia" w:ascii="宋体" w:hAnsi="宋体" w:eastAsia="宋体" w:cs="宋体"/>
                <w:sz w:val="24"/>
                <w:szCs w:val="24"/>
                <w:shd w:val="pct10" w:color="auto" w:fill="FFFFFF"/>
              </w:rPr>
              <w:fldChar w:fldCharType="end"/>
            </w:r>
            <w:bookmarkEnd w:id="1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trPr>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2</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lang w:val="en-US"/>
              </w:rPr>
              <w:t>投资组合比例</w:t>
            </w:r>
          </w:p>
        </w:tc>
        <w:tc>
          <w:tcPr>
            <w:tcW w:w="558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4"/>
                <w:szCs w:val="24"/>
              </w:rPr>
            </w:pPr>
            <w:bookmarkStart w:id="142" w:name="Text178"/>
            <w:r>
              <w:rPr>
                <w:rFonts w:hint="eastAsia" w:ascii="宋体" w:hAnsi="宋体" w:eastAsia="宋体" w:cs="宋体"/>
                <w:sz w:val="24"/>
                <w:szCs w:val="24"/>
                <w:shd w:val="pct10" w:color="auto" w:fill="FFFFFF"/>
                <w:lang w:val="en-US" w:eastAsia="zh-CN"/>
              </w:rPr>
              <w:t>无</w:t>
            </w:r>
            <w:bookmarkEnd w:id="1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2" w:hRule="atLeast"/>
        </w:trPr>
        <w:tc>
          <w:tcPr>
            <w:tcW w:w="72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4"/>
                <w:szCs w:val="24"/>
              </w:rPr>
            </w:pPr>
            <w:r>
              <w:rPr>
                <w:rFonts w:hint="eastAsia" w:ascii="宋体" w:hAnsi="宋体" w:eastAsia="宋体" w:cs="宋体"/>
                <w:sz w:val="24"/>
                <w:szCs w:val="24"/>
              </w:rPr>
              <w:t>投资限制</w:t>
            </w:r>
          </w:p>
        </w:tc>
        <w:tc>
          <w:tcPr>
            <w:tcW w:w="5580" w:type="dxa"/>
            <w:tcBorders>
              <w:top w:val="single" w:color="auto" w:sz="4" w:space="0"/>
              <w:left w:val="single" w:color="auto" w:sz="4" w:space="0"/>
              <w:bottom w:val="single" w:color="auto" w:sz="4" w:space="0"/>
              <w:right w:val="single" w:color="auto" w:sz="4" w:space="0"/>
            </w:tcBorders>
            <w:vAlign w:val="center"/>
          </w:tcPr>
          <w:p>
            <w:pPr>
              <w:tabs>
                <w:tab w:val="left" w:pos="360"/>
                <w:tab w:val="left" w:pos="2040"/>
              </w:tabs>
              <w:autoSpaceDE w:val="0"/>
              <w:autoSpaceDN w:val="0"/>
              <w:adjustRightInd w:val="0"/>
              <w:spacing w:line="360" w:lineRule="auto"/>
              <w:rPr>
                <w:rFonts w:hint="eastAsia" w:ascii="宋体" w:hAnsi="宋体" w:eastAsia="宋体" w:cs="宋体"/>
                <w:sz w:val="24"/>
                <w:szCs w:val="24"/>
              </w:rPr>
            </w:pPr>
            <w:r>
              <w:rPr>
                <w:rFonts w:hint="eastAsia" w:ascii="宋体" w:hAnsi="宋体" w:eastAsia="宋体" w:cs="宋体"/>
                <w:sz w:val="24"/>
                <w:szCs w:val="24"/>
                <w:shd w:val="pct10" w:color="auto" w:fill="FFFFFF"/>
                <w:lang w:val="en-US" w:eastAsia="zh-CN"/>
              </w:rPr>
              <w:t>无</w:t>
            </w:r>
          </w:p>
        </w:tc>
      </w:tr>
    </w:tbl>
    <w:p>
      <w:pPr>
        <w:spacing w:line="360" w:lineRule="auto"/>
        <w:rPr>
          <w:rFonts w:hint="eastAsia" w:ascii="宋体" w:hAnsi="宋体" w:eastAsia="宋体" w:cs="宋体"/>
          <w:kern w:val="44"/>
          <w:sz w:val="24"/>
          <w:szCs w:val="24"/>
        </w:rPr>
      </w:pPr>
    </w:p>
    <w:p>
      <w:pPr>
        <w:tabs>
          <w:tab w:val="left" w:pos="1455"/>
        </w:tabs>
        <w:spacing w:line="360" w:lineRule="auto"/>
        <w:ind w:firstLine="426"/>
        <w:rPr>
          <w:rFonts w:hint="eastAsia" w:ascii="宋体" w:hAnsi="宋体" w:eastAsia="宋体" w:cs="宋体"/>
          <w:b/>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备注：如果投资监督内容需要调整，必须经过管理人、托管人协商一致并书面确认后生效。</w:t>
      </w:r>
    </w:p>
    <w:p>
      <w:pPr>
        <w:tabs>
          <w:tab w:val="left" w:pos="1455"/>
        </w:tabs>
        <w:spacing w:line="360" w:lineRule="auto"/>
        <w:ind w:firstLine="480" w:firstLineChars="200"/>
        <w:rPr>
          <w:rFonts w:hint="eastAsia" w:ascii="宋体" w:hAnsi="宋体" w:eastAsia="宋体" w:cs="宋体"/>
          <w:sz w:val="24"/>
          <w:szCs w:val="24"/>
        </w:rPr>
      </w:pPr>
    </w:p>
    <w:p>
      <w:pPr>
        <w:tabs>
          <w:tab w:val="left" w:pos="1455"/>
        </w:tabs>
        <w:spacing w:line="360" w:lineRule="auto"/>
        <w:ind w:firstLine="480" w:firstLineChars="200"/>
        <w:rPr>
          <w:rFonts w:hint="eastAsia" w:ascii="宋体" w:hAnsi="宋体" w:eastAsia="宋体" w:cs="宋体"/>
          <w:sz w:val="24"/>
          <w:szCs w:val="24"/>
        </w:rPr>
      </w:pPr>
    </w:p>
    <w:p>
      <w:pPr>
        <w:widowControl/>
        <w:spacing w:line="360" w:lineRule="auto"/>
        <w:rPr>
          <w:rFonts w:hint="eastAsia" w:ascii="宋体" w:hAnsi="宋体" w:eastAsia="宋体" w:cs="宋体"/>
          <w:sz w:val="24"/>
          <w:szCs w:val="24"/>
        </w:rPr>
        <w:sectPr>
          <w:pgSz w:w="11849" w:h="16781"/>
          <w:pgMar w:top="1440" w:right="1803" w:bottom="1440" w:left="1803" w:header="850" w:footer="992" w:gutter="0"/>
          <w:cols w:space="720" w:num="1"/>
          <w:docGrid w:type="linesAndChars" w:linePitch="312" w:charSpace="0"/>
        </w:sectPr>
      </w:pPr>
    </w:p>
    <w:p>
      <w:pPr>
        <w:pStyle w:val="2"/>
        <w:snapToGrid w:val="0"/>
        <w:spacing w:before="0" w:after="0" w:line="360" w:lineRule="auto"/>
        <w:rPr>
          <w:rFonts w:hint="eastAsia" w:ascii="宋体" w:hAnsi="宋体" w:eastAsia="宋体" w:cs="宋体"/>
          <w:sz w:val="24"/>
          <w:szCs w:val="24"/>
        </w:rPr>
      </w:pPr>
      <w:bookmarkStart w:id="143" w:name="_Toc51421623"/>
      <w:bookmarkStart w:id="144" w:name="_Toc17484"/>
      <w:bookmarkStart w:id="145" w:name="_Toc57797459"/>
      <w:r>
        <w:rPr>
          <w:rFonts w:hint="eastAsia" w:ascii="宋体" w:hAnsi="宋体" w:eastAsia="宋体" w:cs="宋体"/>
          <w:sz w:val="24"/>
          <w:szCs w:val="24"/>
          <w:lang w:eastAsia="zh-CN"/>
        </w:rPr>
        <w:t>附件五</w:t>
      </w:r>
      <w:r>
        <w:rPr>
          <w:rFonts w:hint="eastAsia" w:ascii="宋体" w:hAnsi="宋体" w:eastAsia="宋体" w:cs="宋体"/>
          <w:sz w:val="24"/>
          <w:szCs w:val="24"/>
        </w:rPr>
        <w:t>：《托管报告》（格式）</w:t>
      </w:r>
      <w:bookmarkEnd w:id="143"/>
      <w:bookmarkEnd w:id="144"/>
      <w:bookmarkEnd w:id="145"/>
    </w:p>
    <w:p>
      <w:pPr>
        <w:spacing w:line="360" w:lineRule="auto"/>
        <w:rPr>
          <w:rFonts w:hint="eastAsia" w:ascii="宋体" w:hAnsi="宋体" w:eastAsia="宋体" w:cs="宋体"/>
          <w:sz w:val="24"/>
          <w:szCs w:val="24"/>
        </w:rPr>
      </w:pPr>
    </w:p>
    <w:p>
      <w:pPr>
        <w:spacing w:line="360" w:lineRule="auto"/>
        <w:jc w:val="center"/>
        <w:rPr>
          <w:rFonts w:hint="eastAsia" w:ascii="宋体" w:hAnsi="宋体" w:eastAsia="宋体" w:cs="宋体"/>
          <w:b/>
          <w:bCs/>
          <w:sz w:val="24"/>
          <w:szCs w:val="24"/>
        </w:rPr>
      </w:pPr>
      <w:r>
        <w:rPr>
          <w:rFonts w:hint="eastAsia" w:ascii="宋体" w:hAnsi="宋体" w:eastAsia="宋体" w:cs="宋体"/>
          <w:b/>
          <w:sz w:val="24"/>
          <w:szCs w:val="24"/>
        </w:rPr>
        <w:t>XXXXX理财产品</w:t>
      </w: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托管报告</w:t>
      </w: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（报告期间： 年  月  日- 年  月  日）</w:t>
      </w:r>
    </w:p>
    <w:p>
      <w:pPr>
        <w:spacing w:line="360" w:lineRule="auto"/>
        <w:jc w:val="center"/>
        <w:rPr>
          <w:rFonts w:hint="eastAsia" w:ascii="宋体" w:hAnsi="宋体" w:eastAsia="宋体" w:cs="宋体"/>
          <w:b/>
          <w:bCs/>
          <w:sz w:val="24"/>
          <w:szCs w:val="24"/>
        </w:rPr>
      </w:pPr>
    </w:p>
    <w:p>
      <w:pPr>
        <w:spacing w:line="360" w:lineRule="auto"/>
        <w:ind w:firstLine="480" w:firstLineChars="200"/>
        <w:rPr>
          <w:rFonts w:hint="eastAsia" w:ascii="宋体" w:hAnsi="宋体" w:eastAsia="宋体" w:cs="宋体"/>
          <w:color w:val="000000"/>
          <w:sz w:val="24"/>
          <w:szCs w:val="24"/>
        </w:rPr>
      </w:pPr>
    </w:p>
    <w:p>
      <w:pPr>
        <w:spacing w:line="360" w:lineRule="auto"/>
        <w:ind w:firstLine="470" w:firstLineChars="196"/>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根据</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cs="宋体"/>
          <w:sz w:val="24"/>
          <w:szCs w:val="24"/>
          <w:u w:val="single"/>
          <w:shd w:val="clear" w:color="FFFFFF" w:fill="D9D9D9"/>
          <w:lang w:val="en-US" w:eastAsia="zh-CN"/>
        </w:rPr>
        <w:t>齐鲁银行股份有限公司</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color w:val="000000"/>
          <w:kern w:val="0"/>
          <w:sz w:val="24"/>
          <w:szCs w:val="24"/>
        </w:rPr>
        <w:t>（作为管理人）、</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中国民生银行</w:t>
      </w:r>
      <w:r>
        <w:rPr>
          <w:rFonts w:hint="eastAsia" w:ascii="宋体" w:hAnsi="宋体" w:cs="宋体"/>
          <w:sz w:val="24"/>
          <w:szCs w:val="24"/>
          <w:u w:val="single"/>
          <w:shd w:val="clear" w:color="FFFFFF" w:fill="D9D9D9"/>
          <w:lang w:val="en-US" w:eastAsia="zh-CN"/>
        </w:rPr>
        <w:t>股份有限公司</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color w:val="000000"/>
          <w:kern w:val="0"/>
          <w:sz w:val="24"/>
          <w:szCs w:val="24"/>
        </w:rPr>
        <w:t>（作为托管人）签订的</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托管协议、资金保管操作备忘录 </w:t>
      </w:r>
      <w:r>
        <w:rPr>
          <w:rFonts w:hint="eastAsia" w:ascii="宋体" w:hAnsi="宋体" w:eastAsia="宋体" w:cs="宋体"/>
          <w:sz w:val="24"/>
          <w:szCs w:val="24"/>
          <w:shd w:val="clear" w:color="FFFFFF" w:fill="D9D9D9"/>
        </w:rPr>
        <w:fldChar w:fldCharType="end"/>
      </w:r>
      <w:r>
        <w:rPr>
          <w:rFonts w:hint="eastAsia" w:ascii="宋体" w:hAnsi="宋体" w:eastAsia="宋体" w:cs="宋体"/>
          <w:color w:val="000000"/>
          <w:kern w:val="0"/>
          <w:sz w:val="24"/>
          <w:szCs w:val="24"/>
        </w:rPr>
        <w:t>等，我行对本理财产品进行了托管。</w:t>
      </w:r>
    </w:p>
    <w:p>
      <w:pPr>
        <w:spacing w:line="360" w:lineRule="auto"/>
        <w:ind w:firstLine="470" w:firstLineChars="196"/>
        <w:rPr>
          <w:rFonts w:hint="eastAsia" w:ascii="宋体" w:hAnsi="宋体" w:eastAsia="宋体" w:cs="宋体"/>
          <w:kern w:val="0"/>
          <w:sz w:val="24"/>
          <w:szCs w:val="24"/>
        </w:rPr>
      </w:pPr>
      <w:r>
        <w:rPr>
          <w:rFonts w:hint="eastAsia" w:ascii="宋体" w:hAnsi="宋体" w:eastAsia="宋体" w:cs="宋体"/>
          <w:kern w:val="0"/>
          <w:sz w:val="24"/>
          <w:szCs w:val="24"/>
        </w:rPr>
        <w:t>本报告期内，本托管人在对本理财产品托管过程中，严格遵守有关法律法规规定和</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  托管协议、资金保管操作备忘录 </w:t>
      </w:r>
      <w:r>
        <w:rPr>
          <w:rFonts w:hint="eastAsia" w:ascii="宋体" w:hAnsi="宋体" w:eastAsia="宋体" w:cs="宋体"/>
          <w:sz w:val="24"/>
          <w:szCs w:val="24"/>
          <w:shd w:val="clear" w:color="FFFFFF" w:fill="D9D9D9"/>
        </w:rPr>
        <w:fldChar w:fldCharType="end"/>
      </w:r>
      <w:r>
        <w:rPr>
          <w:rFonts w:hint="eastAsia" w:ascii="宋体" w:hAnsi="宋体" w:eastAsia="宋体" w:cs="宋体"/>
          <w:kern w:val="0"/>
          <w:sz w:val="24"/>
          <w:szCs w:val="24"/>
        </w:rPr>
        <w:t>的相关约定，依法安全保管了产品财产，不存在损害本理财产品持有人利益的行为，尽职尽责地履行了托管人应尽的义务。</w:t>
      </w:r>
    </w:p>
    <w:p>
      <w:pPr>
        <w:spacing w:line="360" w:lineRule="auto"/>
        <w:ind w:firstLine="470" w:firstLineChars="196"/>
        <w:rPr>
          <w:rFonts w:hint="eastAsia" w:ascii="宋体" w:hAnsi="宋体" w:eastAsia="宋体" w:cs="宋体"/>
          <w:sz w:val="24"/>
          <w:szCs w:val="24"/>
        </w:rPr>
      </w:pPr>
      <w:r>
        <w:rPr>
          <w:rFonts w:hint="eastAsia" w:ascii="宋体" w:hAnsi="宋体" w:eastAsia="宋体" w:cs="宋体"/>
          <w:color w:val="000000"/>
          <w:kern w:val="0"/>
          <w:sz w:val="24"/>
          <w:szCs w:val="24"/>
        </w:rPr>
        <w:t>本报告期内，本托管人根据相关</w:t>
      </w:r>
      <w:r>
        <w:rPr>
          <w:rFonts w:hint="eastAsia" w:ascii="宋体" w:hAnsi="宋体" w:eastAsia="宋体" w:cs="宋体"/>
          <w:kern w:val="0"/>
          <w:sz w:val="24"/>
          <w:szCs w:val="24"/>
        </w:rPr>
        <w:t>法律法规规定和</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 托管协议、资金保管操作备忘录 </w:t>
      </w:r>
      <w:r>
        <w:rPr>
          <w:rFonts w:hint="eastAsia" w:ascii="宋体" w:hAnsi="宋体" w:eastAsia="宋体" w:cs="宋体"/>
          <w:sz w:val="24"/>
          <w:szCs w:val="24"/>
          <w:shd w:val="clear" w:color="FFFFFF" w:fill="D9D9D9"/>
        </w:rPr>
        <w:fldChar w:fldCharType="end"/>
      </w:r>
      <w:r>
        <w:rPr>
          <w:rFonts w:hint="eastAsia" w:ascii="宋体" w:hAnsi="宋体" w:eastAsia="宋体" w:cs="宋体"/>
          <w:kern w:val="0"/>
          <w:sz w:val="24"/>
          <w:szCs w:val="24"/>
        </w:rPr>
        <w:t>的相关约定</w:t>
      </w:r>
      <w:r>
        <w:rPr>
          <w:rFonts w:hint="eastAsia" w:ascii="宋体" w:hAnsi="宋体" w:eastAsia="宋体" w:cs="宋体"/>
          <w:color w:val="000000"/>
          <w:kern w:val="0"/>
          <w:sz w:val="24"/>
          <w:szCs w:val="24"/>
        </w:rPr>
        <w:t>，对本产品管理人的投资运作进行了必要的监督，对管理人所编制和披露的本理财产品报告中的资产净值等财务数据进行了认真的复核，未发现复核内容存在虚假记载、误导性陈述或重大遗漏的情况。</w:t>
      </w:r>
    </w:p>
    <w:p>
      <w:pPr>
        <w:tabs>
          <w:tab w:val="left" w:pos="1455"/>
        </w:tabs>
        <w:spacing w:line="360" w:lineRule="auto"/>
        <w:ind w:firstLine="480" w:firstLineChars="200"/>
        <w:rPr>
          <w:rFonts w:hint="eastAsia" w:ascii="宋体" w:hAnsi="宋体" w:eastAsia="宋体" w:cs="宋体"/>
          <w:sz w:val="24"/>
          <w:szCs w:val="24"/>
        </w:rPr>
      </w:pPr>
    </w:p>
    <w:p>
      <w:pPr>
        <w:tabs>
          <w:tab w:val="left" w:pos="1455"/>
        </w:tabs>
        <w:spacing w:line="360" w:lineRule="auto"/>
        <w:ind w:firstLine="480" w:firstLineChars="200"/>
        <w:rPr>
          <w:rFonts w:hint="eastAsia" w:ascii="宋体" w:hAnsi="宋体" w:eastAsia="宋体" w:cs="宋体"/>
          <w:sz w:val="24"/>
          <w:szCs w:val="24"/>
        </w:rPr>
      </w:pPr>
    </w:p>
    <w:p>
      <w:pPr>
        <w:tabs>
          <w:tab w:val="left" w:pos="1455"/>
        </w:tabs>
        <w:spacing w:line="360" w:lineRule="auto"/>
        <w:ind w:firstLine="480" w:firstLineChars="200"/>
        <w:rPr>
          <w:rFonts w:hint="eastAsia" w:ascii="宋体" w:hAnsi="宋体" w:eastAsia="宋体" w:cs="宋体"/>
          <w:sz w:val="24"/>
          <w:szCs w:val="24"/>
        </w:rPr>
      </w:pPr>
    </w:p>
    <w:p>
      <w:pPr>
        <w:tabs>
          <w:tab w:val="left" w:pos="1455"/>
        </w:tabs>
        <w:spacing w:line="360" w:lineRule="auto"/>
        <w:ind w:firstLine="480" w:firstLineChars="200"/>
        <w:rPr>
          <w:rFonts w:hint="eastAsia" w:ascii="宋体" w:hAnsi="宋体" w:eastAsia="宋体" w:cs="宋体"/>
          <w:sz w:val="24"/>
          <w:szCs w:val="24"/>
        </w:rPr>
      </w:pPr>
    </w:p>
    <w:p>
      <w:pPr>
        <w:tabs>
          <w:tab w:val="left" w:pos="145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  中国民生银行股份有限公司 </w:t>
      </w:r>
      <w:r>
        <w:rPr>
          <w:rFonts w:hint="eastAsia" w:ascii="宋体" w:hAnsi="宋体" w:eastAsia="宋体" w:cs="宋体"/>
          <w:sz w:val="24"/>
          <w:szCs w:val="24"/>
          <w:shd w:val="clear" w:color="FFFFFF" w:fill="D9D9D9"/>
        </w:rPr>
        <w:fldChar w:fldCharType="end"/>
      </w:r>
    </w:p>
    <w:p>
      <w:pPr>
        <w:tabs>
          <w:tab w:val="left" w:pos="1455"/>
        </w:tabs>
        <w:spacing w:line="360" w:lineRule="auto"/>
        <w:ind w:firstLine="480" w:firstLineChars="200"/>
        <w:rPr>
          <w:rFonts w:hint="eastAsia" w:ascii="宋体" w:hAnsi="宋体" w:eastAsia="宋体" w:cs="宋体"/>
          <w:sz w:val="24"/>
          <w:szCs w:val="24"/>
        </w:rPr>
      </w:pPr>
    </w:p>
    <w:p>
      <w:pPr>
        <w:tabs>
          <w:tab w:val="left" w:pos="1455"/>
        </w:tabs>
        <w:spacing w:line="360" w:lineRule="auto"/>
        <w:ind w:firstLine="480" w:firstLineChars="200"/>
        <w:rPr>
          <w:rFonts w:hint="eastAsia" w:ascii="宋体" w:hAnsi="宋体" w:eastAsia="宋体" w:cs="宋体"/>
          <w:sz w:val="24"/>
          <w:szCs w:val="24"/>
        </w:rPr>
      </w:pPr>
    </w:p>
    <w:p>
      <w:pPr>
        <w:tabs>
          <w:tab w:val="left" w:pos="1455"/>
        </w:tabs>
        <w:spacing w:line="360" w:lineRule="auto"/>
        <w:ind w:firstLine="480" w:firstLineChars="200"/>
        <w:rPr>
          <w:rFonts w:hint="eastAsia" w:ascii="宋体" w:hAnsi="宋体" w:eastAsia="宋体" w:cs="宋体"/>
          <w:sz w:val="24"/>
          <w:szCs w:val="24"/>
        </w:rPr>
        <w:sectPr>
          <w:pgSz w:w="11849" w:h="16781"/>
          <w:pgMar w:top="1440" w:right="1803" w:bottom="1440" w:left="1803" w:header="850" w:footer="992" w:gutter="0"/>
          <w:cols w:space="720" w:num="1"/>
          <w:docGrid w:type="linesAndChars" w:linePitch="312" w:charSpace="0"/>
        </w:sectPr>
      </w:pPr>
      <w:r>
        <w:rPr>
          <w:rFonts w:hint="eastAsia" w:ascii="宋体" w:hAnsi="宋体" w:eastAsia="宋体" w:cs="宋体"/>
          <w:sz w:val="24"/>
          <w:szCs w:val="24"/>
        </w:rPr>
        <w:t xml:space="preserve">                      【</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】年【</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】月【</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】日</w:t>
      </w:r>
    </w:p>
    <w:p>
      <w:pPr>
        <w:pStyle w:val="2"/>
        <w:snapToGrid w:val="0"/>
        <w:spacing w:before="0" w:after="0" w:line="360" w:lineRule="auto"/>
        <w:rPr>
          <w:rFonts w:hint="eastAsia" w:ascii="宋体" w:hAnsi="宋体" w:eastAsia="宋体" w:cs="宋体"/>
          <w:sz w:val="24"/>
          <w:szCs w:val="24"/>
        </w:rPr>
      </w:pPr>
      <w:bookmarkStart w:id="146" w:name="_Toc51421624"/>
      <w:bookmarkStart w:id="147" w:name="_Toc57797460"/>
      <w:bookmarkStart w:id="148" w:name="_Toc20399"/>
      <w:bookmarkStart w:id="149" w:name="_Toc382124809"/>
      <w:bookmarkStart w:id="150" w:name="_Toc382240680"/>
      <w:r>
        <w:rPr>
          <w:rFonts w:hint="eastAsia" w:ascii="宋体" w:hAnsi="宋体" w:eastAsia="宋体" w:cs="宋体"/>
          <w:sz w:val="24"/>
          <w:szCs w:val="24"/>
          <w:lang w:eastAsia="zh-CN"/>
        </w:rPr>
        <w:t>附件六</w:t>
      </w:r>
      <w:r>
        <w:rPr>
          <w:rFonts w:hint="eastAsia" w:ascii="宋体" w:hAnsi="宋体" w:eastAsia="宋体" w:cs="宋体"/>
          <w:sz w:val="24"/>
          <w:szCs w:val="24"/>
        </w:rPr>
        <w:t>：《复核函》（格式）</w:t>
      </w:r>
      <w:bookmarkEnd w:id="146"/>
      <w:bookmarkEnd w:id="147"/>
      <w:bookmarkEnd w:id="148"/>
    </w:p>
    <w:p>
      <w:pPr>
        <w:spacing w:line="360" w:lineRule="auto"/>
        <w:jc w:val="center"/>
        <w:rPr>
          <w:rFonts w:hint="eastAsia" w:ascii="宋体" w:hAnsi="宋体" w:eastAsia="宋体" w:cs="宋体"/>
          <w:b/>
          <w:bCs/>
          <w:sz w:val="24"/>
          <w:szCs w:val="24"/>
        </w:rPr>
      </w:pP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财务会计报告的复核函</w:t>
      </w:r>
    </w:p>
    <w:p>
      <w:pPr>
        <w:spacing w:line="360" w:lineRule="auto"/>
        <w:jc w:val="center"/>
        <w:rPr>
          <w:rFonts w:hint="eastAsia" w:ascii="宋体" w:hAnsi="宋体" w:eastAsia="宋体" w:cs="宋体"/>
          <w:b/>
          <w:bCs/>
          <w:sz w:val="24"/>
          <w:szCs w:val="24"/>
        </w:rPr>
      </w:pPr>
    </w:p>
    <w:p>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本报告期内</w:t>
      </w:r>
      <w:r>
        <w:rPr>
          <w:rFonts w:hint="eastAsia" w:ascii="宋体" w:hAnsi="宋体" w:eastAsia="宋体" w:cs="宋体"/>
          <w:sz w:val="24"/>
          <w:szCs w:val="24"/>
        </w:rPr>
        <w:t>（报告期间： 年  月  日-   年  月  日）</w:t>
      </w:r>
      <w:r>
        <w:rPr>
          <w:rFonts w:hint="eastAsia" w:ascii="宋体" w:hAnsi="宋体" w:eastAsia="宋体" w:cs="宋体"/>
          <w:color w:val="000000"/>
          <w:kern w:val="0"/>
          <w:sz w:val="24"/>
          <w:szCs w:val="24"/>
        </w:rPr>
        <w:t>，本托管人根据相关</w:t>
      </w:r>
      <w:r>
        <w:rPr>
          <w:rFonts w:hint="eastAsia" w:ascii="宋体" w:hAnsi="宋体" w:eastAsia="宋体" w:cs="宋体"/>
          <w:sz w:val="24"/>
          <w:szCs w:val="24"/>
        </w:rPr>
        <w:t>法律法规规定和</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 托管协议、资金保管操作备忘录 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的相关约定</w:t>
      </w:r>
      <w:r>
        <w:rPr>
          <w:rFonts w:hint="eastAsia" w:ascii="宋体" w:hAnsi="宋体" w:eastAsia="宋体" w:cs="宋体"/>
          <w:color w:val="000000"/>
          <w:kern w:val="0"/>
          <w:sz w:val="24"/>
          <w:szCs w:val="24"/>
        </w:rPr>
        <w:t>，对管理人所编制和披露的本理财产品报告中的</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  份额净值、前十项资产名称、规模和比例</w:t>
      </w:r>
      <w:r>
        <w:rPr>
          <w:rFonts w:hint="eastAsia" w:ascii="宋体" w:hAnsi="宋体" w:eastAsia="宋体" w:cs="宋体"/>
          <w:sz w:val="24"/>
          <w:szCs w:val="24"/>
          <w:shd w:val="clear" w:color="FFFFFF" w:fill="D9D9D9"/>
        </w:rPr>
        <w:fldChar w:fldCharType="end"/>
      </w:r>
      <w:r>
        <w:rPr>
          <w:rFonts w:hint="eastAsia" w:ascii="宋体" w:hAnsi="宋体" w:eastAsia="宋体" w:cs="宋体"/>
          <w:color w:val="000000"/>
          <w:kern w:val="0"/>
          <w:sz w:val="24"/>
          <w:szCs w:val="24"/>
        </w:rPr>
        <w:t>等财务数据内容进行了认真的复核，未发现复核内容存在虚假记载、误导性陈述或重大遗漏的情况。复核的产品清单包括：</w:t>
      </w:r>
    </w:p>
    <w:p>
      <w:pPr>
        <w:spacing w:line="360" w:lineRule="auto"/>
        <w:ind w:firstLine="480" w:firstLineChars="200"/>
        <w:rPr>
          <w:rFonts w:hint="eastAsia" w:ascii="宋体" w:hAnsi="宋体" w:eastAsia="宋体" w:cs="宋体"/>
          <w:color w:val="000000"/>
          <w:kern w:val="0"/>
          <w:sz w:val="24"/>
          <w:szCs w:val="24"/>
        </w:rPr>
      </w:pPr>
    </w:p>
    <w:p>
      <w:pPr>
        <w:spacing w:line="360" w:lineRule="auto"/>
        <w:ind w:firstLine="480" w:firstLineChars="200"/>
        <w:rPr>
          <w:rFonts w:hint="eastAsia" w:ascii="宋体" w:hAnsi="宋体" w:eastAsia="宋体" w:cs="宋体"/>
          <w:color w:val="000000"/>
          <w:kern w:val="0"/>
          <w:sz w:val="24"/>
          <w:szCs w:val="24"/>
        </w:rPr>
      </w:pPr>
    </w:p>
    <w:p>
      <w:pPr>
        <w:spacing w:line="360" w:lineRule="auto"/>
        <w:ind w:firstLine="480" w:firstLineChars="200"/>
        <w:rPr>
          <w:rFonts w:hint="eastAsia" w:ascii="宋体" w:hAnsi="宋体" w:eastAsia="宋体" w:cs="宋体"/>
          <w:color w:val="000000"/>
          <w:kern w:val="0"/>
          <w:sz w:val="24"/>
          <w:szCs w:val="24"/>
        </w:rPr>
      </w:pP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631" w:type="dxa"/>
            <w:vAlign w:val="top"/>
          </w:tcPr>
          <w:p>
            <w:pPr>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6891" w:type="dxa"/>
            <w:vAlign w:val="top"/>
          </w:tcPr>
          <w:p>
            <w:pPr>
              <w:spacing w:line="360" w:lineRule="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产品名称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1631" w:type="dxa"/>
            <w:vAlign w:val="top"/>
          </w:tcPr>
          <w:p>
            <w:pPr>
              <w:spacing w:line="360" w:lineRule="auto"/>
              <w:rPr>
                <w:rFonts w:hint="eastAsia" w:ascii="宋体" w:hAnsi="宋体" w:eastAsia="宋体" w:cs="宋体"/>
                <w:color w:val="000000"/>
                <w:kern w:val="0"/>
                <w:sz w:val="24"/>
                <w:szCs w:val="24"/>
              </w:rPr>
            </w:pPr>
            <w:r>
              <w:rPr>
                <w:rFonts w:hint="eastAsia" w:ascii="宋体" w:hAnsi="宋体" w:eastAsia="宋体" w:cs="宋体"/>
                <w:sz w:val="24"/>
                <w:szCs w:val="24"/>
              </w:rPr>
              <w:fldChar w:fldCharType="begin">
                <w:ffData>
                  <w:name w:val="文字2"/>
                  <w:enabled/>
                  <w:calcOnExit w:val="0"/>
                  <w:textInput/>
                </w:ffData>
              </w:fldChar>
            </w:r>
            <w:r>
              <w:rPr>
                <w:rFonts w:hint="eastAsia" w:ascii="宋体" w:hAnsi="宋体" w:eastAsia="宋体" w:cs="宋体"/>
                <w:sz w:val="24"/>
                <w:szCs w:val="24"/>
              </w:rPr>
              <w:instrText xml:space="preserve"> FORMTEXT </w:instrText>
            </w:r>
            <w:r>
              <w:rPr>
                <w:rFonts w:hint="eastAsia" w:ascii="宋体" w:hAnsi="宋体" w:eastAsia="宋体" w:cs="宋体"/>
                <w:sz w:val="24"/>
                <w:szCs w:val="24"/>
              </w:rPr>
              <w:fldChar w:fldCharType="separate"/>
            </w:r>
            <w:r>
              <w:rPr>
                <w:rFonts w:hint="eastAsia" w:ascii="宋体" w:hAnsi="宋体" w:eastAsia="宋体" w:cs="宋体"/>
                <w:sz w:val="24"/>
                <w:szCs w:val="24"/>
              </w:rPr>
              <w:t>     </w:t>
            </w:r>
            <w:r>
              <w:rPr>
                <w:rFonts w:hint="eastAsia" w:ascii="宋体" w:hAnsi="宋体" w:eastAsia="宋体" w:cs="宋体"/>
                <w:sz w:val="24"/>
                <w:szCs w:val="24"/>
              </w:rPr>
              <w:fldChar w:fldCharType="end"/>
            </w:r>
          </w:p>
        </w:tc>
        <w:tc>
          <w:tcPr>
            <w:tcW w:w="6891" w:type="dxa"/>
            <w:vAlign w:val="top"/>
          </w:tcPr>
          <w:p>
            <w:pPr>
              <w:spacing w:line="360" w:lineRule="auto"/>
              <w:rPr>
                <w:rFonts w:hint="eastAsia" w:ascii="宋体" w:hAnsi="宋体" w:eastAsia="宋体" w:cs="宋体"/>
                <w:color w:val="000000"/>
                <w:kern w:val="0"/>
                <w:sz w:val="24"/>
                <w:szCs w:val="24"/>
              </w:rPr>
            </w:pPr>
            <w:r>
              <w:rPr>
                <w:rFonts w:hint="eastAsia" w:ascii="宋体" w:hAnsi="宋体" w:eastAsia="宋体" w:cs="宋体"/>
                <w:sz w:val="24"/>
                <w:szCs w:val="24"/>
              </w:rPr>
              <w:fldChar w:fldCharType="begin">
                <w:ffData>
                  <w:name w:val="文字2"/>
                  <w:enabled/>
                  <w:calcOnExit w:val="0"/>
                  <w:textInput/>
                </w:ffData>
              </w:fldChar>
            </w:r>
            <w:r>
              <w:rPr>
                <w:rFonts w:hint="eastAsia" w:ascii="宋体" w:hAnsi="宋体" w:eastAsia="宋体" w:cs="宋体"/>
                <w:sz w:val="24"/>
                <w:szCs w:val="24"/>
              </w:rPr>
              <w:instrText xml:space="preserve"> FORMTEXT </w:instrText>
            </w:r>
            <w:r>
              <w:rPr>
                <w:rFonts w:hint="eastAsia" w:ascii="宋体" w:hAnsi="宋体" w:eastAsia="宋体" w:cs="宋体"/>
                <w:sz w:val="24"/>
                <w:szCs w:val="24"/>
              </w:rPr>
              <w:fldChar w:fldCharType="separate"/>
            </w:r>
            <w:r>
              <w:rPr>
                <w:rFonts w:hint="eastAsia" w:ascii="宋体" w:hAnsi="宋体" w:eastAsia="宋体" w:cs="宋体"/>
                <w:sz w:val="24"/>
                <w:szCs w:val="24"/>
              </w:rPr>
              <w:t>     </w:t>
            </w:r>
            <w:r>
              <w:rPr>
                <w:rFonts w:hint="eastAsia" w:ascii="宋体" w:hAnsi="宋体" w:eastAsia="宋体" w:cs="宋体"/>
                <w:sz w:val="24"/>
                <w:szCs w:val="24"/>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1" w:type="dxa"/>
            <w:vAlign w:val="top"/>
          </w:tcPr>
          <w:p>
            <w:pPr>
              <w:spacing w:line="360" w:lineRule="auto"/>
              <w:rPr>
                <w:rFonts w:hint="eastAsia" w:ascii="宋体" w:hAnsi="宋体" w:eastAsia="宋体" w:cs="宋体"/>
                <w:color w:val="000000"/>
                <w:kern w:val="0"/>
                <w:sz w:val="24"/>
                <w:szCs w:val="24"/>
              </w:rPr>
            </w:pPr>
            <w:r>
              <w:rPr>
                <w:rFonts w:hint="eastAsia" w:ascii="宋体" w:hAnsi="宋体" w:eastAsia="宋体" w:cs="宋体"/>
                <w:sz w:val="24"/>
                <w:szCs w:val="24"/>
              </w:rPr>
              <w:fldChar w:fldCharType="begin">
                <w:ffData>
                  <w:name w:val="文字2"/>
                  <w:enabled/>
                  <w:calcOnExit w:val="0"/>
                  <w:textInput/>
                </w:ffData>
              </w:fldChar>
            </w:r>
            <w:r>
              <w:rPr>
                <w:rFonts w:hint="eastAsia" w:ascii="宋体" w:hAnsi="宋体" w:eastAsia="宋体" w:cs="宋体"/>
                <w:sz w:val="24"/>
                <w:szCs w:val="24"/>
              </w:rPr>
              <w:instrText xml:space="preserve"> FORMTEXT </w:instrText>
            </w:r>
            <w:r>
              <w:rPr>
                <w:rFonts w:hint="eastAsia" w:ascii="宋体" w:hAnsi="宋体" w:eastAsia="宋体" w:cs="宋体"/>
                <w:sz w:val="24"/>
                <w:szCs w:val="24"/>
              </w:rPr>
              <w:fldChar w:fldCharType="separate"/>
            </w:r>
            <w:r>
              <w:rPr>
                <w:rFonts w:hint="eastAsia" w:ascii="宋体" w:hAnsi="宋体" w:eastAsia="宋体" w:cs="宋体"/>
                <w:sz w:val="24"/>
                <w:szCs w:val="24"/>
              </w:rPr>
              <w:t>     </w:t>
            </w:r>
            <w:r>
              <w:rPr>
                <w:rFonts w:hint="eastAsia" w:ascii="宋体" w:hAnsi="宋体" w:eastAsia="宋体" w:cs="宋体"/>
                <w:sz w:val="24"/>
                <w:szCs w:val="24"/>
              </w:rPr>
              <w:fldChar w:fldCharType="end"/>
            </w:r>
          </w:p>
        </w:tc>
        <w:tc>
          <w:tcPr>
            <w:tcW w:w="6891" w:type="dxa"/>
            <w:vAlign w:val="top"/>
          </w:tcPr>
          <w:p>
            <w:pPr>
              <w:spacing w:line="360" w:lineRule="auto"/>
              <w:rPr>
                <w:rFonts w:hint="eastAsia" w:ascii="宋体" w:hAnsi="宋体" w:eastAsia="宋体" w:cs="宋体"/>
                <w:color w:val="000000"/>
                <w:kern w:val="0"/>
                <w:sz w:val="24"/>
                <w:szCs w:val="24"/>
              </w:rPr>
            </w:pPr>
            <w:r>
              <w:rPr>
                <w:rFonts w:hint="eastAsia" w:ascii="宋体" w:hAnsi="宋体" w:eastAsia="宋体" w:cs="宋体"/>
                <w:sz w:val="24"/>
                <w:szCs w:val="24"/>
              </w:rPr>
              <w:fldChar w:fldCharType="begin">
                <w:ffData>
                  <w:name w:val="文字2"/>
                  <w:enabled/>
                  <w:calcOnExit w:val="0"/>
                  <w:textInput/>
                </w:ffData>
              </w:fldChar>
            </w:r>
            <w:r>
              <w:rPr>
                <w:rFonts w:hint="eastAsia" w:ascii="宋体" w:hAnsi="宋体" w:eastAsia="宋体" w:cs="宋体"/>
                <w:sz w:val="24"/>
                <w:szCs w:val="24"/>
              </w:rPr>
              <w:instrText xml:space="preserve"> FORMTEXT </w:instrText>
            </w:r>
            <w:r>
              <w:rPr>
                <w:rFonts w:hint="eastAsia" w:ascii="宋体" w:hAnsi="宋体" w:eastAsia="宋体" w:cs="宋体"/>
                <w:sz w:val="24"/>
                <w:szCs w:val="24"/>
              </w:rPr>
              <w:fldChar w:fldCharType="separate"/>
            </w:r>
            <w:r>
              <w:rPr>
                <w:rFonts w:hint="eastAsia" w:ascii="宋体" w:hAnsi="宋体" w:eastAsia="宋体" w:cs="宋体"/>
                <w:sz w:val="24"/>
                <w:szCs w:val="24"/>
              </w:rPr>
              <w:t>     </w:t>
            </w:r>
            <w:r>
              <w:rPr>
                <w:rFonts w:hint="eastAsia" w:ascii="宋体" w:hAnsi="宋体" w:eastAsia="宋体" w:cs="宋体"/>
                <w:sz w:val="24"/>
                <w:szCs w:val="24"/>
              </w:rPr>
              <w:fldChar w:fldCharType="end"/>
            </w:r>
          </w:p>
        </w:tc>
      </w:tr>
    </w:tbl>
    <w:p>
      <w:pPr>
        <w:spacing w:line="360" w:lineRule="auto"/>
        <w:ind w:firstLine="480" w:firstLineChars="200"/>
        <w:rPr>
          <w:rFonts w:hint="eastAsia" w:ascii="宋体" w:hAnsi="宋体" w:eastAsia="宋体" w:cs="宋体"/>
          <w:color w:val="000000"/>
          <w:kern w:val="0"/>
          <w:sz w:val="24"/>
          <w:szCs w:val="24"/>
        </w:rPr>
      </w:pPr>
    </w:p>
    <w:p>
      <w:pPr>
        <w:spacing w:line="360" w:lineRule="auto"/>
        <w:ind w:firstLine="480" w:firstLineChars="200"/>
        <w:rPr>
          <w:rFonts w:hint="eastAsia" w:ascii="宋体" w:hAnsi="宋体" w:eastAsia="宋体" w:cs="宋体"/>
          <w:color w:val="000000"/>
          <w:kern w:val="0"/>
          <w:sz w:val="24"/>
          <w:szCs w:val="24"/>
        </w:rPr>
      </w:pPr>
    </w:p>
    <w:p>
      <w:pPr>
        <w:tabs>
          <w:tab w:val="left" w:pos="1455"/>
        </w:tabs>
        <w:spacing w:line="360" w:lineRule="auto"/>
        <w:ind w:firstLine="480" w:firstLineChars="200"/>
        <w:rPr>
          <w:rFonts w:hint="eastAsia" w:ascii="宋体" w:hAnsi="宋体" w:eastAsia="宋体" w:cs="宋体"/>
          <w:sz w:val="24"/>
          <w:szCs w:val="24"/>
        </w:rPr>
      </w:pPr>
    </w:p>
    <w:p>
      <w:pPr>
        <w:tabs>
          <w:tab w:val="left" w:pos="1455"/>
        </w:tabs>
        <w:spacing w:line="360" w:lineRule="auto"/>
        <w:ind w:firstLine="480" w:firstLineChars="200"/>
        <w:jc w:val="right"/>
        <w:rPr>
          <w:rFonts w:hint="eastAsia" w:ascii="宋体" w:hAnsi="宋体" w:eastAsia="宋体" w:cs="宋体"/>
          <w:sz w:val="24"/>
          <w:szCs w:val="24"/>
        </w:rPr>
      </w:pP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  中国民生银行股份有限公司 </w:t>
      </w:r>
      <w:r>
        <w:rPr>
          <w:rFonts w:hint="eastAsia" w:ascii="宋体" w:hAnsi="宋体" w:eastAsia="宋体" w:cs="宋体"/>
          <w:sz w:val="24"/>
          <w:szCs w:val="24"/>
          <w:shd w:val="clear" w:color="FFFFFF" w:fill="D9D9D9"/>
        </w:rPr>
        <w:fldChar w:fldCharType="end"/>
      </w:r>
    </w:p>
    <w:p>
      <w:pPr>
        <w:tabs>
          <w:tab w:val="left" w:pos="1455"/>
        </w:tabs>
        <w:spacing w:line="360" w:lineRule="auto"/>
        <w:ind w:firstLine="480" w:firstLineChars="200"/>
        <w:jc w:val="right"/>
        <w:rPr>
          <w:rFonts w:hint="eastAsia" w:ascii="宋体" w:hAnsi="宋体" w:eastAsia="宋体" w:cs="宋体"/>
          <w:sz w:val="24"/>
          <w:szCs w:val="24"/>
        </w:rPr>
      </w:pPr>
    </w:p>
    <w:p>
      <w:pPr>
        <w:tabs>
          <w:tab w:val="left" w:pos="1455"/>
        </w:tabs>
        <w:spacing w:line="360" w:lineRule="auto"/>
        <w:ind w:firstLine="480" w:firstLineChars="200"/>
        <w:jc w:val="right"/>
        <w:rPr>
          <w:rFonts w:hint="eastAsia" w:ascii="宋体" w:hAnsi="宋体" w:eastAsia="宋体" w:cs="宋体"/>
          <w:sz w:val="24"/>
          <w:szCs w:val="24"/>
        </w:rPr>
      </w:pPr>
    </w:p>
    <w:p>
      <w:pPr>
        <w:tabs>
          <w:tab w:val="left" w:pos="1455"/>
        </w:tabs>
        <w:spacing w:line="360" w:lineRule="auto"/>
        <w:ind w:firstLine="480" w:firstLineChars="200"/>
        <w:jc w:val="right"/>
        <w:rPr>
          <w:rFonts w:hint="eastAsia" w:ascii="宋体" w:hAnsi="宋体" w:eastAsia="宋体" w:cs="宋体"/>
          <w:sz w:val="24"/>
          <w:szCs w:val="24"/>
        </w:rPr>
        <w:sectPr>
          <w:pgSz w:w="11849" w:h="16781"/>
          <w:pgMar w:top="1440" w:right="1803" w:bottom="1440" w:left="1803" w:header="850" w:footer="992" w:gutter="0"/>
          <w:cols w:space="720" w:num="1"/>
          <w:docGrid w:type="linesAndChars" w:linePitch="312" w:charSpace="0"/>
        </w:sectPr>
      </w:pPr>
      <w:r>
        <w:rPr>
          <w:rFonts w:hint="eastAsia" w:ascii="宋体" w:hAnsi="宋体" w:eastAsia="宋体" w:cs="宋体"/>
          <w:sz w:val="24"/>
          <w:szCs w:val="24"/>
        </w:rPr>
        <w:t>【</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】年【</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】月【</w:t>
      </w:r>
      <w:r>
        <w:rPr>
          <w:rFonts w:hint="eastAsia" w:ascii="宋体" w:hAnsi="宋体" w:eastAsia="宋体" w:cs="宋体"/>
          <w:sz w:val="24"/>
          <w:szCs w:val="24"/>
          <w:shd w:val="clear" w:color="FFFFFF" w:fill="D9D9D9"/>
        </w:rPr>
        <w:fldChar w:fldCharType="begin">
          <w:ffData>
            <w:enabled/>
            <w:calcOnExit w:val="0"/>
            <w:textInput/>
          </w:ffData>
        </w:fldChar>
      </w:r>
      <w:r>
        <w:rPr>
          <w:rFonts w:hint="eastAsia" w:ascii="宋体" w:hAnsi="宋体" w:eastAsia="宋体" w:cs="宋体"/>
          <w:sz w:val="24"/>
          <w:szCs w:val="24"/>
          <w:shd w:val="clear" w:color="FFFFFF" w:fill="D9D9D9"/>
        </w:rPr>
        <w:instrText xml:space="preserve">FORMTEXT</w:instrText>
      </w:r>
      <w:r>
        <w:rPr>
          <w:rFonts w:hint="eastAsia" w:ascii="宋体" w:hAnsi="宋体" w:eastAsia="宋体" w:cs="宋体"/>
          <w:sz w:val="24"/>
          <w:szCs w:val="24"/>
          <w:shd w:val="clear" w:color="FFFFFF" w:fill="D9D9D9"/>
        </w:rPr>
        <w:fldChar w:fldCharType="separate"/>
      </w:r>
      <w:r>
        <w:rPr>
          <w:rFonts w:hint="eastAsia" w:ascii="宋体" w:hAnsi="宋体" w:eastAsia="宋体" w:cs="宋体"/>
          <w:sz w:val="24"/>
          <w:szCs w:val="24"/>
          <w:shd w:val="clear" w:color="FFFFFF" w:fill="D9D9D9"/>
        </w:rPr>
        <w:t>   </w:t>
      </w:r>
      <w:r>
        <w:rPr>
          <w:rFonts w:hint="eastAsia" w:ascii="宋体" w:hAnsi="宋体" w:eastAsia="宋体" w:cs="宋体"/>
          <w:sz w:val="24"/>
          <w:szCs w:val="24"/>
          <w:shd w:val="clear" w:color="FFFFFF" w:fill="D9D9D9"/>
        </w:rPr>
        <w:fldChar w:fldCharType="end"/>
      </w:r>
      <w:r>
        <w:rPr>
          <w:rFonts w:hint="eastAsia" w:ascii="宋体" w:hAnsi="宋体" w:eastAsia="宋体" w:cs="宋体"/>
          <w:sz w:val="24"/>
          <w:szCs w:val="24"/>
        </w:rPr>
        <w:t>】日</w:t>
      </w:r>
    </w:p>
    <w:p>
      <w:pPr>
        <w:pStyle w:val="2"/>
        <w:snapToGrid w:val="0"/>
        <w:spacing w:before="0" w:after="0" w:line="360" w:lineRule="auto"/>
        <w:rPr>
          <w:rFonts w:hint="eastAsia" w:ascii="宋体" w:hAnsi="宋体" w:eastAsia="宋体" w:cs="宋体"/>
          <w:kern w:val="2"/>
          <w:sz w:val="24"/>
          <w:szCs w:val="24"/>
        </w:rPr>
      </w:pPr>
      <w:bookmarkStart w:id="151" w:name="_Toc57797461"/>
      <w:bookmarkStart w:id="152" w:name="_Toc51421625"/>
      <w:bookmarkStart w:id="153" w:name="_Toc5359"/>
      <w:r>
        <w:rPr>
          <w:rFonts w:hint="eastAsia" w:ascii="宋体" w:hAnsi="宋体" w:eastAsia="宋体" w:cs="宋体"/>
          <w:sz w:val="24"/>
          <w:szCs w:val="24"/>
          <w:lang w:eastAsia="zh-CN"/>
        </w:rPr>
        <w:t>附件七</w:t>
      </w:r>
      <w:r>
        <w:rPr>
          <w:rFonts w:hint="eastAsia" w:ascii="宋体" w:hAnsi="宋体" w:eastAsia="宋体" w:cs="宋体"/>
          <w:kern w:val="2"/>
          <w:sz w:val="24"/>
          <w:szCs w:val="24"/>
        </w:rPr>
        <w:t>：业务联系单</w:t>
      </w:r>
      <w:bookmarkEnd w:id="149"/>
      <w:bookmarkEnd w:id="151"/>
      <w:bookmarkEnd w:id="152"/>
      <w:bookmarkEnd w:id="153"/>
    </w:p>
    <w:p>
      <w:pPr>
        <w:pStyle w:val="2"/>
        <w:spacing w:before="0" w:after="0" w:line="360" w:lineRule="auto"/>
        <w:rPr>
          <w:rFonts w:hint="eastAsia" w:ascii="宋体" w:hAnsi="宋体" w:eastAsia="宋体" w:cs="宋体"/>
          <w:sz w:val="24"/>
          <w:szCs w:val="24"/>
        </w:rPr>
      </w:pPr>
      <w:bookmarkStart w:id="154" w:name="_Toc51421626"/>
      <w:bookmarkStart w:id="155" w:name="_Toc57797462"/>
      <w:bookmarkStart w:id="156" w:name="_Toc51428144"/>
      <w:bookmarkStart w:id="157" w:name="_Toc13521"/>
      <w:bookmarkStart w:id="158" w:name="_Toc20069"/>
      <w:r>
        <w:rPr>
          <w:rFonts w:hint="eastAsia" w:ascii="宋体" w:hAnsi="宋体" w:eastAsia="宋体" w:cs="宋体"/>
          <w:sz w:val="24"/>
          <w:szCs w:val="24"/>
          <w:lang w:eastAsia="zh-CN"/>
        </w:rPr>
        <w:t>附件七</w:t>
      </w:r>
      <w:r>
        <w:rPr>
          <w:rFonts w:hint="eastAsia" w:ascii="宋体" w:hAnsi="宋体" w:eastAsia="宋体" w:cs="宋体"/>
          <w:sz w:val="24"/>
          <w:szCs w:val="24"/>
        </w:rPr>
        <w:t>-1：</w:t>
      </w:r>
      <w:bookmarkEnd w:id="150"/>
      <w:bookmarkEnd w:id="154"/>
      <w:bookmarkEnd w:id="155"/>
      <w:bookmarkEnd w:id="156"/>
      <w:bookmarkEnd w:id="157"/>
      <w:r>
        <w:rPr>
          <w:rFonts w:hint="eastAsia" w:ascii="宋体" w:hAnsi="宋体" w:eastAsia="宋体" w:cs="宋体"/>
          <w:sz w:val="24"/>
          <w:szCs w:val="24"/>
        </w:rPr>
        <w:t>管理人业务联系单</w:t>
      </w:r>
      <w:bookmarkEnd w:id="158"/>
    </w:p>
    <w:p>
      <w:pPr>
        <w:tabs>
          <w:tab w:val="left" w:pos="1455"/>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业务联系单（</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val="en-US" w:eastAsia="zh-CN"/>
        </w:rPr>
        <w:t>齐鲁银行股份有限公司</w:t>
      </w:r>
      <w:bookmarkStart w:id="165" w:name="_GoBack"/>
      <w:bookmarkEnd w:id="165"/>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b/>
          <w:sz w:val="24"/>
          <w:szCs w:val="24"/>
        </w:rPr>
        <w:t>）</w:t>
      </w:r>
    </w:p>
    <w:p>
      <w:pPr>
        <w:tabs>
          <w:tab w:val="left" w:pos="8647"/>
        </w:tabs>
        <w:spacing w:line="360" w:lineRule="auto"/>
        <w:ind w:firstLine="484" w:firstLineChars="202"/>
        <w:rPr>
          <w:rFonts w:hint="eastAsia" w:ascii="宋体" w:hAnsi="宋体" w:eastAsia="宋体" w:cs="宋体"/>
          <w:sz w:val="24"/>
          <w:szCs w:val="24"/>
        </w:rPr>
      </w:pPr>
    </w:p>
    <w:p>
      <w:pPr>
        <w:tabs>
          <w:tab w:val="left" w:pos="8647"/>
        </w:tabs>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操作人员</w:t>
      </w:r>
    </w:p>
    <w:tbl>
      <w:tblPr>
        <w:tblStyle w:val="19"/>
        <w:tblW w:w="878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1500"/>
        <w:gridCol w:w="1972"/>
        <w:gridCol w:w="2121"/>
        <w:gridCol w:w="19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rPr>
                <w:rFonts w:hint="eastAsia" w:ascii="宋体" w:hAnsi="宋体" w:eastAsia="宋体" w:cs="宋体"/>
                <w:sz w:val="24"/>
                <w:szCs w:val="24"/>
              </w:rPr>
            </w:pPr>
            <w:r>
              <w:rPr>
                <w:rFonts w:hint="eastAsia" w:ascii="宋体" w:hAnsi="宋体" w:eastAsia="宋体" w:cs="宋体"/>
                <w:sz w:val="24"/>
                <w:szCs w:val="24"/>
              </w:rPr>
              <w:t>姓名</w:t>
            </w:r>
          </w:p>
        </w:tc>
        <w:tc>
          <w:tcPr>
            <w:tcW w:w="1500"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 岗位说明</w:t>
            </w:r>
          </w:p>
        </w:tc>
        <w:tc>
          <w:tcPr>
            <w:tcW w:w="1972"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rPr>
                <w:rFonts w:hint="eastAsia" w:ascii="宋体" w:hAnsi="宋体" w:eastAsia="宋体" w:cs="宋体"/>
                <w:sz w:val="24"/>
                <w:szCs w:val="24"/>
              </w:rPr>
            </w:pPr>
            <w:r>
              <w:rPr>
                <w:rFonts w:hint="eastAsia" w:ascii="宋体" w:hAnsi="宋体" w:eastAsia="宋体" w:cs="宋体"/>
                <w:sz w:val="24"/>
                <w:szCs w:val="24"/>
              </w:rPr>
              <w:t>联系电话</w:t>
            </w:r>
          </w:p>
        </w:tc>
        <w:tc>
          <w:tcPr>
            <w:tcW w:w="2121"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rPr>
                <w:rFonts w:hint="eastAsia" w:ascii="宋体" w:hAnsi="宋体" w:eastAsia="宋体" w:cs="宋体"/>
                <w:sz w:val="24"/>
                <w:szCs w:val="24"/>
              </w:rPr>
            </w:pPr>
            <w:r>
              <w:rPr>
                <w:rFonts w:hint="eastAsia" w:ascii="宋体" w:hAnsi="宋体" w:eastAsia="宋体" w:cs="宋体"/>
                <w:sz w:val="24"/>
                <w:szCs w:val="24"/>
              </w:rPr>
              <w:t>传真/电话</w:t>
            </w:r>
          </w:p>
        </w:tc>
        <w:tc>
          <w:tcPr>
            <w:tcW w:w="1920"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rPr>
                <w:rFonts w:hint="eastAsia" w:ascii="宋体" w:hAnsi="宋体" w:eastAsia="宋体" w:cs="宋体"/>
                <w:sz w:val="24"/>
                <w:szCs w:val="24"/>
              </w:rPr>
            </w:pPr>
            <w:r>
              <w:rPr>
                <w:rFonts w:hint="eastAsia" w:ascii="宋体" w:hAnsi="宋体" w:eastAsia="宋体" w:cs="宋体"/>
                <w:sz w:val="24"/>
                <w:szCs w:val="24"/>
              </w:rPr>
              <w:t>手机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ind w:firstLine="33" w:firstLineChars="14"/>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eastAsia="zh-CN"/>
              </w:rPr>
              <w:t>姜金风</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500"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eastAsia="zh-CN"/>
              </w:rPr>
              <w:t>经办、复核</w:t>
            </w:r>
            <w:r>
              <w:rPr>
                <w:rFonts w:hint="eastAsia" w:ascii="宋体" w:hAnsi="宋体" w:eastAsia="宋体" w:cs="宋体"/>
                <w:sz w:val="24"/>
                <w:szCs w:val="24"/>
              </w:rPr>
              <w:t xml:space="preserve"> </w:t>
            </w:r>
          </w:p>
        </w:tc>
        <w:tc>
          <w:tcPr>
            <w:tcW w:w="1972"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cs="宋体"/>
                <w:sz w:val="24"/>
                <w:szCs w:val="24"/>
                <w:u w:val="single"/>
                <w:shd w:val="clear" w:color="FFFFFF" w:fill="D9D9D9"/>
                <w:lang w:val="en-US" w:eastAsia="zh-CN"/>
              </w:rPr>
              <w:t>0531-81679535</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2121"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val="en-US" w:eastAsia="zh-CN"/>
              </w:rPr>
              <w:t>0531-86027945</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920"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val="en-US" w:eastAsia="zh-CN"/>
              </w:rPr>
              <w:t>18810179386</w:t>
            </w:r>
            <w:r>
              <w:rPr>
                <w:rFonts w:hint="eastAsia" w:ascii="宋体" w:hAnsi="宋体" w:eastAsia="宋体" w:cs="宋体"/>
                <w:sz w:val="24"/>
                <w:szCs w:val="24"/>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ind w:firstLine="33" w:firstLineChars="14"/>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eastAsia="zh-CN"/>
              </w:rPr>
              <w:t>季洪珺</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500"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eastAsia="zh-CN"/>
              </w:rPr>
              <w:t>经办、复核</w:t>
            </w:r>
            <w:r>
              <w:rPr>
                <w:rFonts w:hint="eastAsia" w:ascii="宋体" w:hAnsi="宋体" w:eastAsia="宋体" w:cs="宋体"/>
                <w:sz w:val="24"/>
                <w:szCs w:val="24"/>
              </w:rPr>
              <w:t xml:space="preserve"> </w:t>
            </w:r>
          </w:p>
        </w:tc>
        <w:tc>
          <w:tcPr>
            <w:tcW w:w="1972"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val="en-US" w:eastAsia="zh-CN"/>
              </w:rPr>
              <w:t>0531-89936776</w:t>
            </w:r>
            <w:r>
              <w:rPr>
                <w:rFonts w:hint="eastAsia" w:ascii="宋体" w:hAnsi="宋体" w:eastAsia="宋体" w:cs="宋体"/>
                <w:sz w:val="24"/>
                <w:szCs w:val="24"/>
              </w:rPr>
              <w:t xml:space="preserve"> </w:t>
            </w:r>
          </w:p>
        </w:tc>
        <w:tc>
          <w:tcPr>
            <w:tcW w:w="2121"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val="en-US" w:eastAsia="zh-CN"/>
              </w:rPr>
              <w:t>0531-86027945</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920"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val="en-US" w:eastAsia="zh-CN"/>
              </w:rPr>
              <w:t>18560023561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ind w:firstLine="33" w:firstLineChars="14"/>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eastAsia="zh-CN"/>
              </w:rPr>
              <w:t>王振兴</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500"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eastAsia="zh-CN"/>
              </w:rPr>
              <w:t>经办、复核</w:t>
            </w:r>
            <w:r>
              <w:rPr>
                <w:rFonts w:hint="eastAsia" w:ascii="宋体" w:hAnsi="宋体" w:eastAsia="宋体" w:cs="宋体"/>
                <w:sz w:val="24"/>
                <w:szCs w:val="24"/>
              </w:rPr>
              <w:t xml:space="preserve"> </w:t>
            </w:r>
          </w:p>
        </w:tc>
        <w:tc>
          <w:tcPr>
            <w:tcW w:w="1972"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val="en-US" w:eastAsia="zh-CN"/>
              </w:rPr>
              <w:t>0531-81915583</w:t>
            </w:r>
            <w:r>
              <w:rPr>
                <w:rFonts w:hint="eastAsia" w:ascii="宋体" w:hAnsi="宋体" w:eastAsia="宋体" w:cs="宋体"/>
                <w:sz w:val="24"/>
                <w:szCs w:val="24"/>
              </w:rPr>
              <w:t xml:space="preserve"> </w:t>
            </w:r>
          </w:p>
        </w:tc>
        <w:tc>
          <w:tcPr>
            <w:tcW w:w="2121"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val="en-US" w:eastAsia="zh-CN"/>
              </w:rPr>
              <w:t>0531-86027945</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920"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rPr>
              <w:fldChar w:fldCharType="begin">
                <w:ffData>
                  <w:enabled/>
                  <w:calcOnExit w:val="0"/>
                  <w:textInput/>
                </w:ffData>
              </w:fldChar>
            </w:r>
            <w:r>
              <w:rPr>
                <w:rFonts w:hint="eastAsia" w:ascii="宋体" w:hAnsi="宋体" w:eastAsia="宋体" w:cs="宋体"/>
                <w:sz w:val="24"/>
                <w:szCs w:val="24"/>
              </w:rPr>
              <w:instrText xml:space="preserve">FORMTEXT</w:instrText>
            </w:r>
            <w:r>
              <w:rPr>
                <w:rFonts w:hint="eastAsia" w:ascii="宋体" w:hAnsi="宋体" w:eastAsia="宋体" w:cs="宋体"/>
                <w:sz w:val="24"/>
                <w:szCs w:val="24"/>
              </w:rPr>
              <w:fldChar w:fldCharType="separate"/>
            </w:r>
            <w:r>
              <w:rPr>
                <w:rFonts w:hint="eastAsia" w:ascii="宋体" w:hAnsi="宋体" w:eastAsia="宋体" w:cs="宋体"/>
                <w:sz w:val="24"/>
                <w:szCs w:val="24"/>
              </w:rPr>
              <w:t>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cs="宋体"/>
                <w:sz w:val="24"/>
                <w:szCs w:val="24"/>
                <w:u w:val="single"/>
                <w:shd w:val="clear" w:color="FFFFFF" w:fill="D9D9D9"/>
                <w:lang w:val="en-US" w:eastAsia="zh-CN"/>
              </w:rPr>
              <w:t>18615227656</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fldChar w:fldCharType="end"/>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ind w:firstLine="33" w:firstLineChars="14"/>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eastAsia="zh-CN"/>
              </w:rPr>
              <w:t>董鲁豫</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500" w:type="dxa"/>
            <w:tcBorders>
              <w:top w:val="single" w:color="auto" w:sz="4" w:space="0"/>
              <w:left w:val="single" w:color="auto" w:sz="4" w:space="0"/>
              <w:bottom w:val="single" w:color="auto" w:sz="4" w:space="0"/>
              <w:right w:val="single" w:color="auto" w:sz="4" w:space="0"/>
            </w:tcBorders>
            <w:vAlign w:val="center"/>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eastAsia="zh-CN"/>
              </w:rPr>
              <w:t>经办、复核</w:t>
            </w:r>
            <w:r>
              <w:rPr>
                <w:rFonts w:hint="eastAsia" w:ascii="宋体" w:hAnsi="宋体" w:eastAsia="宋体" w:cs="宋体"/>
                <w:sz w:val="24"/>
                <w:szCs w:val="24"/>
              </w:rPr>
              <w:t xml:space="preserve"> </w:t>
            </w:r>
          </w:p>
        </w:tc>
        <w:tc>
          <w:tcPr>
            <w:tcW w:w="1972"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val="en-US" w:eastAsia="zh-CN"/>
              </w:rPr>
              <w:t>0531-81915590</w:t>
            </w:r>
            <w:r>
              <w:rPr>
                <w:rFonts w:hint="eastAsia" w:ascii="宋体" w:hAnsi="宋体" w:eastAsia="宋体" w:cs="宋体"/>
                <w:sz w:val="24"/>
                <w:szCs w:val="24"/>
              </w:rPr>
              <w:t xml:space="preserve"> </w:t>
            </w:r>
          </w:p>
        </w:tc>
        <w:tc>
          <w:tcPr>
            <w:tcW w:w="2121"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val="en-US" w:eastAsia="zh-CN"/>
              </w:rPr>
              <w:t>0531-86027945</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920" w:type="dxa"/>
            <w:tcBorders>
              <w:top w:val="single" w:color="auto" w:sz="4" w:space="0"/>
              <w:left w:val="single" w:color="auto" w:sz="4" w:space="0"/>
              <w:bottom w:val="single" w:color="auto" w:sz="4" w:space="0"/>
              <w:right w:val="single" w:color="auto" w:sz="4" w:space="0"/>
            </w:tcBorders>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rPr>
              <w:fldChar w:fldCharType="begin">
                <w:ffData>
                  <w:enabled/>
                  <w:calcOnExit w:val="0"/>
                  <w:textInput/>
                </w:ffData>
              </w:fldChar>
            </w:r>
            <w:r>
              <w:rPr>
                <w:rFonts w:hint="eastAsia" w:ascii="宋体" w:hAnsi="宋体" w:eastAsia="宋体" w:cs="宋体"/>
                <w:sz w:val="24"/>
                <w:szCs w:val="24"/>
              </w:rPr>
              <w:instrText xml:space="preserve">FORMTEXT</w:instrText>
            </w:r>
            <w:r>
              <w:rPr>
                <w:rFonts w:hint="eastAsia" w:ascii="宋体" w:hAnsi="宋体" w:eastAsia="宋体" w:cs="宋体"/>
                <w:sz w:val="24"/>
                <w:szCs w:val="24"/>
              </w:rPr>
              <w:fldChar w:fldCharType="separate"/>
            </w:r>
            <w:r>
              <w:rPr>
                <w:rFonts w:hint="eastAsia" w:ascii="宋体" w:hAnsi="宋体" w:eastAsia="宋体" w:cs="宋体"/>
                <w:sz w:val="24"/>
                <w:szCs w:val="24"/>
              </w:rPr>
              <w:t> </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cs="宋体"/>
                <w:sz w:val="24"/>
                <w:szCs w:val="24"/>
                <w:u w:val="single"/>
                <w:shd w:val="clear" w:color="FFFFFF" w:fill="D9D9D9"/>
                <w:lang w:val="en-US" w:eastAsia="zh-CN"/>
              </w:rPr>
              <w:t>18954151858</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fldChar w:fldCharType="end"/>
            </w:r>
          </w:p>
        </w:tc>
      </w:tr>
    </w:tbl>
    <w:p>
      <w:pPr>
        <w:tabs>
          <w:tab w:val="left" w:pos="8647"/>
        </w:tabs>
        <w:spacing w:line="360" w:lineRule="auto"/>
        <w:ind w:firstLine="484" w:firstLineChars="202"/>
        <w:rPr>
          <w:rFonts w:hint="eastAsia" w:ascii="宋体" w:hAnsi="宋体" w:eastAsia="宋体" w:cs="宋体"/>
          <w:sz w:val="24"/>
          <w:szCs w:val="24"/>
        </w:rPr>
      </w:pPr>
    </w:p>
    <w:p>
      <w:pPr>
        <w:tabs>
          <w:tab w:val="left" w:pos="8647"/>
        </w:tabs>
        <w:spacing w:line="360" w:lineRule="auto"/>
        <w:ind w:firstLine="484" w:firstLineChars="202"/>
        <w:rPr>
          <w:rFonts w:hint="eastAsia" w:ascii="宋体" w:hAnsi="宋体" w:eastAsia="宋体" w:cs="宋体"/>
          <w:sz w:val="24"/>
          <w:szCs w:val="24"/>
        </w:rPr>
      </w:pPr>
    </w:p>
    <w:p>
      <w:pPr>
        <w:tabs>
          <w:tab w:val="left" w:pos="8647"/>
        </w:tabs>
        <w:spacing w:line="360" w:lineRule="auto"/>
        <w:ind w:firstLine="484" w:firstLineChars="202"/>
        <w:rPr>
          <w:rFonts w:hint="eastAsia" w:ascii="宋体" w:hAnsi="宋体" w:eastAsia="宋体" w:cs="宋体"/>
          <w:sz w:val="24"/>
          <w:szCs w:val="24"/>
        </w:rPr>
      </w:pPr>
      <w:r>
        <w:rPr>
          <w:rFonts w:hint="eastAsia" w:ascii="宋体" w:hAnsi="宋体" w:eastAsia="宋体" w:cs="宋体"/>
          <w:sz w:val="24"/>
          <w:szCs w:val="24"/>
        </w:rPr>
        <w:t>业务联系人员</w:t>
      </w:r>
    </w:p>
    <w:tbl>
      <w:tblPr>
        <w:tblStyle w:val="19"/>
        <w:tblW w:w="87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554"/>
        <w:gridCol w:w="1918"/>
        <w:gridCol w:w="2078"/>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vAlign w:val="top"/>
          </w:tcPr>
          <w:p>
            <w:pPr>
              <w:tabs>
                <w:tab w:val="left" w:pos="34"/>
                <w:tab w:val="left" w:pos="8647"/>
              </w:tabs>
              <w:spacing w:line="360" w:lineRule="auto"/>
              <w:ind w:firstLine="175" w:firstLineChars="73"/>
              <w:jc w:val="center"/>
              <w:rPr>
                <w:rFonts w:hint="eastAsia" w:ascii="宋体" w:hAnsi="宋体" w:eastAsia="宋体" w:cs="宋体"/>
                <w:sz w:val="24"/>
                <w:szCs w:val="24"/>
              </w:rPr>
            </w:pPr>
            <w:r>
              <w:rPr>
                <w:rFonts w:hint="eastAsia" w:ascii="宋体" w:hAnsi="宋体" w:eastAsia="宋体" w:cs="宋体"/>
                <w:sz w:val="24"/>
                <w:szCs w:val="24"/>
              </w:rPr>
              <w:t>姓名</w:t>
            </w:r>
          </w:p>
        </w:tc>
        <w:tc>
          <w:tcPr>
            <w:tcW w:w="1554" w:type="dxa"/>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rPr>
              <w:t>岗位说明</w:t>
            </w:r>
          </w:p>
        </w:tc>
        <w:tc>
          <w:tcPr>
            <w:tcW w:w="1918" w:type="dxa"/>
            <w:vAlign w:val="top"/>
          </w:tcPr>
          <w:p>
            <w:pPr>
              <w:tabs>
                <w:tab w:val="left" w:pos="8647"/>
              </w:tabs>
              <w:spacing w:line="360" w:lineRule="auto"/>
              <w:ind w:firstLine="175" w:firstLineChars="73"/>
              <w:rPr>
                <w:rFonts w:hint="eastAsia" w:ascii="宋体" w:hAnsi="宋体" w:eastAsia="宋体" w:cs="宋体"/>
                <w:sz w:val="24"/>
                <w:szCs w:val="24"/>
              </w:rPr>
            </w:pPr>
            <w:r>
              <w:rPr>
                <w:rFonts w:hint="eastAsia" w:ascii="宋体" w:hAnsi="宋体" w:eastAsia="宋体" w:cs="宋体"/>
                <w:sz w:val="24"/>
                <w:szCs w:val="24"/>
              </w:rPr>
              <w:t>联系电话</w:t>
            </w:r>
          </w:p>
        </w:tc>
        <w:tc>
          <w:tcPr>
            <w:tcW w:w="2078" w:type="dxa"/>
            <w:vAlign w:val="top"/>
          </w:tcPr>
          <w:p>
            <w:pPr>
              <w:tabs>
                <w:tab w:val="left" w:pos="8647"/>
              </w:tabs>
              <w:spacing w:line="360" w:lineRule="auto"/>
              <w:ind w:firstLine="172" w:firstLineChars="72"/>
              <w:rPr>
                <w:rFonts w:hint="eastAsia" w:ascii="宋体" w:hAnsi="宋体" w:eastAsia="宋体" w:cs="宋体"/>
                <w:sz w:val="24"/>
                <w:szCs w:val="24"/>
              </w:rPr>
            </w:pPr>
            <w:r>
              <w:rPr>
                <w:rFonts w:hint="eastAsia" w:ascii="宋体" w:hAnsi="宋体" w:eastAsia="宋体" w:cs="宋体"/>
                <w:sz w:val="24"/>
                <w:szCs w:val="24"/>
              </w:rPr>
              <w:t>传真/电话</w:t>
            </w:r>
          </w:p>
        </w:tc>
        <w:tc>
          <w:tcPr>
            <w:tcW w:w="1963" w:type="dxa"/>
            <w:vAlign w:val="top"/>
          </w:tcPr>
          <w:p>
            <w:pPr>
              <w:tabs>
                <w:tab w:val="left" w:pos="918"/>
                <w:tab w:val="left" w:pos="1168"/>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276" w:type="dxa"/>
            <w:vAlign w:val="center"/>
          </w:tcPr>
          <w:p>
            <w:pPr>
              <w:tabs>
                <w:tab w:val="left" w:pos="8647"/>
              </w:tabs>
              <w:spacing w:line="360" w:lineRule="auto"/>
              <w:ind w:firstLine="33" w:firstLineChars="14"/>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eastAsia="zh-CN"/>
              </w:rPr>
              <w:t>姜金风</w:t>
            </w:r>
            <w:r>
              <w:rPr>
                <w:rFonts w:hint="eastAsia" w:ascii="宋体" w:hAnsi="宋体" w:eastAsia="宋体" w:cs="宋体"/>
                <w:sz w:val="24"/>
                <w:szCs w:val="24"/>
                <w:u w:val="single"/>
                <w:shd w:val="clear" w:color="FFFFFF" w:fill="D9D9D9"/>
              </w:rPr>
              <w:t>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554" w:type="dxa"/>
            <w:vAlign w:val="center"/>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eastAsia="zh-CN"/>
              </w:rPr>
              <w:t>经办、复核</w:t>
            </w:r>
            <w:r>
              <w:rPr>
                <w:rFonts w:hint="eastAsia" w:ascii="宋体" w:hAnsi="宋体" w:eastAsia="宋体" w:cs="宋体"/>
                <w:sz w:val="24"/>
                <w:szCs w:val="24"/>
              </w:rPr>
              <w:t xml:space="preserve"> </w:t>
            </w:r>
          </w:p>
        </w:tc>
        <w:tc>
          <w:tcPr>
            <w:tcW w:w="1918" w:type="dxa"/>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cs="宋体"/>
                <w:sz w:val="24"/>
                <w:szCs w:val="24"/>
                <w:u w:val="single"/>
                <w:shd w:val="clear" w:color="FFFFFF" w:fill="D9D9D9"/>
                <w:lang w:val="en-US" w:eastAsia="zh-CN"/>
              </w:rPr>
              <w:t>0531-81679535</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2078" w:type="dxa"/>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w:t>
            </w:r>
            <w:r>
              <w:rPr>
                <w:rFonts w:hint="eastAsia" w:ascii="宋体" w:hAnsi="宋体" w:cs="宋体"/>
                <w:sz w:val="24"/>
                <w:szCs w:val="24"/>
                <w:u w:val="single"/>
                <w:shd w:val="clear" w:color="FFFFFF" w:fill="D9D9D9"/>
                <w:lang w:val="en-US" w:eastAsia="zh-CN"/>
              </w:rPr>
              <w:t>0531-86027945</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sz w:val="24"/>
                <w:szCs w:val="24"/>
              </w:rPr>
              <w:t xml:space="preserve"> </w:t>
            </w:r>
          </w:p>
        </w:tc>
        <w:tc>
          <w:tcPr>
            <w:tcW w:w="1963" w:type="dxa"/>
            <w:vAlign w:val="top"/>
          </w:tcPr>
          <w:p>
            <w:pPr>
              <w:tabs>
                <w:tab w:val="left" w:pos="8647"/>
              </w:tabs>
              <w:spacing w:line="360" w:lineRule="auto"/>
              <w:ind w:firstLine="33" w:firstLineChars="14"/>
              <w:jc w:val="center"/>
              <w:rPr>
                <w:rFonts w:hint="eastAsia" w:ascii="宋体" w:hAnsi="宋体" w:eastAsia="宋体" w:cs="宋体"/>
                <w:sz w:val="24"/>
                <w:szCs w:val="24"/>
              </w:rPr>
            </w:pPr>
            <w:r>
              <w:rPr>
                <w:rFonts w:hint="eastAsia" w:ascii="宋体" w:hAnsi="宋体" w:cs="宋体"/>
                <w:sz w:val="24"/>
                <w:szCs w:val="24"/>
                <w:u w:val="single"/>
                <w:shd w:val="clear" w:color="FFFFFF" w:fill="D9D9D9"/>
                <w:lang w:val="en-US" w:eastAsia="zh-CN"/>
              </w:rPr>
              <w:t>18810179386</w:t>
            </w:r>
            <w:r>
              <w:rPr>
                <w:rFonts w:hint="eastAsia" w:ascii="宋体" w:hAnsi="宋体" w:eastAsia="宋体" w:cs="宋体"/>
                <w:sz w:val="24"/>
                <w:szCs w:val="24"/>
              </w:rPr>
              <w:t xml:space="preserve"> </w:t>
            </w:r>
          </w:p>
        </w:tc>
      </w:tr>
    </w:tbl>
    <w:p>
      <w:pPr>
        <w:tabs>
          <w:tab w:val="left" w:pos="1455"/>
        </w:tabs>
        <w:spacing w:line="360" w:lineRule="auto"/>
        <w:ind w:firstLine="480" w:firstLineChars="200"/>
        <w:rPr>
          <w:rFonts w:hint="eastAsia" w:ascii="宋体" w:hAnsi="宋体" w:eastAsia="宋体" w:cs="宋体"/>
          <w:sz w:val="24"/>
          <w:szCs w:val="24"/>
        </w:rPr>
      </w:pPr>
    </w:p>
    <w:p>
      <w:pPr>
        <w:pStyle w:val="2"/>
        <w:tabs>
          <w:tab w:val="left" w:pos="1455"/>
        </w:tabs>
        <w:spacing w:before="0" w:after="0" w:line="360" w:lineRule="auto"/>
        <w:rPr>
          <w:rFonts w:hint="eastAsia" w:ascii="宋体" w:hAnsi="宋体" w:eastAsia="宋体" w:cs="宋体"/>
          <w:sz w:val="24"/>
          <w:szCs w:val="24"/>
        </w:rPr>
      </w:pPr>
      <w:r>
        <w:rPr>
          <w:rFonts w:hint="eastAsia" w:ascii="宋体" w:hAnsi="宋体" w:eastAsia="宋体" w:cs="宋体"/>
          <w:kern w:val="2"/>
          <w:sz w:val="24"/>
          <w:szCs w:val="24"/>
        </w:rPr>
        <w:br w:type="page"/>
      </w:r>
      <w:bookmarkStart w:id="159" w:name="_Toc11548"/>
      <w:bookmarkStart w:id="160" w:name="_Toc382240681"/>
      <w:bookmarkStart w:id="161" w:name="_Toc57797463"/>
      <w:bookmarkStart w:id="162" w:name="_Toc2069"/>
      <w:bookmarkStart w:id="163" w:name="_Toc51421627"/>
      <w:bookmarkStart w:id="164" w:name="_Toc51428145"/>
      <w:r>
        <w:rPr>
          <w:rFonts w:hint="eastAsia" w:ascii="宋体" w:hAnsi="宋体" w:eastAsia="宋体" w:cs="宋体"/>
          <w:sz w:val="24"/>
          <w:szCs w:val="24"/>
          <w:lang w:eastAsia="zh-CN"/>
        </w:rPr>
        <w:t>附件七</w:t>
      </w:r>
      <w:r>
        <w:rPr>
          <w:rFonts w:hint="eastAsia" w:ascii="宋体" w:hAnsi="宋体" w:eastAsia="宋体" w:cs="宋体"/>
          <w:sz w:val="24"/>
          <w:szCs w:val="24"/>
        </w:rPr>
        <w:t>-2：</w:t>
      </w:r>
      <w:bookmarkEnd w:id="159"/>
      <w:bookmarkEnd w:id="160"/>
      <w:r>
        <w:rPr>
          <w:rFonts w:hint="eastAsia" w:ascii="宋体" w:hAnsi="宋体" w:eastAsia="宋体" w:cs="宋体"/>
          <w:sz w:val="24"/>
          <w:szCs w:val="24"/>
        </w:rPr>
        <w:t>托管人业务联系单</w:t>
      </w:r>
      <w:bookmarkEnd w:id="161"/>
      <w:bookmarkEnd w:id="162"/>
      <w:bookmarkEnd w:id="163"/>
      <w:bookmarkEnd w:id="164"/>
    </w:p>
    <w:p>
      <w:pPr>
        <w:tabs>
          <w:tab w:val="left" w:pos="2281"/>
          <w:tab w:val="center" w:pos="4214"/>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业务联系单（</w:t>
      </w: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sz w:val="24"/>
          <w:szCs w:val="24"/>
          <w:u w:val="single"/>
          <w:shd w:val="clear" w:color="FFFFFF" w:fill="D9D9D9"/>
        </w:rPr>
        <w:t> 中国民生银行股份有限公司 </w:t>
      </w:r>
      <w:r>
        <w:rPr>
          <w:rFonts w:hint="eastAsia" w:ascii="宋体" w:hAnsi="宋体" w:eastAsia="宋体" w:cs="宋体"/>
          <w:sz w:val="24"/>
          <w:szCs w:val="24"/>
          <w:u w:val="single"/>
          <w:shd w:val="clear" w:color="FFFFFF" w:fill="D9D9D9"/>
        </w:rPr>
        <w:fldChar w:fldCharType="end"/>
      </w:r>
      <w:r>
        <w:rPr>
          <w:rFonts w:hint="eastAsia" w:ascii="宋体" w:hAnsi="宋体" w:eastAsia="宋体" w:cs="宋体"/>
          <w:b/>
          <w:sz w:val="24"/>
          <w:szCs w:val="24"/>
        </w:rPr>
        <w:t>）</w:t>
      </w:r>
    </w:p>
    <w:p>
      <w:pPr>
        <w:tabs>
          <w:tab w:val="left" w:pos="2281"/>
          <w:tab w:val="center" w:pos="4214"/>
        </w:tabs>
        <w:spacing w:line="360" w:lineRule="auto"/>
        <w:jc w:val="center"/>
        <w:rPr>
          <w:rFonts w:hint="eastAsia" w:ascii="宋体" w:hAnsi="宋体" w:eastAsia="宋体" w:cs="宋体"/>
          <w:b/>
          <w:sz w:val="24"/>
          <w:szCs w:val="24"/>
        </w:rPr>
      </w:pPr>
    </w:p>
    <w:p>
      <w:pPr>
        <w:tabs>
          <w:tab w:val="left" w:pos="2281"/>
          <w:tab w:val="center" w:pos="4214"/>
        </w:tabs>
        <w:spacing w:line="360" w:lineRule="auto"/>
        <w:jc w:val="center"/>
        <w:rPr>
          <w:rFonts w:hint="eastAsia" w:ascii="宋体" w:hAnsi="宋体" w:eastAsia="宋体" w:cs="宋体"/>
          <w:b/>
          <w:sz w:val="24"/>
          <w:szCs w:val="24"/>
        </w:rPr>
      </w:pPr>
    </w:p>
    <w:tbl>
      <w:tblPr>
        <w:tblStyle w:val="19"/>
        <w:tblW w:w="89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5"/>
        <w:gridCol w:w="2693"/>
        <w:gridCol w:w="1559"/>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jc w:val="center"/>
        </w:trPr>
        <w:tc>
          <w:tcPr>
            <w:tcW w:w="4448" w:type="dxa"/>
            <w:gridSpan w:val="2"/>
            <w:tcBorders>
              <w:top w:val="single" w:color="auto" w:sz="4" w:space="0"/>
              <w:left w:val="single" w:color="auto" w:sz="4" w:space="0"/>
              <w:bottom w:val="single" w:color="auto" w:sz="4" w:space="0"/>
              <w:right w:val="single" w:color="auto" w:sz="4" w:space="0"/>
            </w:tcBorders>
            <w:shd w:val="clear" w:color="auto" w:fill="A4A4A4"/>
            <w:vAlign w:val="center"/>
          </w:tcPr>
          <w:p>
            <w:pPr>
              <w:tabs>
                <w:tab w:val="left" w:pos="2281"/>
                <w:tab w:val="center" w:pos="4214"/>
              </w:tabs>
              <w:spacing w:line="360" w:lineRule="auto"/>
              <w:jc w:val="center"/>
              <w:rPr>
                <w:rFonts w:hint="eastAsia" w:ascii="宋体" w:hAnsi="宋体" w:eastAsia="宋体" w:cs="宋体"/>
                <w:b/>
                <w:bCs/>
              </w:rPr>
            </w:pPr>
            <w:r>
              <w:rPr>
                <w:rFonts w:hint="eastAsia" w:ascii="宋体" w:hAnsi="宋体" w:eastAsia="宋体" w:cs="宋体"/>
                <w:sz w:val="24"/>
                <w:szCs w:val="24"/>
                <w:u w:val="single"/>
                <w:shd w:val="clear" w:color="FFFFFF" w:fill="D9D9D9"/>
              </w:rPr>
              <w:fldChar w:fldCharType="begin">
                <w:ffData>
                  <w:enabled/>
                  <w:calcOnExit w:val="0"/>
                  <w:textInput/>
                </w:ffData>
              </w:fldChar>
            </w:r>
            <w:r>
              <w:rPr>
                <w:rFonts w:hint="eastAsia" w:ascii="宋体" w:hAnsi="宋体" w:eastAsia="宋体" w:cs="宋体"/>
                <w:sz w:val="24"/>
                <w:szCs w:val="24"/>
                <w:u w:val="single"/>
                <w:shd w:val="clear" w:color="FFFFFF" w:fill="D9D9D9"/>
              </w:rPr>
              <w:instrText xml:space="preserve">FORMTEXT</w:instrText>
            </w:r>
            <w:r>
              <w:rPr>
                <w:rFonts w:hint="eastAsia" w:ascii="宋体" w:hAnsi="宋体" w:eastAsia="宋体" w:cs="宋体"/>
                <w:sz w:val="24"/>
                <w:szCs w:val="24"/>
                <w:u w:val="single"/>
                <w:shd w:val="clear" w:color="FFFFFF" w:fill="D9D9D9"/>
              </w:rPr>
              <w:fldChar w:fldCharType="separate"/>
            </w:r>
            <w:r>
              <w:rPr>
                <w:rFonts w:hint="eastAsia" w:ascii="宋体" w:hAnsi="宋体" w:eastAsia="宋体" w:cs="宋体"/>
                <w:b/>
                <w:bCs/>
              </w:rPr>
              <w:t>岗位分工</w:t>
            </w:r>
          </w:p>
        </w:tc>
        <w:tc>
          <w:tcPr>
            <w:tcW w:w="4468" w:type="dxa"/>
            <w:gridSpan w:val="2"/>
            <w:tcBorders>
              <w:top w:val="single" w:color="auto" w:sz="4" w:space="0"/>
              <w:left w:val="single" w:color="auto" w:sz="4" w:space="0"/>
              <w:bottom w:val="single" w:color="auto" w:sz="4" w:space="0"/>
              <w:right w:val="single" w:color="auto" w:sz="4" w:space="0"/>
            </w:tcBorders>
            <w:shd w:val="clear" w:color="auto" w:fill="A4A4A4"/>
            <w:vAlign w:val="center"/>
          </w:tcPr>
          <w:p>
            <w:pPr>
              <w:spacing w:line="360" w:lineRule="auto"/>
              <w:jc w:val="center"/>
              <w:rPr>
                <w:rFonts w:hint="eastAsia" w:ascii="宋体" w:hAnsi="宋体" w:eastAsia="宋体" w:cs="宋体"/>
                <w:b/>
                <w:bCs/>
              </w:rPr>
            </w:pPr>
            <w:r>
              <w:rPr>
                <w:rFonts w:hint="eastAsia" w:ascii="宋体" w:hAnsi="宋体" w:eastAsia="宋体" w:cs="宋体"/>
                <w:b/>
                <w:bCs/>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jc w:val="center"/>
        </w:trPr>
        <w:tc>
          <w:tcPr>
            <w:tcW w:w="8916" w:type="dxa"/>
            <w:gridSpan w:val="4"/>
            <w:tcBorders>
              <w:top w:val="single" w:color="auto" w:sz="4" w:space="0"/>
              <w:left w:val="single" w:color="auto" w:sz="4" w:space="0"/>
              <w:bottom w:val="single" w:color="auto" w:sz="4" w:space="0"/>
              <w:right w:val="single" w:color="auto" w:sz="4" w:space="0"/>
            </w:tcBorders>
            <w:shd w:val="clear" w:color="auto" w:fill="D7D7D7"/>
            <w:vAlign w:val="center"/>
          </w:tcPr>
          <w:p>
            <w:pPr>
              <w:spacing w:line="360" w:lineRule="auto"/>
              <w:jc w:val="center"/>
              <w:rPr>
                <w:rFonts w:hint="eastAsia" w:ascii="宋体" w:hAnsi="宋体" w:eastAsia="宋体" w:cs="宋体"/>
                <w:b/>
                <w:bCs/>
              </w:rPr>
            </w:pPr>
            <w:r>
              <w:rPr>
                <w:rFonts w:hint="eastAsia" w:ascii="宋体" w:hAnsi="宋体" w:eastAsia="宋体" w:cs="宋体"/>
                <w:b/>
                <w:bCs/>
              </w:rPr>
              <w:t>账 户 业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业务总联系电话</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010-58560666-9673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b/>
                <w:color w:val="000000"/>
              </w:rPr>
              <w:t>账户咨询</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010-58560666-8617\8825\9529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000000"/>
              </w:rPr>
            </w:pPr>
            <w:r>
              <w:rPr>
                <w:rFonts w:hint="eastAsia" w:ascii="宋体" w:hAnsi="宋体" w:eastAsia="宋体" w:cs="宋体"/>
                <w:b/>
                <w:color w:val="000000"/>
              </w:rPr>
              <w:t>账户咨询办理邮箱</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tgzh1@cmbc.com.cn,tgzh2@cmbc.com.cn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8916" w:type="dxa"/>
            <w:gridSpan w:val="4"/>
            <w:tcBorders>
              <w:top w:val="single" w:color="auto" w:sz="4" w:space="0"/>
              <w:left w:val="single" w:color="auto" w:sz="4" w:space="0"/>
              <w:bottom w:val="single" w:color="auto" w:sz="4" w:space="0"/>
              <w:right w:val="single" w:color="auto" w:sz="4" w:space="0"/>
            </w:tcBorders>
            <w:shd w:val="clear" w:color="auto" w:fill="D7D7D7"/>
            <w:vAlign w:val="center"/>
          </w:tcPr>
          <w:p>
            <w:pPr>
              <w:spacing w:line="360" w:lineRule="auto"/>
              <w:jc w:val="center"/>
              <w:rPr>
                <w:rFonts w:hint="eastAsia" w:ascii="宋体" w:hAnsi="宋体" w:eastAsia="宋体" w:cs="宋体"/>
                <w:b/>
                <w:bCs/>
              </w:rPr>
            </w:pPr>
            <w:r>
              <w:rPr>
                <w:rFonts w:hint="eastAsia" w:ascii="宋体" w:hAnsi="宋体" w:eastAsia="宋体" w:cs="宋体"/>
                <w:b/>
                <w:bCs/>
              </w:rPr>
              <w:t>清 算 业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color w:val="FF0000"/>
              </w:rPr>
            </w:pPr>
            <w:r>
              <w:rPr>
                <w:rFonts w:hint="eastAsia" w:ascii="宋体" w:hAnsi="宋体" w:eastAsia="宋体" w:cs="宋体"/>
                <w:b/>
                <w:bCs/>
              </w:rPr>
              <w:t>业务总联系电话</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010-58560666-8642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ind w:firstLine="210" w:firstLineChars="100"/>
              <w:jc w:val="center"/>
              <w:rPr>
                <w:rFonts w:hint="eastAsia" w:ascii="宋体" w:hAnsi="宋体" w:eastAsia="宋体" w:cs="宋体"/>
                <w:b/>
                <w:bCs/>
              </w:rPr>
            </w:pPr>
            <w:r>
              <w:rPr>
                <w:rFonts w:hint="eastAsia" w:ascii="宋体" w:hAnsi="宋体" w:eastAsia="宋体" w:cs="宋体"/>
                <w:b/>
                <w:bCs/>
              </w:rPr>
              <w:t>证券交割、定期存款业务紧急联系电话</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010-58560666-8745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
                <w:bCs/>
              </w:rPr>
            </w:pPr>
            <w:r>
              <w:rPr>
                <w:rFonts w:hint="eastAsia" w:ascii="宋体" w:hAnsi="宋体" w:eastAsia="宋体" w:cs="宋体"/>
                <w:b/>
                <w:bCs/>
              </w:rPr>
              <w:t>资金结算业务紧急联系电话</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010-58560666-8923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
                <w:bCs/>
              </w:rPr>
            </w:pPr>
            <w:r>
              <w:rPr>
                <w:rFonts w:hint="eastAsia" w:ascii="宋体" w:hAnsi="宋体" w:eastAsia="宋体" w:cs="宋体"/>
                <w:b/>
                <w:bCs/>
              </w:rPr>
              <w:t>场内结算、QDII业务</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010-58560785</w:t>
            </w:r>
          </w:p>
          <w:p>
            <w:pPr>
              <w:spacing w:line="360" w:lineRule="auto"/>
              <w:jc w:val="center"/>
              <w:rPr>
                <w:rFonts w:hint="eastAsia" w:ascii="宋体" w:hAnsi="宋体" w:eastAsia="宋体" w:cs="宋体"/>
              </w:rPr>
            </w:pPr>
            <w:r>
              <w:rPr>
                <w:rFonts w:hint="eastAsia" w:ascii="宋体" w:hAnsi="宋体" w:eastAsia="宋体" w:cs="宋体"/>
              </w:rPr>
              <w:t>010-58560666-8745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
                <w:bCs/>
              </w:rPr>
            </w:pPr>
            <w:r>
              <w:rPr>
                <w:rFonts w:hint="eastAsia" w:ascii="宋体" w:hAnsi="宋体" w:eastAsia="宋体" w:cs="宋体"/>
                <w:b/>
                <w:bCs/>
              </w:rPr>
              <w:t>银行间业务</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010-58560666-9502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
                <w:bCs/>
              </w:rPr>
            </w:pPr>
            <w:r>
              <w:rPr>
                <w:rFonts w:hint="eastAsia" w:ascii="宋体" w:hAnsi="宋体" w:eastAsia="宋体" w:cs="宋体"/>
                <w:b/>
                <w:bCs/>
              </w:rPr>
              <w:t>定期存款业务</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010-58560757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b/>
                <w:bCs/>
              </w:rPr>
              <w:t>指令接收传真</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010-56368300，010-56368301，010-56368302，010-56368303，010-56368304，010-56368305，010-56368306，010-56368307，010-56368308，010-56368309，</w:t>
            </w:r>
          </w:p>
          <w:p>
            <w:pPr>
              <w:spacing w:line="360" w:lineRule="auto"/>
              <w:jc w:val="center"/>
              <w:rPr>
                <w:rFonts w:hint="eastAsia" w:ascii="宋体" w:hAnsi="宋体" w:eastAsia="宋体" w:cs="宋体"/>
              </w:rPr>
            </w:pPr>
            <w:r>
              <w:rPr>
                <w:rFonts w:hint="eastAsia" w:ascii="宋体" w:hAnsi="宋体" w:eastAsia="宋体" w:cs="宋体"/>
              </w:rPr>
              <w:t>010-56368310，010-56368311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客户服务</w:t>
            </w:r>
          </w:p>
          <w:p>
            <w:pPr>
              <w:spacing w:line="360" w:lineRule="auto"/>
              <w:jc w:val="center"/>
              <w:rPr>
                <w:rFonts w:hint="eastAsia" w:ascii="宋体" w:hAnsi="宋体" w:eastAsia="宋体" w:cs="宋体"/>
                <w:b/>
                <w:color w:val="000000"/>
              </w:rPr>
            </w:pPr>
            <w:r>
              <w:rPr>
                <w:rFonts w:hint="eastAsia" w:ascii="宋体" w:hAnsi="宋体" w:eastAsia="宋体" w:cs="宋体"/>
                <w:b/>
                <w:bCs/>
              </w:rPr>
              <w:t>（指令确认、产品成立资料提交、年金缴费及待遇支付、指令执行情况/账户流水/余额查询）</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010-58560666-8394/8758</w:t>
            </w:r>
          </w:p>
          <w:p>
            <w:pPr>
              <w:spacing w:line="360" w:lineRule="auto"/>
              <w:jc w:val="center"/>
              <w:rPr>
                <w:rFonts w:hint="eastAsia" w:ascii="宋体" w:hAnsi="宋体" w:eastAsia="宋体" w:cs="宋体"/>
              </w:rPr>
            </w:pPr>
            <w:r>
              <w:rPr>
                <w:rFonts w:hint="eastAsia" w:ascii="宋体" w:hAnsi="宋体" w:eastAsia="宋体" w:cs="宋体"/>
              </w:rPr>
              <w:t>010-58560700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color w:val="000000"/>
              </w:rPr>
            </w:pPr>
            <w:r>
              <w:rPr>
                <w:rFonts w:hint="eastAsia" w:ascii="宋体" w:hAnsi="宋体" w:eastAsia="宋体" w:cs="宋体"/>
                <w:b/>
                <w:color w:val="000000"/>
              </w:rPr>
              <w:t>清算业务公共邮箱</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mstgqingsuan@cmbc.com.cn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定期存款业务办理邮箱</w:t>
            </w:r>
          </w:p>
        </w:tc>
        <w:tc>
          <w:tcPr>
            <w:tcW w:w="4468" w:type="dxa"/>
            <w:gridSpan w:val="2"/>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mstgqs@cmbc.com.cn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jc w:val="center"/>
        </w:trPr>
        <w:tc>
          <w:tcPr>
            <w:tcW w:w="8916" w:type="dxa"/>
            <w:gridSpan w:val="4"/>
            <w:tcBorders>
              <w:top w:val="single" w:color="auto" w:sz="4" w:space="0"/>
              <w:left w:val="single" w:color="auto" w:sz="4" w:space="0"/>
              <w:bottom w:val="single" w:color="auto" w:sz="4" w:space="0"/>
              <w:right w:val="single" w:color="auto" w:sz="4" w:space="0"/>
            </w:tcBorders>
            <w:shd w:val="clear" w:color="auto" w:fill="D7D7D7"/>
            <w:vAlign w:val="center"/>
          </w:tcPr>
          <w:p>
            <w:pPr>
              <w:spacing w:line="360" w:lineRule="auto"/>
              <w:jc w:val="center"/>
              <w:rPr>
                <w:rFonts w:hint="eastAsia" w:ascii="宋体" w:hAnsi="宋体" w:eastAsia="宋体" w:cs="宋体"/>
                <w:b/>
                <w:bCs/>
              </w:rPr>
            </w:pPr>
            <w:r>
              <w:rPr>
                <w:rFonts w:hint="eastAsia" w:ascii="宋体" w:hAnsi="宋体" w:eastAsia="宋体" w:cs="宋体"/>
                <w:b/>
                <w:bCs/>
              </w:rPr>
              <w:t>核 算 业 务、报 表 报 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jc w:val="center"/>
        </w:trPr>
        <w:tc>
          <w:tcPr>
            <w:tcW w:w="444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hint="eastAsia" w:ascii="宋体" w:hAnsi="宋体" w:eastAsia="宋体" w:cs="宋体"/>
                <w:b/>
                <w:bCs/>
              </w:rPr>
            </w:pPr>
            <w:r>
              <w:rPr>
                <w:rFonts w:hint="eastAsia" w:ascii="宋体" w:hAnsi="宋体" w:eastAsia="宋体" w:cs="宋体"/>
                <w:b/>
                <w:bCs/>
              </w:rPr>
              <w:t>业务总联系人紧急联系电话</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rPr>
            </w:pPr>
            <w:r>
              <w:rPr>
                <w:rFonts w:hint="eastAsia" w:ascii="宋体" w:hAnsi="宋体" w:eastAsia="宋体" w:cs="宋体"/>
                <w:bCs/>
              </w:rPr>
              <w:t>010-57092370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jc w:val="center"/>
        </w:trPr>
        <w:tc>
          <w:tcPr>
            <w:tcW w:w="891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hint="eastAsia" w:ascii="宋体" w:hAnsi="宋体" w:eastAsia="宋体" w:cs="宋体"/>
                <w:b/>
                <w:bCs/>
              </w:rPr>
            </w:pPr>
            <w:r>
              <w:rPr>
                <w:rFonts w:hint="eastAsia" w:ascii="宋体" w:hAnsi="宋体" w:eastAsia="宋体" w:cs="宋体"/>
                <w:b/>
                <w:bCs/>
              </w:rPr>
              <w:t>核算业务-产品上线/交易数据维护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产品上线/下线</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010- 57092903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444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交易数据维护</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010-57093458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1755" w:type="dxa"/>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交易数据接收</w:t>
            </w:r>
          </w:p>
        </w:tc>
        <w:tc>
          <w:tcPr>
            <w:tcW w:w="26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rPr>
            </w:pPr>
            <w:r>
              <w:rPr>
                <w:rFonts w:hint="eastAsia" w:ascii="宋体" w:hAnsi="宋体" w:eastAsia="宋体" w:cs="宋体"/>
                <w:b/>
                <w:bCs/>
              </w:rPr>
              <w:t>深证通</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小站号k0241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jc w:val="center"/>
        </w:trPr>
        <w:tc>
          <w:tcPr>
            <w:tcW w:w="1755" w:type="dxa"/>
            <w:vMerge w:val="continue"/>
            <w:tcBorders>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rPr>
            </w:pPr>
          </w:p>
        </w:tc>
        <w:tc>
          <w:tcPr>
            <w:tcW w:w="26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rPr>
            </w:pPr>
            <w:r>
              <w:rPr>
                <w:rFonts w:hint="eastAsia" w:ascii="宋体" w:hAnsi="宋体" w:eastAsia="宋体" w:cs="宋体"/>
                <w:b/>
                <w:bCs/>
              </w:rPr>
              <w:t>邮箱</w:t>
            </w:r>
            <w:r>
              <w:rPr>
                <w:rFonts w:hint="eastAsia" w:ascii="宋体" w:hAnsi="宋体" w:eastAsia="宋体" w:cs="宋体"/>
                <w:b/>
              </w:rPr>
              <w:t>（仅用于紧急情况）</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hint="eastAsia" w:ascii="宋体" w:hAnsi="宋体" w:eastAsia="宋体" w:cs="宋体"/>
              </w:rPr>
            </w:pPr>
            <w:r>
              <w:rPr>
                <w:rFonts w:hint="eastAsia" w:ascii="宋体" w:hAnsi="宋体" w:eastAsia="宋体" w:cs="宋体"/>
              </w:rPr>
              <w:t>custody@cmbc.com.cn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891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pacing w:line="360" w:lineRule="auto"/>
              <w:jc w:val="center"/>
              <w:rPr>
                <w:rFonts w:hint="eastAsia" w:ascii="宋体" w:hAnsi="宋体" w:eastAsia="宋体" w:cs="宋体"/>
                <w:b/>
                <w:bCs/>
              </w:rPr>
            </w:pPr>
            <w:r>
              <w:rPr>
                <w:rFonts w:hint="eastAsia" w:ascii="宋体" w:hAnsi="宋体" w:eastAsia="宋体" w:cs="宋体"/>
                <w:b/>
                <w:bCs/>
              </w:rPr>
              <w:t>核算业务-估值处理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4448" w:type="dxa"/>
            <w:gridSpan w:val="2"/>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基金专户、信托、私募产品</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010-57092903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4448" w:type="dxa"/>
            <w:gridSpan w:val="2"/>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公募基金产品</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010-56362100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4448" w:type="dxa"/>
            <w:gridSpan w:val="2"/>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保险产品</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010-57092467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4448" w:type="dxa"/>
            <w:gridSpan w:val="2"/>
            <w:vMerge w:val="restart"/>
            <w:tcBorders>
              <w:left w:val="single" w:color="auto" w:sz="4" w:space="0"/>
              <w:right w:val="single" w:color="auto" w:sz="4" w:space="0"/>
            </w:tcBorders>
            <w:vAlign w:val="center"/>
          </w:tcPr>
          <w:p>
            <w:pPr>
              <w:widowControl/>
              <w:spacing w:line="360" w:lineRule="auto"/>
              <w:jc w:val="center"/>
              <w:rPr>
                <w:rFonts w:hint="eastAsia" w:ascii="宋体" w:hAnsi="宋体" w:eastAsia="宋体" w:cs="宋体"/>
                <w:b/>
                <w:bCs/>
              </w:rPr>
            </w:pPr>
            <w:r>
              <w:rPr>
                <w:rFonts w:hint="eastAsia" w:ascii="宋体" w:hAnsi="宋体" w:eastAsia="宋体" w:cs="宋体"/>
                <w:b/>
                <w:bCs/>
              </w:rPr>
              <w:t>年金产品</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010-57093446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4448" w:type="dxa"/>
            <w:gridSpan w:val="2"/>
            <w:vMerge w:val="continue"/>
            <w:tcBorders>
              <w:left w:val="single" w:color="auto" w:sz="4" w:space="0"/>
              <w:right w:val="single" w:color="auto" w:sz="4" w:space="0"/>
            </w:tcBorders>
            <w:vAlign w:val="center"/>
          </w:tcPr>
          <w:p>
            <w:pPr>
              <w:widowControl/>
              <w:spacing w:line="360" w:lineRule="auto"/>
              <w:jc w:val="center"/>
              <w:rPr>
                <w:rFonts w:hint="eastAsia" w:ascii="宋体" w:hAnsi="宋体" w:eastAsia="宋体" w:cs="宋体"/>
                <w:b/>
                <w:bCs/>
              </w:rPr>
            </w:pP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010-57093107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jc w:val="center"/>
        </w:trPr>
        <w:tc>
          <w:tcPr>
            <w:tcW w:w="4448" w:type="dxa"/>
            <w:gridSpan w:val="2"/>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券商、QDII产品</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 xml:space="preserve">010-57093127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 w:hRule="atLeast"/>
          <w:jc w:val="center"/>
        </w:trPr>
        <w:tc>
          <w:tcPr>
            <w:tcW w:w="4448" w:type="dxa"/>
            <w:gridSpan w:val="2"/>
            <w:vMerge w:val="continue"/>
            <w:tcBorders>
              <w:left w:val="single" w:color="auto" w:sz="4" w:space="0"/>
              <w:right w:val="single" w:color="auto" w:sz="4" w:space="0"/>
            </w:tcBorders>
            <w:vAlign w:val="center"/>
          </w:tcPr>
          <w:p>
            <w:pPr>
              <w:widowControl/>
              <w:spacing w:line="360" w:lineRule="auto"/>
              <w:jc w:val="left"/>
              <w:rPr>
                <w:rFonts w:hint="eastAsia" w:ascii="宋体" w:hAnsi="宋体" w:eastAsia="宋体" w:cs="宋体"/>
                <w:b/>
                <w:bCs/>
              </w:rPr>
            </w:pP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010-57093107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 w:hRule="atLeast"/>
          <w:jc w:val="center"/>
        </w:trPr>
        <w:tc>
          <w:tcPr>
            <w:tcW w:w="4448" w:type="dxa"/>
            <w:gridSpan w:val="2"/>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理财产品</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010-57093458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448" w:type="dxa"/>
            <w:gridSpan w:val="2"/>
            <w:vMerge w:val="restart"/>
            <w:tcBorders>
              <w:top w:val="single" w:color="auto" w:sz="4" w:space="0"/>
              <w:left w:val="single" w:color="auto" w:sz="4" w:space="0"/>
              <w:right w:val="single" w:color="auto" w:sz="4" w:space="0"/>
            </w:tcBorders>
            <w:vAlign w:val="center"/>
          </w:tcPr>
          <w:p>
            <w:pPr>
              <w:spacing w:line="360" w:lineRule="auto"/>
              <w:jc w:val="center"/>
              <w:rPr>
                <w:rFonts w:hint="eastAsia" w:ascii="宋体" w:hAnsi="宋体" w:eastAsia="宋体" w:cs="宋体"/>
                <w:b/>
                <w:color w:val="000000"/>
              </w:rPr>
            </w:pPr>
            <w:r>
              <w:rPr>
                <w:rFonts w:hint="eastAsia" w:ascii="宋体" w:hAnsi="宋体" w:eastAsia="宋体" w:cs="宋体"/>
                <w:b/>
                <w:color w:val="000000"/>
              </w:rPr>
              <w:t>对账单/核算报表</w:t>
            </w:r>
          </w:p>
          <w:p>
            <w:pPr>
              <w:spacing w:line="360" w:lineRule="auto"/>
              <w:jc w:val="center"/>
              <w:rPr>
                <w:rFonts w:hint="eastAsia" w:ascii="宋体" w:hAnsi="宋体" w:eastAsia="宋体" w:cs="宋体"/>
                <w:b/>
                <w:bCs/>
              </w:rPr>
            </w:pPr>
            <w:r>
              <w:rPr>
                <w:rFonts w:hint="eastAsia" w:ascii="宋体" w:hAnsi="宋体" w:eastAsia="宋体" w:cs="宋体"/>
                <w:b/>
                <w:color w:val="000000"/>
              </w:rPr>
              <w:t>接收对账单/核算</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传真</w:t>
            </w:r>
          </w:p>
        </w:tc>
        <w:tc>
          <w:tcPr>
            <w:tcW w:w="290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hint="eastAsia" w:ascii="宋体" w:hAnsi="宋体" w:eastAsia="宋体" w:cs="宋体"/>
              </w:rPr>
            </w:pPr>
            <w:r>
              <w:rPr>
                <w:rFonts w:hint="eastAsia" w:ascii="宋体" w:hAnsi="宋体" w:eastAsia="宋体" w:cs="宋体"/>
              </w:rPr>
              <w:t>010-56368340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4448" w:type="dxa"/>
            <w:gridSpan w:val="2"/>
            <w:vMerge w:val="continue"/>
            <w:tcBorders>
              <w:left w:val="single" w:color="auto" w:sz="4" w:space="0"/>
              <w:right w:val="single" w:color="auto" w:sz="4" w:space="0"/>
            </w:tcBorders>
            <w:vAlign w:val="center"/>
          </w:tcPr>
          <w:p>
            <w:pPr>
              <w:spacing w:line="360" w:lineRule="auto"/>
              <w:jc w:val="center"/>
              <w:rPr>
                <w:rFonts w:hint="eastAsia" w:ascii="宋体" w:hAnsi="宋体" w:eastAsia="宋体" w:cs="宋体"/>
                <w:b/>
                <w:bCs/>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bCs/>
              </w:rPr>
            </w:pPr>
            <w:r>
              <w:rPr>
                <w:rFonts w:hint="eastAsia" w:ascii="宋体" w:hAnsi="宋体" w:eastAsia="宋体" w:cs="宋体"/>
                <w:b/>
                <w:bCs/>
              </w:rPr>
              <w:t>邮箱</w:t>
            </w:r>
          </w:p>
        </w:tc>
        <w:tc>
          <w:tcPr>
            <w:tcW w:w="2909"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hint="eastAsia" w:ascii="宋体" w:hAnsi="宋体" w:eastAsia="宋体" w:cs="宋体"/>
              </w:rPr>
            </w:pPr>
            <w:r>
              <w:rPr>
                <w:rFonts w:hint="eastAsia" w:ascii="宋体" w:hAnsi="宋体" w:eastAsia="宋体" w:cs="宋体"/>
              </w:rPr>
              <w:t>mstghesuan@cmbc.com.cn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8916" w:type="dxa"/>
            <w:gridSpan w:val="4"/>
            <w:tcBorders>
              <w:left w:val="single" w:color="auto" w:sz="4" w:space="0"/>
              <w:right w:val="single" w:color="auto" w:sz="4" w:space="0"/>
            </w:tcBorders>
            <w:shd w:val="clear" w:color="auto" w:fill="D0CECE"/>
            <w:vAlign w:val="center"/>
          </w:tcPr>
          <w:p>
            <w:pPr>
              <w:spacing w:line="360" w:lineRule="auto"/>
              <w:jc w:val="center"/>
              <w:rPr>
                <w:rFonts w:hint="eastAsia" w:ascii="宋体" w:hAnsi="宋体" w:eastAsia="宋体" w:cs="宋体"/>
                <w:b/>
                <w:bCs/>
              </w:rPr>
            </w:pPr>
            <w:r>
              <w:rPr>
                <w:rFonts w:hint="eastAsia" w:ascii="宋体" w:hAnsi="宋体" w:eastAsia="宋体" w:cs="宋体"/>
                <w:b/>
                <w:bCs/>
              </w:rPr>
              <w:t>投资监督、信息披露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 w:hRule="atLeast"/>
          <w:jc w:val="center"/>
        </w:trPr>
        <w:tc>
          <w:tcPr>
            <w:tcW w:w="4448" w:type="dxa"/>
            <w:gridSpan w:val="2"/>
            <w:tcBorders>
              <w:left w:val="single" w:color="auto" w:sz="4" w:space="0"/>
              <w:right w:val="single" w:color="auto" w:sz="4" w:space="0"/>
            </w:tcBorders>
            <w:vAlign w:val="center"/>
          </w:tcPr>
          <w:p>
            <w:pPr>
              <w:autoSpaceDE w:val="0"/>
              <w:autoSpaceDN w:val="0"/>
              <w:spacing w:line="360" w:lineRule="auto"/>
              <w:jc w:val="center"/>
              <w:rPr>
                <w:rFonts w:hint="eastAsia" w:ascii="宋体" w:hAnsi="宋体" w:eastAsia="宋体" w:cs="宋体"/>
                <w:b/>
                <w:bCs/>
              </w:rPr>
            </w:pPr>
            <w:r>
              <w:rPr>
                <w:rFonts w:hint="eastAsia" w:ascii="宋体" w:hAnsi="宋体" w:eastAsia="宋体" w:cs="宋体"/>
                <w:b/>
                <w:bCs/>
              </w:rPr>
              <w:t>业务联系人</w:t>
            </w:r>
          </w:p>
        </w:tc>
        <w:tc>
          <w:tcPr>
            <w:tcW w:w="4468" w:type="dxa"/>
            <w:gridSpan w:val="2"/>
            <w:tcBorders>
              <w:left w:val="single" w:color="auto" w:sz="4" w:space="0"/>
              <w:right w:val="single" w:color="auto" w:sz="4" w:space="0"/>
            </w:tcBorders>
            <w:vAlign w:val="center"/>
          </w:tcPr>
          <w:p>
            <w:pPr>
              <w:spacing w:line="360" w:lineRule="auto"/>
              <w:jc w:val="center"/>
              <w:rPr>
                <w:rFonts w:hint="eastAsia" w:ascii="宋体" w:hAnsi="宋体" w:eastAsia="宋体" w:cs="宋体"/>
              </w:rPr>
            </w:pPr>
            <w:r>
              <w:rPr>
                <w:rFonts w:hint="eastAsia" w:ascii="宋体" w:hAnsi="宋体" w:eastAsia="宋体" w:cs="宋体"/>
              </w:rPr>
              <w:t>010-58560666-8128、010-58560798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8916" w:type="dxa"/>
            <w:gridSpan w:val="4"/>
            <w:tcBorders>
              <w:left w:val="single" w:color="auto" w:sz="4" w:space="0"/>
              <w:right w:val="single" w:color="auto" w:sz="4" w:space="0"/>
            </w:tcBorders>
            <w:shd w:val="clear" w:color="auto" w:fill="D0CECE"/>
            <w:vAlign w:val="center"/>
          </w:tcPr>
          <w:p>
            <w:pPr>
              <w:spacing w:line="360" w:lineRule="auto"/>
              <w:jc w:val="center"/>
              <w:rPr>
                <w:rFonts w:hint="eastAsia" w:ascii="宋体" w:hAnsi="宋体" w:eastAsia="宋体" w:cs="宋体"/>
              </w:rPr>
            </w:pPr>
            <w:r>
              <w:rPr>
                <w:rFonts w:hint="eastAsia" w:ascii="宋体" w:hAnsi="宋体" w:eastAsia="宋体" w:cs="宋体"/>
                <w:b/>
                <w:bCs/>
              </w:rPr>
              <w:t>科技支持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 w:hRule="atLeast"/>
          <w:jc w:val="center"/>
        </w:trPr>
        <w:tc>
          <w:tcPr>
            <w:tcW w:w="4448" w:type="dxa"/>
            <w:gridSpan w:val="2"/>
            <w:tcBorders>
              <w:left w:val="single" w:color="auto" w:sz="4" w:space="0"/>
              <w:right w:val="single" w:color="auto" w:sz="4" w:space="0"/>
            </w:tcBorders>
            <w:vAlign w:val="center"/>
          </w:tcPr>
          <w:p>
            <w:pPr>
              <w:spacing w:line="360" w:lineRule="auto"/>
              <w:jc w:val="center"/>
              <w:rPr>
                <w:rFonts w:hint="eastAsia" w:ascii="宋体" w:hAnsi="宋体" w:eastAsia="宋体" w:cs="宋体"/>
                <w:bCs/>
              </w:rPr>
            </w:pPr>
            <w:r>
              <w:rPr>
                <w:rFonts w:hint="eastAsia" w:ascii="宋体" w:hAnsi="宋体" w:eastAsia="宋体" w:cs="宋体"/>
                <w:b/>
                <w:bCs/>
              </w:rPr>
              <w:t>业务联系人</w:t>
            </w:r>
          </w:p>
        </w:tc>
        <w:tc>
          <w:tcPr>
            <w:tcW w:w="44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Cs/>
              </w:rPr>
            </w:pPr>
            <w:r>
              <w:rPr>
                <w:rFonts w:hint="eastAsia" w:ascii="宋体" w:hAnsi="宋体" w:eastAsia="宋体" w:cs="宋体"/>
                <w:bCs/>
              </w:rPr>
              <w:t>010-57093301</w:t>
            </w:r>
            <w:r>
              <w:rPr>
                <w:rFonts w:hint="eastAsia" w:ascii="宋体" w:hAnsi="宋体" w:eastAsia="宋体" w:cs="宋体"/>
              </w:rPr>
              <w:t>、010-57092379</w:t>
            </w:r>
          </w:p>
        </w:tc>
      </w:tr>
    </w:tbl>
    <w:p>
      <w:pPr>
        <w:widowControl/>
        <w:spacing w:line="360" w:lineRule="auto"/>
        <w:ind w:firstLine="420" w:firstLineChars="200"/>
        <w:rPr>
          <w:rFonts w:hint="eastAsia" w:ascii="宋体" w:hAnsi="宋体" w:eastAsia="宋体" w:cs="宋体"/>
        </w:rPr>
      </w:pPr>
      <w:r>
        <w:rPr>
          <w:rFonts w:hint="eastAsia" w:ascii="宋体" w:hAnsi="宋体" w:eastAsia="宋体" w:cs="宋体"/>
        </w:rPr>
        <w:t>注：1、所有数据请压缩成压缩包，文件命名格式为【产品名称yyyymmdd.rar/zip】，其中yyyymmdd为8位数日期，数据表示交易日期。</w:t>
      </w:r>
    </w:p>
    <w:p>
      <w:pPr>
        <w:widowControl/>
        <w:spacing w:line="360" w:lineRule="auto"/>
        <w:ind w:firstLine="420" w:firstLineChars="200"/>
        <w:rPr>
          <w:rFonts w:hint="eastAsia" w:ascii="宋体" w:hAnsi="宋体" w:eastAsia="宋体" w:cs="宋体"/>
        </w:rPr>
      </w:pPr>
      <w:r>
        <w:rPr>
          <w:rFonts w:hint="eastAsia" w:ascii="宋体" w:hAnsi="宋体" w:eastAsia="宋体" w:cs="宋体"/>
        </w:rPr>
        <w:t>2、对账单如选择邮箱发送邮件名称为【对账单-产品名称yyyymmdd】，其中yyyymmdd为8位数日期，数据表示交易日期。</w:t>
      </w:r>
    </w:p>
    <w:p>
      <w:pPr>
        <w:tabs>
          <w:tab w:val="left" w:pos="2281"/>
          <w:tab w:val="center" w:pos="4214"/>
        </w:tabs>
        <w:spacing w:line="360" w:lineRule="auto"/>
        <w:jc w:val="center"/>
        <w:rPr>
          <w:rFonts w:hint="eastAsia" w:ascii="宋体" w:hAnsi="宋体" w:eastAsia="宋体" w:cs="宋体"/>
          <w:sz w:val="24"/>
          <w:szCs w:val="24"/>
          <w:u w:val="single"/>
          <w:shd w:val="clear" w:color="FFFFFF" w:fill="D9D9D9"/>
        </w:rPr>
      </w:pPr>
      <w:r>
        <w:rPr>
          <w:rFonts w:hint="eastAsia" w:ascii="宋体" w:hAnsi="宋体" w:eastAsia="宋体" w:cs="宋体"/>
          <w:sz w:val="24"/>
          <w:szCs w:val="24"/>
          <w:u w:val="single"/>
          <w:shd w:val="clear" w:color="FFFFFF" w:fill="D9D9D9"/>
        </w:rPr>
        <w:fldChar w:fldCharType="end"/>
      </w:r>
    </w:p>
    <w:p>
      <w:pPr>
        <w:tabs>
          <w:tab w:val="left" w:pos="1455"/>
        </w:tabs>
        <w:spacing w:line="420" w:lineRule="exact"/>
        <w:ind w:left="424" w:leftChars="202" w:right="451" w:rightChars="215" w:firstLine="480" w:firstLineChars="200"/>
        <w:jc w:val="right"/>
        <w:rPr>
          <w:rFonts w:hint="eastAsia" w:ascii="宋体" w:hAnsi="宋体" w:eastAsia="宋体" w:cs="宋体"/>
          <w:sz w:val="24"/>
          <w:szCs w:val="20"/>
          <w:lang w:val="en-US" w:eastAsia="zh-CN"/>
        </w:rPr>
      </w:pPr>
    </w:p>
    <w:sectPr>
      <w:pgSz w:w="11849" w:h="16781"/>
      <w:pgMar w:top="1440" w:right="1803" w:bottom="1440" w:left="1803" w:header="850"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auto"/>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right="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0">
                      <a:spAutoFit/>
                    </wps:bodyPr>
                  </wps:wsp>
                </a:graphicData>
              </a:graphic>
            </wp:anchor>
          </w:drawing>
        </mc:Choice>
        <mc:Fallback>
          <w:pict>
            <v:shape id="文本框3"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R&#10;7hBStwEAAFMDAAAOAAAAAAAAAAEAIAAAAB4BAABkcnMvZTJvRG9jLnhtbFBLBQYAAAAABgAGAFkB&#10;AABH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48285" cy="131445"/>
              <wp:effectExtent l="0" t="0" r="0" b="0"/>
              <wp:wrapNone/>
              <wp:docPr id="7" name="文本框3"/>
              <wp:cNvGraphicFramePr/>
              <a:graphic xmlns:a="http://schemas.openxmlformats.org/drawingml/2006/main">
                <a:graphicData uri="http://schemas.microsoft.com/office/word/2010/wordprocessingShape">
                  <wps:wsp>
                    <wps:cNvSpPr txBox="1"/>
                    <wps:spPr>
                      <a:xfrm>
                        <a:off x="0" y="0"/>
                        <a:ext cx="248285" cy="131445"/>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square" lIns="0" tIns="0" rIns="0" bIns="0" upright="0">
                      <a:spAutoFit/>
                    </wps:bodyPr>
                  </wps:wsp>
                </a:graphicData>
              </a:graphic>
            </wp:anchor>
          </w:drawing>
        </mc:Choice>
        <mc:Fallback>
          <w:pict>
            <v:shape id="文本框3" o:spid="_x0000_s1026" o:spt="202" type="#_x0000_t202" style="position:absolute;left:0pt;margin-top:0pt;height:10.35pt;width:19.55pt;mso-position-horizontal:center;mso-position-horizontal-relative:margin;z-index:251659264;mso-width-relative:page;mso-height-relative:page;" filled="f" stroked="f" coordsize="21600,21600" o:gfxdata="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1tssLSAAAAAwEAAA8AAAAAAAAAAQAgAAAAIgAAAGRycy9kb3ducmV2LnhtbFBLAQIUABQA&#10;AAAIAIdO4kDReelfvQEAAFMDAAAOAAAAAAAAAAEAIAAAACEBAABkcnMvZTJvRG9jLnhtbFBLBQYA&#10;AAAABgAGAFkBAABQ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tentative="0">
      <w:start w:val="2"/>
      <w:numFmt w:val="decimal"/>
      <w:suff w:val="nothing"/>
      <w:lvlText w:val="（%1）"/>
      <w:lvlJc w:val="left"/>
    </w:lvl>
  </w:abstractNum>
  <w:abstractNum w:abstractNumId="1">
    <w:nsid w:val="00000007"/>
    <w:multiLevelType w:val="multilevel"/>
    <w:tmpl w:val="0000000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9"/>
    <w:multiLevelType w:val="singleLevel"/>
    <w:tmpl w:val="00000009"/>
    <w:lvl w:ilvl="0" w:tentative="0">
      <w:start w:val="3"/>
      <w:numFmt w:val="decimal"/>
      <w:suff w:val="nothing"/>
      <w:lvlText w:val="（%1）"/>
      <w:lvlJc w:val="left"/>
    </w:lvl>
  </w:abstractNum>
  <w:abstractNum w:abstractNumId="3">
    <w:nsid w:val="0000000B"/>
    <w:multiLevelType w:val="singleLevel"/>
    <w:tmpl w:val="0000000B"/>
    <w:lvl w:ilvl="0" w:tentative="0">
      <w:start w:val="2"/>
      <w:numFmt w:val="decimal"/>
      <w:suff w:val="nothing"/>
      <w:lvlText w:val="（%1）"/>
      <w:lvlJc w:val="left"/>
    </w:lvl>
  </w:abstractNum>
  <w:abstractNum w:abstractNumId="4">
    <w:nsid w:val="0000000E"/>
    <w:multiLevelType w:val="singleLevel"/>
    <w:tmpl w:val="0000000E"/>
    <w:lvl w:ilvl="0" w:tentative="0">
      <w:start w:val="3"/>
      <w:numFmt w:val="decimal"/>
      <w:suff w:val="nothing"/>
      <w:lvlText w:val="（%1）"/>
      <w:lvlJc w:val="left"/>
    </w:lvl>
  </w:abstractNum>
  <w:abstractNum w:abstractNumId="5">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0000010"/>
    <w:multiLevelType w:val="singleLevel"/>
    <w:tmpl w:val="00000010"/>
    <w:lvl w:ilvl="0" w:tentative="0">
      <w:start w:val="1"/>
      <w:numFmt w:val="decimal"/>
      <w:suff w:val="nothing"/>
      <w:lvlText w:val="（%1）"/>
      <w:lvlJc w:val="left"/>
    </w:lvl>
  </w:abstractNum>
  <w:abstractNum w:abstractNumId="7">
    <w:nsid w:val="60B0A684"/>
    <w:multiLevelType w:val="singleLevel"/>
    <w:tmpl w:val="60B0A684"/>
    <w:lvl w:ilvl="0" w:tentative="0">
      <w:start w:val="2"/>
      <w:numFmt w:val="decimal"/>
      <w:suff w:val="nothing"/>
      <w:lvlText w:val="%1、"/>
      <w:lvlJc w:val="left"/>
    </w:lvl>
  </w:abstractNum>
  <w:num w:numId="1">
    <w:abstractNumId w:val="1"/>
  </w:num>
  <w:num w:numId="2">
    <w:abstractNumId w:val="4"/>
  </w:num>
  <w:num w:numId="3">
    <w:abstractNumId w:val="6"/>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hyphenationZone w:val="360"/>
  <w:drawingGridHorizontalSpacing w:val="0"/>
  <w:drawingGridVerticalSpacing w:val="156"/>
  <w:displayHorizontalDrawingGridEvery w:val="0"/>
  <w:displayVerticalDrawingGridEvery w:val="2"/>
  <w:doNotShadeFormData w:val="1"/>
  <w:characterSpacingControl w:val="compressPunctuation"/>
  <w:noLineBreaksAfter w:lang="zh-CN" w:val="([{·‘“〈《「『【〔〖（．［｛￡￥"/>
  <w:noLineBreaksBefore w:lang="zh-CN" w:val="!),.:;?]}¨·ˇˉ―‖’”…∶、。〃々〉》」』】〕〗！＂＇），．：；？］｀｜｝～￠"/>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D89"/>
    <w:rsid w:val="000069D6"/>
    <w:rsid w:val="00007DED"/>
    <w:rsid w:val="00013260"/>
    <w:rsid w:val="0002765D"/>
    <w:rsid w:val="00027BDF"/>
    <w:rsid w:val="00051DCB"/>
    <w:rsid w:val="0005785D"/>
    <w:rsid w:val="00076CD6"/>
    <w:rsid w:val="000940B2"/>
    <w:rsid w:val="0009412B"/>
    <w:rsid w:val="00095F5B"/>
    <w:rsid w:val="000A2D63"/>
    <w:rsid w:val="000B3310"/>
    <w:rsid w:val="000C219B"/>
    <w:rsid w:val="000D1A59"/>
    <w:rsid w:val="000D4DDD"/>
    <w:rsid w:val="000F0F92"/>
    <w:rsid w:val="000F67E6"/>
    <w:rsid w:val="000F7782"/>
    <w:rsid w:val="001035C8"/>
    <w:rsid w:val="0010731E"/>
    <w:rsid w:val="00115829"/>
    <w:rsid w:val="00134071"/>
    <w:rsid w:val="001378DB"/>
    <w:rsid w:val="00150D28"/>
    <w:rsid w:val="001537DB"/>
    <w:rsid w:val="00157902"/>
    <w:rsid w:val="0016281F"/>
    <w:rsid w:val="00165E43"/>
    <w:rsid w:val="001671E2"/>
    <w:rsid w:val="001739E2"/>
    <w:rsid w:val="00187F7C"/>
    <w:rsid w:val="001B1488"/>
    <w:rsid w:val="001C2E75"/>
    <w:rsid w:val="001C5CD3"/>
    <w:rsid w:val="001D75CA"/>
    <w:rsid w:val="001D79D1"/>
    <w:rsid w:val="001F02F4"/>
    <w:rsid w:val="001F518C"/>
    <w:rsid w:val="0020639C"/>
    <w:rsid w:val="002215D8"/>
    <w:rsid w:val="00222C2F"/>
    <w:rsid w:val="00233327"/>
    <w:rsid w:val="00236071"/>
    <w:rsid w:val="00240AAE"/>
    <w:rsid w:val="002424BF"/>
    <w:rsid w:val="002465E4"/>
    <w:rsid w:val="00251A0C"/>
    <w:rsid w:val="00255C24"/>
    <w:rsid w:val="002A1A83"/>
    <w:rsid w:val="002B0863"/>
    <w:rsid w:val="002C0D31"/>
    <w:rsid w:val="002C3E38"/>
    <w:rsid w:val="002F27F5"/>
    <w:rsid w:val="0031509C"/>
    <w:rsid w:val="00341014"/>
    <w:rsid w:val="00357BF6"/>
    <w:rsid w:val="00360862"/>
    <w:rsid w:val="00361B79"/>
    <w:rsid w:val="003A04A5"/>
    <w:rsid w:val="003A5D5D"/>
    <w:rsid w:val="003B08B4"/>
    <w:rsid w:val="003B5BA1"/>
    <w:rsid w:val="003D0E3E"/>
    <w:rsid w:val="003D35A7"/>
    <w:rsid w:val="003E6B6D"/>
    <w:rsid w:val="0042455D"/>
    <w:rsid w:val="0042500D"/>
    <w:rsid w:val="0042543E"/>
    <w:rsid w:val="00426709"/>
    <w:rsid w:val="00450114"/>
    <w:rsid w:val="00453FC2"/>
    <w:rsid w:val="00462644"/>
    <w:rsid w:val="00470FE0"/>
    <w:rsid w:val="00482A1A"/>
    <w:rsid w:val="00483FF3"/>
    <w:rsid w:val="004909B9"/>
    <w:rsid w:val="0049473E"/>
    <w:rsid w:val="004A7EDA"/>
    <w:rsid w:val="004B3CB0"/>
    <w:rsid w:val="004B4850"/>
    <w:rsid w:val="004D0073"/>
    <w:rsid w:val="004D09E1"/>
    <w:rsid w:val="004E416C"/>
    <w:rsid w:val="004F1B04"/>
    <w:rsid w:val="004F5BD5"/>
    <w:rsid w:val="00507ED4"/>
    <w:rsid w:val="005456B4"/>
    <w:rsid w:val="00551057"/>
    <w:rsid w:val="00554636"/>
    <w:rsid w:val="00573F50"/>
    <w:rsid w:val="00583073"/>
    <w:rsid w:val="00585B2D"/>
    <w:rsid w:val="005B361B"/>
    <w:rsid w:val="005C647D"/>
    <w:rsid w:val="005D1EC0"/>
    <w:rsid w:val="005E043E"/>
    <w:rsid w:val="005E176C"/>
    <w:rsid w:val="005E467A"/>
    <w:rsid w:val="005F033C"/>
    <w:rsid w:val="005F34DE"/>
    <w:rsid w:val="00600ECC"/>
    <w:rsid w:val="0060572D"/>
    <w:rsid w:val="00612813"/>
    <w:rsid w:val="0062678F"/>
    <w:rsid w:val="00640768"/>
    <w:rsid w:val="00647207"/>
    <w:rsid w:val="0067189C"/>
    <w:rsid w:val="00671C24"/>
    <w:rsid w:val="00687CAE"/>
    <w:rsid w:val="00695E3C"/>
    <w:rsid w:val="006960BC"/>
    <w:rsid w:val="006975A2"/>
    <w:rsid w:val="006A06D8"/>
    <w:rsid w:val="006A593A"/>
    <w:rsid w:val="006B05EA"/>
    <w:rsid w:val="006B0BFC"/>
    <w:rsid w:val="006B211E"/>
    <w:rsid w:val="006B2D6E"/>
    <w:rsid w:val="006C66EA"/>
    <w:rsid w:val="00705EF2"/>
    <w:rsid w:val="00706772"/>
    <w:rsid w:val="007122F2"/>
    <w:rsid w:val="007126C5"/>
    <w:rsid w:val="00713AE2"/>
    <w:rsid w:val="0071708B"/>
    <w:rsid w:val="0073063B"/>
    <w:rsid w:val="007335E8"/>
    <w:rsid w:val="00744B84"/>
    <w:rsid w:val="00744D38"/>
    <w:rsid w:val="007571DE"/>
    <w:rsid w:val="007600F6"/>
    <w:rsid w:val="007764FA"/>
    <w:rsid w:val="00787333"/>
    <w:rsid w:val="0079599A"/>
    <w:rsid w:val="007A0216"/>
    <w:rsid w:val="007A3E4F"/>
    <w:rsid w:val="007B6E1F"/>
    <w:rsid w:val="007C2642"/>
    <w:rsid w:val="007E1FBC"/>
    <w:rsid w:val="007E632B"/>
    <w:rsid w:val="007E662E"/>
    <w:rsid w:val="00821D70"/>
    <w:rsid w:val="00823307"/>
    <w:rsid w:val="0084448D"/>
    <w:rsid w:val="0085343C"/>
    <w:rsid w:val="00860A51"/>
    <w:rsid w:val="00862247"/>
    <w:rsid w:val="008818F3"/>
    <w:rsid w:val="008938C2"/>
    <w:rsid w:val="008A507F"/>
    <w:rsid w:val="008B1940"/>
    <w:rsid w:val="008B7274"/>
    <w:rsid w:val="008B78DD"/>
    <w:rsid w:val="008D4C4A"/>
    <w:rsid w:val="008E26F0"/>
    <w:rsid w:val="008F0D16"/>
    <w:rsid w:val="008F2989"/>
    <w:rsid w:val="008F6008"/>
    <w:rsid w:val="009071F5"/>
    <w:rsid w:val="0090783E"/>
    <w:rsid w:val="0091085D"/>
    <w:rsid w:val="009171CC"/>
    <w:rsid w:val="00921B58"/>
    <w:rsid w:val="00923AE7"/>
    <w:rsid w:val="00934D7D"/>
    <w:rsid w:val="00936E69"/>
    <w:rsid w:val="00952E76"/>
    <w:rsid w:val="009678D9"/>
    <w:rsid w:val="00970ECE"/>
    <w:rsid w:val="00981E61"/>
    <w:rsid w:val="009A5E17"/>
    <w:rsid w:val="009B3B11"/>
    <w:rsid w:val="009E2FE2"/>
    <w:rsid w:val="009E70BE"/>
    <w:rsid w:val="00A315F9"/>
    <w:rsid w:val="00A40CF7"/>
    <w:rsid w:val="00A472F5"/>
    <w:rsid w:val="00A5565F"/>
    <w:rsid w:val="00A64B33"/>
    <w:rsid w:val="00A66186"/>
    <w:rsid w:val="00A710A6"/>
    <w:rsid w:val="00A84418"/>
    <w:rsid w:val="00A917F3"/>
    <w:rsid w:val="00AC0A24"/>
    <w:rsid w:val="00AC4727"/>
    <w:rsid w:val="00AD10FD"/>
    <w:rsid w:val="00AD17CD"/>
    <w:rsid w:val="00AD4D6E"/>
    <w:rsid w:val="00AE4AC2"/>
    <w:rsid w:val="00AF1C25"/>
    <w:rsid w:val="00AF5CC6"/>
    <w:rsid w:val="00AF6A28"/>
    <w:rsid w:val="00B14FC3"/>
    <w:rsid w:val="00B22FDF"/>
    <w:rsid w:val="00B33082"/>
    <w:rsid w:val="00B45447"/>
    <w:rsid w:val="00B778EC"/>
    <w:rsid w:val="00B80F03"/>
    <w:rsid w:val="00B82194"/>
    <w:rsid w:val="00B9032C"/>
    <w:rsid w:val="00B92A20"/>
    <w:rsid w:val="00BB164F"/>
    <w:rsid w:val="00BB3FE5"/>
    <w:rsid w:val="00BB5734"/>
    <w:rsid w:val="00BC2433"/>
    <w:rsid w:val="00BE1789"/>
    <w:rsid w:val="00BE39DB"/>
    <w:rsid w:val="00C000E5"/>
    <w:rsid w:val="00C03D3D"/>
    <w:rsid w:val="00C16153"/>
    <w:rsid w:val="00C225EF"/>
    <w:rsid w:val="00C26A55"/>
    <w:rsid w:val="00C30CCD"/>
    <w:rsid w:val="00C33248"/>
    <w:rsid w:val="00C33AD4"/>
    <w:rsid w:val="00C41B38"/>
    <w:rsid w:val="00C77ED5"/>
    <w:rsid w:val="00C815E7"/>
    <w:rsid w:val="00C8725E"/>
    <w:rsid w:val="00C90513"/>
    <w:rsid w:val="00C967C5"/>
    <w:rsid w:val="00CA1A51"/>
    <w:rsid w:val="00CA3795"/>
    <w:rsid w:val="00CA595A"/>
    <w:rsid w:val="00CA7A36"/>
    <w:rsid w:val="00CB1F07"/>
    <w:rsid w:val="00CB1FE7"/>
    <w:rsid w:val="00CB3184"/>
    <w:rsid w:val="00CD44E5"/>
    <w:rsid w:val="00CE25D3"/>
    <w:rsid w:val="00D0338E"/>
    <w:rsid w:val="00D06AEC"/>
    <w:rsid w:val="00D1229A"/>
    <w:rsid w:val="00D442FD"/>
    <w:rsid w:val="00D46D39"/>
    <w:rsid w:val="00D55CED"/>
    <w:rsid w:val="00D56916"/>
    <w:rsid w:val="00D764FB"/>
    <w:rsid w:val="00D90B1B"/>
    <w:rsid w:val="00D924C8"/>
    <w:rsid w:val="00D95476"/>
    <w:rsid w:val="00DA3960"/>
    <w:rsid w:val="00DA51DD"/>
    <w:rsid w:val="00DA7874"/>
    <w:rsid w:val="00DC21A4"/>
    <w:rsid w:val="00DC3685"/>
    <w:rsid w:val="00DC5023"/>
    <w:rsid w:val="00DE24EA"/>
    <w:rsid w:val="00DF12F4"/>
    <w:rsid w:val="00E3183D"/>
    <w:rsid w:val="00E3371B"/>
    <w:rsid w:val="00E37929"/>
    <w:rsid w:val="00E467F1"/>
    <w:rsid w:val="00E51E0C"/>
    <w:rsid w:val="00E64484"/>
    <w:rsid w:val="00E71916"/>
    <w:rsid w:val="00E802BE"/>
    <w:rsid w:val="00E8456E"/>
    <w:rsid w:val="00E852CB"/>
    <w:rsid w:val="00E92C58"/>
    <w:rsid w:val="00EC13E8"/>
    <w:rsid w:val="00EC1CC9"/>
    <w:rsid w:val="00ED1E38"/>
    <w:rsid w:val="00EF1777"/>
    <w:rsid w:val="00EF2FEE"/>
    <w:rsid w:val="00F128AE"/>
    <w:rsid w:val="00F17B48"/>
    <w:rsid w:val="00F260F5"/>
    <w:rsid w:val="00F73988"/>
    <w:rsid w:val="00FA0332"/>
    <w:rsid w:val="00FA26D6"/>
    <w:rsid w:val="00FA4343"/>
    <w:rsid w:val="00FB3348"/>
    <w:rsid w:val="00FD6238"/>
    <w:rsid w:val="00FD688E"/>
    <w:rsid w:val="00FF46A3"/>
    <w:rsid w:val="00FF653E"/>
    <w:rsid w:val="027C7D4C"/>
    <w:rsid w:val="03AE7EFB"/>
    <w:rsid w:val="03CE4213"/>
    <w:rsid w:val="05CD79F9"/>
    <w:rsid w:val="05F65C4B"/>
    <w:rsid w:val="07184431"/>
    <w:rsid w:val="08D40C3A"/>
    <w:rsid w:val="0B1D3889"/>
    <w:rsid w:val="0E28153A"/>
    <w:rsid w:val="0E482C90"/>
    <w:rsid w:val="0E93244B"/>
    <w:rsid w:val="11006FE5"/>
    <w:rsid w:val="12012A66"/>
    <w:rsid w:val="1216260D"/>
    <w:rsid w:val="12AB6088"/>
    <w:rsid w:val="13E548E3"/>
    <w:rsid w:val="14044B06"/>
    <w:rsid w:val="14486893"/>
    <w:rsid w:val="14C318D0"/>
    <w:rsid w:val="15711C5B"/>
    <w:rsid w:val="1697263B"/>
    <w:rsid w:val="16DD22FB"/>
    <w:rsid w:val="17B1165D"/>
    <w:rsid w:val="18532F98"/>
    <w:rsid w:val="19C736CA"/>
    <w:rsid w:val="1D8F61A3"/>
    <w:rsid w:val="1DA5588B"/>
    <w:rsid w:val="1E2A5311"/>
    <w:rsid w:val="1E7C2525"/>
    <w:rsid w:val="1EB14A97"/>
    <w:rsid w:val="1F8A66B2"/>
    <w:rsid w:val="1FEA7480"/>
    <w:rsid w:val="20BA6F9E"/>
    <w:rsid w:val="20CD5822"/>
    <w:rsid w:val="218811A8"/>
    <w:rsid w:val="21EA4B99"/>
    <w:rsid w:val="22A94EF8"/>
    <w:rsid w:val="23BF59CB"/>
    <w:rsid w:val="25E741B3"/>
    <w:rsid w:val="272050D8"/>
    <w:rsid w:val="28E03BF2"/>
    <w:rsid w:val="28F81F60"/>
    <w:rsid w:val="29C13481"/>
    <w:rsid w:val="2A2013AF"/>
    <w:rsid w:val="2A8765BF"/>
    <w:rsid w:val="2B006AF6"/>
    <w:rsid w:val="2C835893"/>
    <w:rsid w:val="2CC86846"/>
    <w:rsid w:val="2D5F56DF"/>
    <w:rsid w:val="2F020E97"/>
    <w:rsid w:val="31AD4980"/>
    <w:rsid w:val="326E0266"/>
    <w:rsid w:val="339869B3"/>
    <w:rsid w:val="36C30C50"/>
    <w:rsid w:val="36E75C02"/>
    <w:rsid w:val="380C4A1C"/>
    <w:rsid w:val="399D532C"/>
    <w:rsid w:val="3A0C068D"/>
    <w:rsid w:val="3AF2395A"/>
    <w:rsid w:val="3C531452"/>
    <w:rsid w:val="3C794D9A"/>
    <w:rsid w:val="3E6A3494"/>
    <w:rsid w:val="3E8108AF"/>
    <w:rsid w:val="3ECE65C3"/>
    <w:rsid w:val="3F4041FD"/>
    <w:rsid w:val="3F4A3277"/>
    <w:rsid w:val="417B1D66"/>
    <w:rsid w:val="418F79AA"/>
    <w:rsid w:val="44C173AF"/>
    <w:rsid w:val="49583F89"/>
    <w:rsid w:val="49A6200F"/>
    <w:rsid w:val="4A6E0F3E"/>
    <w:rsid w:val="4BF32285"/>
    <w:rsid w:val="4D5F4F0F"/>
    <w:rsid w:val="4D767443"/>
    <w:rsid w:val="4D96794B"/>
    <w:rsid w:val="4DBF2BD0"/>
    <w:rsid w:val="4DCA0DCF"/>
    <w:rsid w:val="4E43250F"/>
    <w:rsid w:val="4ED30279"/>
    <w:rsid w:val="4F314612"/>
    <w:rsid w:val="4F4E5DD3"/>
    <w:rsid w:val="4FD31C2B"/>
    <w:rsid w:val="50AF69F8"/>
    <w:rsid w:val="510A0244"/>
    <w:rsid w:val="52854A3A"/>
    <w:rsid w:val="53077C62"/>
    <w:rsid w:val="5574320E"/>
    <w:rsid w:val="56155003"/>
    <w:rsid w:val="599738B9"/>
    <w:rsid w:val="59B72C1F"/>
    <w:rsid w:val="5DC6293D"/>
    <w:rsid w:val="5EF0449E"/>
    <w:rsid w:val="5FF95379"/>
    <w:rsid w:val="605D7913"/>
    <w:rsid w:val="60EA7B0C"/>
    <w:rsid w:val="62EF05A0"/>
    <w:rsid w:val="633714F7"/>
    <w:rsid w:val="634F3E3C"/>
    <w:rsid w:val="637D6085"/>
    <w:rsid w:val="63BB0F00"/>
    <w:rsid w:val="64212AA3"/>
    <w:rsid w:val="645160EB"/>
    <w:rsid w:val="6462537E"/>
    <w:rsid w:val="669C5411"/>
    <w:rsid w:val="66B91B7C"/>
    <w:rsid w:val="678B71C9"/>
    <w:rsid w:val="67B304E2"/>
    <w:rsid w:val="6BC50580"/>
    <w:rsid w:val="6C07105B"/>
    <w:rsid w:val="6F92049C"/>
    <w:rsid w:val="70B834B9"/>
    <w:rsid w:val="711731F0"/>
    <w:rsid w:val="72007F92"/>
    <w:rsid w:val="7467429C"/>
    <w:rsid w:val="74CE538B"/>
    <w:rsid w:val="75322215"/>
    <w:rsid w:val="75682B1F"/>
    <w:rsid w:val="763C0A1B"/>
    <w:rsid w:val="7A4527BC"/>
    <w:rsid w:val="7AA66A9B"/>
    <w:rsid w:val="7AEC6F34"/>
    <w:rsid w:val="7B4F76A2"/>
    <w:rsid w:val="7B5651FB"/>
    <w:rsid w:val="7F6FFAC2"/>
    <w:rsid w:val="9FEF8E13"/>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52"/>
    <w:qFormat/>
    <w:uiPriority w:val="0"/>
    <w:pPr>
      <w:keepNext/>
      <w:keepLines/>
      <w:spacing w:before="340" w:beforeLines="0" w:after="330" w:afterLines="0" w:line="576" w:lineRule="auto"/>
      <w:textAlignment w:val="baseline"/>
      <w:outlineLvl w:val="0"/>
    </w:pPr>
    <w:rPr>
      <w:b/>
      <w:bCs/>
      <w:kern w:val="44"/>
      <w:sz w:val="44"/>
      <w:szCs w:val="44"/>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5">
    <w:name w:val="Default Paragraph Font"/>
    <w:qFormat/>
    <w:uiPriority w:val="0"/>
  </w:style>
  <w:style w:type="table" w:default="1" w:styleId="19">
    <w:name w:val="Normal Table"/>
    <w:semiHidden/>
    <w:qFormat/>
    <w:uiPriority w:val="0"/>
    <w:tblPr>
      <w:tblLayout w:type="fixed"/>
      <w:tblCellMar>
        <w:top w:w="0" w:type="dxa"/>
        <w:left w:w="108" w:type="dxa"/>
        <w:bottom w:w="0" w:type="dxa"/>
        <w:right w:w="108" w:type="dxa"/>
      </w:tblCellMar>
    </w:tblPr>
  </w:style>
  <w:style w:type="paragraph" w:styleId="4">
    <w:name w:val="annotation subject"/>
    <w:basedOn w:val="5"/>
    <w:next w:val="5"/>
    <w:link w:val="56"/>
    <w:qFormat/>
    <w:uiPriority w:val="0"/>
    <w:rPr>
      <w:b/>
      <w:bCs/>
      <w:kern w:val="2"/>
      <w:sz w:val="21"/>
      <w:szCs w:val="21"/>
    </w:rPr>
  </w:style>
  <w:style w:type="paragraph" w:styleId="5">
    <w:name w:val="annotation text"/>
    <w:basedOn w:val="1"/>
    <w:link w:val="58"/>
    <w:qFormat/>
    <w:uiPriority w:val="0"/>
    <w:pPr>
      <w:jc w:val="left"/>
    </w:pPr>
    <w:rPr>
      <w:kern w:val="2"/>
      <w:sz w:val="21"/>
      <w:szCs w:val="21"/>
    </w:rPr>
  </w:style>
  <w:style w:type="paragraph" w:styleId="6">
    <w:name w:val="Body Text"/>
    <w:basedOn w:val="1"/>
    <w:qFormat/>
    <w:uiPriority w:val="0"/>
    <w:pPr>
      <w:adjustRightInd w:val="0"/>
      <w:spacing w:after="120" w:afterLines="0" w:line="360" w:lineRule="auto"/>
      <w:ind w:firstLine="200" w:firstLineChars="200"/>
    </w:pPr>
    <w:rPr>
      <w:sz w:val="24"/>
      <w:szCs w:val="20"/>
    </w:rPr>
  </w:style>
  <w:style w:type="paragraph" w:styleId="7">
    <w:name w:val="Body Text Indent 2"/>
    <w:basedOn w:val="1"/>
    <w:qFormat/>
    <w:uiPriority w:val="0"/>
    <w:pPr>
      <w:spacing w:before="60" w:beforeLines="0" w:after="60" w:afterLines="0"/>
      <w:ind w:left="479"/>
    </w:pPr>
    <w:rPr>
      <w:rFonts w:ascii="宋体"/>
      <w:sz w:val="24"/>
      <w:szCs w:val="20"/>
    </w:rPr>
  </w:style>
  <w:style w:type="paragraph" w:styleId="8">
    <w:name w:val="Balloon Text"/>
    <w:basedOn w:val="1"/>
    <w:link w:val="50"/>
    <w:qFormat/>
    <w:uiPriority w:val="0"/>
    <w:rPr>
      <w:sz w:val="18"/>
      <w:szCs w:val="18"/>
    </w:rPr>
  </w:style>
  <w:style w:type="paragraph" w:styleId="9">
    <w:name w:val="footer"/>
    <w:basedOn w:val="1"/>
    <w:qFormat/>
    <w:uiPriority w:val="0"/>
    <w:pPr>
      <w:tabs>
        <w:tab w:val="center" w:pos="4153"/>
        <w:tab w:val="right" w:pos="8306"/>
      </w:tabs>
      <w:snapToGrid w:val="0"/>
      <w:jc w:val="left"/>
    </w:pPr>
    <w:rPr>
      <w:kern w:val="2"/>
      <w:sz w:val="18"/>
      <w:szCs w:val="18"/>
    </w:rPr>
  </w:style>
  <w:style w:type="paragraph" w:styleId="10">
    <w:name w:val="header"/>
    <w:basedOn w:val="1"/>
    <w:link w:val="60"/>
    <w:qFormat/>
    <w:uiPriority w:val="0"/>
    <w:pPr>
      <w:pBdr>
        <w:bottom w:val="single" w:color="auto" w:sz="6" w:space="1"/>
      </w:pBdr>
      <w:tabs>
        <w:tab w:val="center" w:pos="4153"/>
        <w:tab w:val="right" w:pos="8306"/>
      </w:tabs>
      <w:snapToGrid w:val="0"/>
      <w:jc w:val="center"/>
    </w:pPr>
    <w:rPr>
      <w:kern w:val="2"/>
      <w:sz w:val="18"/>
      <w:szCs w:val="18"/>
    </w:rPr>
  </w:style>
  <w:style w:type="paragraph" w:styleId="11">
    <w:name w:val="toc 1"/>
    <w:basedOn w:val="1"/>
    <w:next w:val="1"/>
    <w:qFormat/>
    <w:uiPriority w:val="39"/>
    <w:pPr>
      <w:adjustRightInd w:val="0"/>
      <w:spacing w:line="360" w:lineRule="auto"/>
      <w:ind w:firstLine="200" w:firstLineChars="200"/>
    </w:pPr>
    <w:rPr>
      <w:sz w:val="24"/>
      <w:szCs w:val="20"/>
    </w:rPr>
  </w:style>
  <w:style w:type="paragraph" w:styleId="12">
    <w:name w:val="Body Text Indent 3"/>
    <w:basedOn w:val="1"/>
    <w:qFormat/>
    <w:uiPriority w:val="0"/>
    <w:pPr>
      <w:spacing w:line="360" w:lineRule="auto"/>
      <w:ind w:firstLine="480" w:firstLineChars="200"/>
    </w:pPr>
    <w:rPr>
      <w:rFonts w:ascii="仿宋_GB2312" w:eastAsia="仿宋_GB2312"/>
      <w:sz w:val="24"/>
    </w:rPr>
  </w:style>
  <w:style w:type="paragraph" w:styleId="13">
    <w:name w:val="toc 2"/>
    <w:basedOn w:val="1"/>
    <w:next w:val="1"/>
    <w:qFormat/>
    <w:uiPriority w:val="0"/>
    <w:pPr>
      <w:ind w:left="420" w:leftChars="200"/>
    </w:pPr>
  </w:style>
  <w:style w:type="paragraph" w:styleId="1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16">
    <w:name w:val="FollowedHyperlink"/>
    <w:qFormat/>
    <w:uiPriority w:val="0"/>
    <w:rPr>
      <w:color w:val="954F72"/>
      <w:u w:val="single"/>
    </w:rPr>
  </w:style>
  <w:style w:type="character" w:styleId="17">
    <w:name w:val="Hyperlink"/>
    <w:qFormat/>
    <w:uiPriority w:val="99"/>
    <w:rPr>
      <w:color w:val="0000FF"/>
      <w:u w:val="single"/>
    </w:rPr>
  </w:style>
  <w:style w:type="character" w:styleId="18">
    <w:name w:val="annotation reference"/>
    <w:qFormat/>
    <w:uiPriority w:val="0"/>
    <w:rPr>
      <w:sz w:val="21"/>
      <w:szCs w:val="21"/>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
    <w:name w:val="页眉1"/>
    <w:basedOn w:val="1"/>
    <w:qFormat/>
    <w:uiPriority w:val="0"/>
    <w:pPr>
      <w:pBdr>
        <w:bottom w:val="single" w:color="auto" w:sz="6" w:space="1"/>
      </w:pBdr>
      <w:tabs>
        <w:tab w:val="center" w:pos="4153"/>
        <w:tab w:val="right" w:pos="8306"/>
      </w:tabs>
      <w:snapToGrid w:val="0"/>
      <w:jc w:val="center"/>
    </w:pPr>
    <w:rPr>
      <w:kern w:val="2"/>
      <w:sz w:val="18"/>
      <w:szCs w:val="18"/>
    </w:rPr>
  </w:style>
  <w:style w:type="paragraph" w:customStyle="1" w:styleId="22">
    <w:name w:val="Char"/>
    <w:basedOn w:val="1"/>
    <w:qFormat/>
    <w:uiPriority w:val="0"/>
    <w:pPr>
      <w:widowControl/>
      <w:spacing w:after="160" w:afterLines="0" w:line="240" w:lineRule="exact"/>
      <w:jc w:val="left"/>
    </w:pPr>
  </w:style>
  <w:style w:type="paragraph" w:customStyle="1" w:styleId="23">
    <w:name w:val="_Style 22"/>
    <w:qFormat/>
    <w:uiPriority w:val="0"/>
    <w:rPr>
      <w:rFonts w:ascii="Times New Roman" w:hAnsi="Times New Roman" w:eastAsia="宋体" w:cs="Times New Roman"/>
      <w:kern w:val="2"/>
      <w:sz w:val="21"/>
      <w:szCs w:val="21"/>
      <w:lang w:val="en-US" w:eastAsia="zh-CN" w:bidi="ar-SA"/>
    </w:rPr>
  </w:style>
  <w:style w:type="paragraph" w:customStyle="1" w:styleId="24">
    <w:name w:val="Char Char Char Char Char Char Char Char Char Char"/>
    <w:basedOn w:val="1"/>
    <w:qFormat/>
    <w:uiPriority w:val="0"/>
    <w:rPr>
      <w:rFonts w:eastAsia="仿宋_GB2312"/>
      <w:sz w:val="32"/>
      <w:szCs w:val="32"/>
    </w:rPr>
  </w:style>
  <w:style w:type="paragraph" w:customStyle="1" w:styleId="25">
    <w:name w:val="页脚1"/>
    <w:basedOn w:val="1"/>
    <w:qFormat/>
    <w:uiPriority w:val="0"/>
    <w:pPr>
      <w:tabs>
        <w:tab w:val="center" w:pos="4153"/>
        <w:tab w:val="right" w:pos="8306"/>
      </w:tabs>
      <w:snapToGrid w:val="0"/>
      <w:jc w:val="left"/>
    </w:pPr>
    <w:rPr>
      <w:sz w:val="18"/>
      <w:szCs w:val="18"/>
    </w:rPr>
  </w:style>
  <w:style w:type="paragraph" w:customStyle="1" w:styleId="26">
    <w:name w:val="Char Char Char Char Char Char Char"/>
    <w:basedOn w:val="1"/>
    <w:qFormat/>
    <w:uiPriority w:val="0"/>
    <w:pPr>
      <w:tabs>
        <w:tab w:val="left" w:pos="360"/>
      </w:tabs>
    </w:pPr>
  </w:style>
  <w:style w:type="paragraph" w:customStyle="1" w:styleId="27">
    <w:name w:val="Header1"/>
    <w:basedOn w:val="1"/>
    <w:link w:val="45"/>
    <w:qFormat/>
    <w:uiPriority w:val="0"/>
    <w:pPr>
      <w:pBdr>
        <w:bottom w:val="single" w:color="auto" w:sz="6" w:space="1"/>
      </w:pBdr>
      <w:tabs>
        <w:tab w:val="center" w:pos="4153"/>
        <w:tab w:val="right" w:pos="8306"/>
      </w:tabs>
      <w:snapToGrid w:val="0"/>
      <w:jc w:val="center"/>
    </w:pPr>
    <w:rPr>
      <w:kern w:val="2"/>
      <w:sz w:val="18"/>
      <w:szCs w:val="18"/>
    </w:rPr>
  </w:style>
  <w:style w:type="paragraph" w:customStyle="1" w:styleId="28">
    <w:name w:val="正文文本缩进 31"/>
    <w:basedOn w:val="1"/>
    <w:qFormat/>
    <w:uiPriority w:val="0"/>
    <w:pPr>
      <w:spacing w:after="120" w:afterLines="0"/>
      <w:ind w:left="420" w:leftChars="200"/>
    </w:pPr>
    <w:rPr>
      <w:sz w:val="16"/>
      <w:szCs w:val="16"/>
    </w:rPr>
  </w:style>
  <w:style w:type="paragraph" w:customStyle="1" w:styleId="29">
    <w:name w:val="批注框文本1"/>
    <w:basedOn w:val="1"/>
    <w:qFormat/>
    <w:uiPriority w:val="0"/>
    <w:rPr>
      <w:sz w:val="18"/>
      <w:szCs w:val="18"/>
    </w:rPr>
  </w:style>
  <w:style w:type="paragraph" w:customStyle="1" w:styleId="30">
    <w:name w:val="Footer1"/>
    <w:basedOn w:val="1"/>
    <w:link w:val="47"/>
    <w:qFormat/>
    <w:uiPriority w:val="0"/>
    <w:pPr>
      <w:tabs>
        <w:tab w:val="center" w:pos="4153"/>
        <w:tab w:val="right" w:pos="8306"/>
      </w:tabs>
      <w:snapToGrid w:val="0"/>
      <w:jc w:val="left"/>
    </w:pPr>
    <w:rPr>
      <w:kern w:val="2"/>
      <w:sz w:val="18"/>
      <w:szCs w:val="18"/>
    </w:rPr>
  </w:style>
  <w:style w:type="paragraph" w:customStyle="1" w:styleId="31">
    <w:name w:val="Comment Text1"/>
    <w:basedOn w:val="1"/>
    <w:qFormat/>
    <w:uiPriority w:val="0"/>
    <w:pPr>
      <w:jc w:val="left"/>
    </w:pPr>
  </w:style>
  <w:style w:type="paragraph" w:customStyle="1" w:styleId="32">
    <w:name w:val="YJH-DB1"/>
    <w:basedOn w:val="1"/>
    <w:qFormat/>
    <w:uiPriority w:val="0"/>
    <w:pPr>
      <w:keepNext w:val="0"/>
      <w:keepLines w:val="0"/>
      <w:widowControl w:val="0"/>
      <w:suppressLineNumbers w:val="0"/>
      <w:spacing w:before="0" w:beforeLines="0" w:beforeAutospacing="0" w:after="0" w:afterLines="0" w:afterAutospacing="0" w:line="600" w:lineRule="exact"/>
      <w:ind w:left="0" w:right="0"/>
      <w:jc w:val="center"/>
    </w:pPr>
    <w:rPr>
      <w:rFonts w:hint="default" w:ascii="Times New Roman" w:hAnsi="Times New Roman" w:eastAsia="方正小标宋简体" w:cs="Times New Roman"/>
      <w:kern w:val="0"/>
      <w:sz w:val="44"/>
      <w:szCs w:val="44"/>
      <w:lang w:val="en-US" w:eastAsia="zh-CN" w:bidi="ar-SA"/>
    </w:rPr>
  </w:style>
  <w:style w:type="paragraph" w:customStyle="1" w:styleId="33">
    <w:name w:val="正文文本缩进1"/>
    <w:basedOn w:val="1"/>
    <w:qFormat/>
    <w:uiPriority w:val="0"/>
    <w:pPr>
      <w:spacing w:line="360" w:lineRule="auto"/>
      <w:ind w:firstLine="480" w:firstLineChars="200"/>
    </w:pPr>
    <w:rPr>
      <w:rFonts w:ascii="宋体" w:hAnsi="宋体" w:cs="宋体"/>
      <w:sz w:val="24"/>
      <w:szCs w:val="24"/>
    </w:rPr>
  </w:style>
  <w:style w:type="paragraph" w:customStyle="1" w:styleId="34">
    <w:name w:val="Comment Subject1"/>
    <w:basedOn w:val="31"/>
    <w:next w:val="31"/>
    <w:qFormat/>
    <w:uiPriority w:val="0"/>
    <w:rPr>
      <w:b/>
      <w:bCs/>
      <w:kern w:val="2"/>
      <w:sz w:val="21"/>
      <w:szCs w:val="21"/>
    </w:rPr>
  </w:style>
  <w:style w:type="paragraph" w:customStyle="1" w:styleId="35">
    <w:name w:val="最小值"/>
    <w:basedOn w:val="1"/>
    <w:qFormat/>
    <w:uiPriority w:val="0"/>
    <w:pPr>
      <w:snapToGrid w:val="0"/>
      <w:spacing w:line="240" w:lineRule="atLeast"/>
      <w:jc w:val="center"/>
    </w:pPr>
    <w:rPr>
      <w:rFonts w:ascii="宋体" w:hAnsi="宋体" w:cs="宋体"/>
      <w:b/>
      <w:bCs/>
      <w:sz w:val="20"/>
      <w:szCs w:val="20"/>
    </w:rPr>
  </w:style>
  <w:style w:type="paragraph" w:customStyle="1" w:styleId="36">
    <w:name w:val="正文文本缩进 21"/>
    <w:basedOn w:val="1"/>
    <w:qFormat/>
    <w:uiPriority w:val="0"/>
    <w:pPr>
      <w:spacing w:after="120" w:afterLines="0" w:line="480" w:lineRule="auto"/>
      <w:ind w:left="420" w:leftChars="200"/>
    </w:pPr>
  </w:style>
  <w:style w:type="paragraph" w:customStyle="1" w:styleId="37">
    <w:name w:val="批注文字1"/>
    <w:basedOn w:val="1"/>
    <w:qFormat/>
    <w:uiPriority w:val="0"/>
    <w:pPr>
      <w:jc w:val="left"/>
    </w:pPr>
    <w:rPr>
      <w:kern w:val="2"/>
      <w:sz w:val="21"/>
      <w:szCs w:val="21"/>
    </w:rPr>
  </w:style>
  <w:style w:type="paragraph" w:customStyle="1" w:styleId="38">
    <w:name w:val="批注主题1"/>
    <w:basedOn w:val="37"/>
    <w:next w:val="37"/>
    <w:qFormat/>
    <w:uiPriority w:val="0"/>
    <w:rPr>
      <w:b/>
      <w:bCs/>
    </w:rPr>
  </w:style>
  <w:style w:type="paragraph" w:customStyle="1" w:styleId="39">
    <w:name w:val="正文文本1"/>
    <w:basedOn w:val="1"/>
    <w:qFormat/>
    <w:uiPriority w:val="0"/>
    <w:pPr>
      <w:spacing w:after="120" w:afterLines="0"/>
    </w:pPr>
  </w:style>
  <w:style w:type="paragraph" w:customStyle="1" w:styleId="40">
    <w:name w:val="Char Char Char Char"/>
    <w:basedOn w:val="1"/>
    <w:qFormat/>
    <w:uiPriority w:val="0"/>
    <w:rPr>
      <w:rFonts w:eastAsia="仿宋_GB2312"/>
      <w:sz w:val="32"/>
      <w:szCs w:val="32"/>
    </w:rPr>
  </w:style>
  <w:style w:type="paragraph" w:customStyle="1" w:styleId="41">
    <w:name w:val="TOC 标题1"/>
    <w:basedOn w:val="2"/>
    <w:next w:val="1"/>
    <w:qFormat/>
    <w:uiPriority w:val="0"/>
    <w:pPr>
      <w:widowControl/>
      <w:spacing w:before="480" w:beforeLines="0" w:after="0" w:afterLines="0" w:line="276" w:lineRule="auto"/>
      <w:jc w:val="left"/>
      <w:textAlignment w:val="auto"/>
      <w:outlineLvl w:val="9"/>
    </w:pPr>
    <w:rPr>
      <w:rFonts w:ascii="Cambria" w:hAnsi="Cambria"/>
      <w:color w:val="365F91"/>
      <w:kern w:val="0"/>
      <w:sz w:val="28"/>
      <w:szCs w:val="28"/>
    </w:rPr>
  </w:style>
  <w:style w:type="paragraph" w:customStyle="1" w:styleId="42">
    <w:name w:val="默认段落字体 Para Char Char Char Char Char Char Char"/>
    <w:basedOn w:val="1"/>
    <w:qFormat/>
    <w:uiPriority w:val="0"/>
    <w:rPr>
      <w:rFonts w:ascii="Tahoma" w:hAnsi="Tahoma" w:cs="Tahoma"/>
      <w:sz w:val="24"/>
      <w:szCs w:val="24"/>
    </w:rPr>
  </w:style>
  <w:style w:type="paragraph" w:customStyle="1" w:styleId="43">
    <w:name w:val="p0"/>
    <w:basedOn w:val="1"/>
    <w:qFormat/>
    <w:uiPriority w:val="0"/>
    <w:pPr>
      <w:widowControl/>
    </w:pPr>
    <w:rPr>
      <w:kern w:val="0"/>
    </w:rPr>
  </w:style>
  <w:style w:type="paragraph" w:customStyle="1" w:styleId="44">
    <w:name w:val="Balloon Text1"/>
    <w:basedOn w:val="1"/>
    <w:qFormat/>
    <w:uiPriority w:val="0"/>
    <w:rPr>
      <w:sz w:val="18"/>
      <w:szCs w:val="18"/>
    </w:rPr>
  </w:style>
  <w:style w:type="character" w:customStyle="1" w:styleId="45">
    <w:name w:val="页眉 Char1"/>
    <w:link w:val="27"/>
    <w:qFormat/>
    <w:uiPriority w:val="0"/>
    <w:rPr>
      <w:kern w:val="2"/>
      <w:sz w:val="18"/>
      <w:szCs w:val="18"/>
    </w:rPr>
  </w:style>
  <w:style w:type="character" w:customStyle="1" w:styleId="46">
    <w:name w:val="Comment Reference1"/>
    <w:qFormat/>
    <w:uiPriority w:val="0"/>
    <w:rPr>
      <w:sz w:val="21"/>
      <w:szCs w:val="21"/>
    </w:rPr>
  </w:style>
  <w:style w:type="character" w:customStyle="1" w:styleId="47">
    <w:name w:val="页脚 Char Char"/>
    <w:link w:val="30"/>
    <w:qFormat/>
    <w:uiPriority w:val="0"/>
    <w:rPr>
      <w:kern w:val="2"/>
      <w:sz w:val="18"/>
      <w:szCs w:val="18"/>
    </w:rPr>
  </w:style>
  <w:style w:type="character" w:customStyle="1" w:styleId="48">
    <w:name w:val="页码2"/>
    <w:basedOn w:val="15"/>
    <w:qFormat/>
    <w:uiPriority w:val="0"/>
  </w:style>
  <w:style w:type="character" w:customStyle="1" w:styleId="49">
    <w:name w:val="批注引用1"/>
    <w:qFormat/>
    <w:uiPriority w:val="0"/>
    <w:rPr>
      <w:sz w:val="21"/>
      <w:szCs w:val="21"/>
    </w:rPr>
  </w:style>
  <w:style w:type="character" w:customStyle="1" w:styleId="50">
    <w:name w:val="批注框文本 字符"/>
    <w:link w:val="8"/>
    <w:qFormat/>
    <w:uiPriority w:val="0"/>
    <w:rPr>
      <w:sz w:val="18"/>
      <w:szCs w:val="18"/>
    </w:rPr>
  </w:style>
  <w:style w:type="character" w:customStyle="1" w:styleId="51">
    <w:name w:val="未处理的提及"/>
    <w:unhideWhenUsed/>
    <w:qFormat/>
    <w:uiPriority w:val="99"/>
    <w:rPr>
      <w:color w:val="605E5C"/>
      <w:shd w:val="clear" w:color="auto" w:fill="E1DFDD"/>
    </w:rPr>
  </w:style>
  <w:style w:type="character" w:customStyle="1" w:styleId="52">
    <w:name w:val="标题 1 字符"/>
    <w:link w:val="2"/>
    <w:qFormat/>
    <w:uiPriority w:val="0"/>
    <w:rPr>
      <w:b/>
      <w:bCs/>
      <w:kern w:val="44"/>
      <w:sz w:val="44"/>
      <w:szCs w:val="44"/>
    </w:rPr>
  </w:style>
  <w:style w:type="character" w:customStyle="1" w:styleId="53">
    <w:name w:val="页码1"/>
    <w:basedOn w:val="15"/>
    <w:qFormat/>
    <w:uiPriority w:val="0"/>
  </w:style>
  <w:style w:type="character" w:customStyle="1" w:styleId="54">
    <w:name w:val="批注文字 Char1"/>
    <w:qFormat/>
    <w:uiPriority w:val="0"/>
    <w:rPr>
      <w:kern w:val="2"/>
      <w:sz w:val="21"/>
      <w:szCs w:val="21"/>
    </w:rPr>
  </w:style>
  <w:style w:type="character" w:customStyle="1" w:styleId="55">
    <w:name w:val="批注主题 Char1"/>
    <w:qFormat/>
    <w:uiPriority w:val="0"/>
    <w:rPr>
      <w:b/>
      <w:bCs/>
      <w:kern w:val="2"/>
      <w:sz w:val="21"/>
      <w:szCs w:val="21"/>
    </w:rPr>
  </w:style>
  <w:style w:type="character" w:customStyle="1" w:styleId="56">
    <w:name w:val="批注主题 字符"/>
    <w:link w:val="4"/>
    <w:qFormat/>
    <w:uiPriority w:val="0"/>
    <w:rPr>
      <w:b/>
      <w:bCs/>
      <w:kern w:val="2"/>
      <w:sz w:val="21"/>
      <w:szCs w:val="21"/>
    </w:rPr>
  </w:style>
  <w:style w:type="character" w:customStyle="1" w:styleId="57">
    <w:name w:val="批注文字 Char2"/>
    <w:qFormat/>
    <w:uiPriority w:val="0"/>
    <w:rPr>
      <w:sz w:val="21"/>
      <w:szCs w:val="21"/>
    </w:rPr>
  </w:style>
  <w:style w:type="character" w:customStyle="1" w:styleId="58">
    <w:name w:val="批注文字 字符"/>
    <w:link w:val="5"/>
    <w:qFormat/>
    <w:uiPriority w:val="0"/>
    <w:rPr>
      <w:kern w:val="2"/>
      <w:sz w:val="21"/>
      <w:szCs w:val="21"/>
    </w:rPr>
  </w:style>
  <w:style w:type="character" w:customStyle="1" w:styleId="59">
    <w:name w:val="页眉 Char2"/>
    <w:qFormat/>
    <w:uiPriority w:val="0"/>
    <w:rPr>
      <w:sz w:val="18"/>
      <w:szCs w:val="18"/>
    </w:rPr>
  </w:style>
  <w:style w:type="character" w:customStyle="1" w:styleId="60">
    <w:name w:val="页眉 字符"/>
    <w:link w:val="10"/>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CMBC</Company>
  <Pages>40</Pages>
  <Words>4509</Words>
  <Characters>25707</Characters>
  <Lines>214</Lines>
  <Paragraphs>60</Paragraphs>
  <TotalTime>0</TotalTime>
  <ScaleCrop>false</ScaleCrop>
  <LinksUpToDate>false</LinksUpToDate>
  <CharactersWithSpaces>30156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2020-12-31T18:02:00Z</dcterms:created>
  <dc:creator>刘晓瑜</dc:creator>
  <cp:lastModifiedBy>CMBCAdmin</cp:lastModifiedBy>
  <dcterms:modified xsi:type="dcterms:W3CDTF">2021-12-15T01:21:46Z</dcterms:modified>
  <dc:title>哈尔滨银行丁香花理财计划资金托管协议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_KSOProductBuildMID">
    <vt:lpwstr>DQWMP6GK79VQ0T9GQKR8RLJ87ZEMO7VREN0XLJEPXGH8TQ5TZ7BRVC0IFY9HP8RRBEMX9OLSZI778LNJQSFADFFX89CMWMCBAXOD0HB3387BBB31E971AFF4A35169AD68D22B9D</vt:lpwstr>
  </property>
  <property fmtid="{D5CDD505-2E9C-101B-9397-08002B2CF9AE}" pid="4" name="_KSOProductBuildSID">
    <vt:lpwstr>39593FC307146C0CB191896FF3AD2027</vt:lpwstr>
  </property>
</Properties>
</file>