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YWMP6GO79UQ00BGQPR8IL057NMMOAPR9U0XLJDVXF88TE5TZ0BJYCJXFSUTPCRRXFMXJOL9ZHJD8HNJQEFA0FF68RLMWHLB8JOO0HB3046435B61A2E2F3E9CAD4BBF96514EDC" Type="http://schemas.microsoft.com/office/2006/relationships/officeDocumentMain" Target="docProps/core.xml"/><Relationship Id="CGWMI6GH797Q00TGQYRNILJZ7NMMOYYR9J06BJD7XGI8TFLTN0BRPCJVFY5HPFIRXFMX5OLRZIA78HXJQXFA0FFU8RF0WI5BAFOOKHB3F1546C4AAE279879919E642A88DB4DB4"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仿宋" w:hAnsi="仿宋" w:eastAsia="仿宋"/>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平安理财有限责任公司</w:t>
      </w:r>
    </w:p>
    <w:p>
      <w:pPr>
        <w:spacing w:line="360" w:lineRule="auto"/>
        <w:jc w:val="center"/>
        <w:rPr>
          <w:rFonts w:ascii="宋体" w:hAnsi="宋体" w:cs="宋体"/>
          <w:b/>
          <w:bCs/>
          <w:sz w:val="36"/>
          <w:szCs w:val="36"/>
        </w:rPr>
      </w:pPr>
      <w:r>
        <w:rPr>
          <w:rFonts w:hint="eastAsia" w:ascii="宋体" w:hAnsi="宋体" w:cs="宋体"/>
          <w:b/>
          <w:bCs/>
          <w:sz w:val="36"/>
          <w:szCs w:val="36"/>
        </w:rPr>
        <w:t>理财产品托管协议</w:t>
      </w:r>
    </w:p>
    <w:p>
      <w:pPr>
        <w:pStyle w:val="4"/>
      </w:pPr>
    </w:p>
    <w:p>
      <w:pPr>
        <w:spacing w:line="360" w:lineRule="auto"/>
        <w:jc w:val="center"/>
        <w:rPr>
          <w:rFonts w:ascii="宋体" w:hAnsi="宋体" w:cs="宋体"/>
          <w:b/>
          <w:bCs/>
          <w:sz w:val="28"/>
          <w:szCs w:val="36"/>
        </w:rPr>
      </w:pPr>
      <w:r>
        <w:rPr>
          <w:rFonts w:hint="eastAsia" w:ascii="宋体" w:hAnsi="宋体" w:cs="宋体"/>
          <w:b/>
          <w:bCs/>
          <w:sz w:val="28"/>
          <w:szCs w:val="36"/>
        </w:rPr>
        <w:t>协议编号：</w:t>
      </w:r>
      <w:r>
        <w:rPr>
          <w:rFonts w:hint="eastAsia" w:ascii="宋体" w:hAnsi="宋体" w:cs="宋体"/>
          <w:kern w:val="0"/>
          <w:sz w:val="22"/>
          <w:szCs w:val="36"/>
          <w:u w:val="single"/>
        </w:rPr>
        <w:t>平安理财民生托2</w:t>
      </w:r>
      <w:r>
        <w:rPr>
          <w:rFonts w:ascii="宋体" w:hAnsi="宋体" w:cs="宋体"/>
          <w:kern w:val="0"/>
          <w:sz w:val="22"/>
          <w:szCs w:val="36"/>
          <w:u w:val="single"/>
        </w:rPr>
        <w:t>023001</w:t>
      </w:r>
    </w:p>
    <w:p>
      <w:pPr>
        <w:spacing w:line="360" w:lineRule="auto"/>
        <w:ind w:firstLine="2873" w:firstLineChars="795"/>
        <w:rPr>
          <w:rFonts w:ascii="仿宋" w:hAnsi="仿宋" w:eastAsia="仿宋"/>
          <w:b/>
          <w:bCs/>
          <w:sz w:val="36"/>
          <w:szCs w:val="36"/>
        </w:rPr>
      </w:pPr>
    </w:p>
    <w:p>
      <w:pPr>
        <w:spacing w:line="360" w:lineRule="auto"/>
        <w:ind w:firstLine="2873" w:firstLineChars="795"/>
        <w:rPr>
          <w:rFonts w:ascii="仿宋" w:hAnsi="仿宋" w:eastAsia="仿宋"/>
          <w:b/>
          <w:bCs/>
          <w:sz w:val="36"/>
          <w:szCs w:val="36"/>
        </w:rPr>
      </w:pPr>
    </w:p>
    <w:p>
      <w:pPr>
        <w:spacing w:line="360" w:lineRule="auto"/>
        <w:ind w:firstLine="2873" w:firstLineChars="795"/>
        <w:rPr>
          <w:rFonts w:ascii="仿宋" w:hAnsi="仿宋" w:eastAsia="仿宋"/>
          <w:b/>
          <w:bCs/>
          <w:sz w:val="36"/>
          <w:szCs w:val="36"/>
        </w:rPr>
      </w:pPr>
    </w:p>
    <w:p>
      <w:pPr>
        <w:spacing w:line="360" w:lineRule="auto"/>
        <w:ind w:firstLine="2873" w:firstLineChars="795"/>
        <w:rPr>
          <w:rFonts w:ascii="仿宋" w:hAnsi="仿宋" w:eastAsia="仿宋"/>
          <w:b/>
          <w:bCs/>
          <w:sz w:val="36"/>
          <w:szCs w:val="36"/>
        </w:rPr>
      </w:pPr>
    </w:p>
    <w:p>
      <w:pPr>
        <w:spacing w:line="360" w:lineRule="auto"/>
        <w:ind w:firstLine="2873" w:firstLineChars="795"/>
        <w:rPr>
          <w:rFonts w:ascii="仿宋" w:hAnsi="仿宋" w:eastAsia="仿宋"/>
          <w:b/>
          <w:bCs/>
          <w:sz w:val="36"/>
          <w:szCs w:val="36"/>
        </w:rPr>
      </w:pPr>
    </w:p>
    <w:p>
      <w:pPr>
        <w:spacing w:line="360" w:lineRule="auto"/>
        <w:ind w:firstLine="2873" w:firstLineChars="795"/>
        <w:rPr>
          <w:rFonts w:ascii="仿宋" w:hAnsi="仿宋" w:eastAsia="仿宋"/>
          <w:b/>
          <w:bCs/>
          <w:sz w:val="36"/>
          <w:szCs w:val="36"/>
        </w:rPr>
      </w:pPr>
    </w:p>
    <w:p>
      <w:pPr>
        <w:pStyle w:val="4"/>
      </w:pPr>
    </w:p>
    <w:p/>
    <w:p>
      <w:pPr>
        <w:spacing w:line="360" w:lineRule="auto"/>
        <w:ind w:firstLine="2873" w:firstLineChars="795"/>
        <w:rPr>
          <w:rFonts w:ascii="仿宋" w:hAnsi="仿宋" w:eastAsia="仿宋"/>
          <w:b/>
          <w:bCs/>
          <w:sz w:val="36"/>
          <w:szCs w:val="36"/>
        </w:rPr>
      </w:pPr>
    </w:p>
    <w:p>
      <w:pPr>
        <w:spacing w:line="360" w:lineRule="auto"/>
        <w:ind w:right="-1153" w:rightChars="-549" w:firstLine="1920" w:firstLineChars="800"/>
        <w:rPr>
          <w:rFonts w:ascii="宋体" w:hAnsi="宋体" w:cs="宋体"/>
          <w:sz w:val="24"/>
          <w:szCs w:val="24"/>
        </w:rPr>
      </w:pPr>
      <w:r>
        <w:rPr>
          <w:rFonts w:hint="eastAsia" w:ascii="宋体" w:hAnsi="宋体" w:cs="宋体"/>
          <w:sz w:val="24"/>
          <w:szCs w:val="24"/>
        </w:rPr>
        <w:t>甲方（管理人）：平安理财有限责任公司</w:t>
      </w:r>
    </w:p>
    <w:p>
      <w:pPr>
        <w:spacing w:line="360" w:lineRule="auto"/>
        <w:ind w:right="-1153" w:rightChars="-549" w:firstLine="1920" w:firstLineChars="800"/>
        <w:rPr>
          <w:rFonts w:ascii="宋体" w:hAnsi="宋体" w:cs="宋体"/>
          <w:sz w:val="24"/>
          <w:szCs w:val="24"/>
        </w:rPr>
      </w:pPr>
      <w:r>
        <w:rPr>
          <w:rFonts w:hint="eastAsia" w:ascii="宋体" w:hAnsi="宋体" w:cs="宋体"/>
          <w:sz w:val="24"/>
          <w:szCs w:val="24"/>
        </w:rPr>
        <w:t>乙方（托管人）：中国民生银行股份有限公司</w:t>
      </w:r>
    </w:p>
    <w:p>
      <w:pPr>
        <w:spacing w:line="360" w:lineRule="auto"/>
        <w:ind w:firstLine="948" w:firstLineChars="295"/>
        <w:rPr>
          <w:rFonts w:ascii="仿宋" w:hAnsi="仿宋" w:eastAsia="仿宋"/>
          <w:b/>
          <w:bCs/>
          <w:sz w:val="32"/>
          <w:szCs w:val="32"/>
        </w:rPr>
      </w:pPr>
    </w:p>
    <w:p>
      <w:pPr>
        <w:spacing w:line="360" w:lineRule="auto"/>
        <w:rPr>
          <w:rFonts w:ascii="仿宋" w:hAnsi="仿宋" w:eastAsia="仿宋"/>
          <w:b/>
          <w:bCs/>
          <w:sz w:val="32"/>
          <w:szCs w:val="32"/>
        </w:rPr>
      </w:pPr>
    </w:p>
    <w:p>
      <w:pPr>
        <w:pStyle w:val="14"/>
        <w:tabs>
          <w:tab w:val="right" w:leader="dot" w:pos="8306"/>
        </w:tabs>
        <w:jc w:val="center"/>
        <w:rPr>
          <w:rFonts w:ascii="宋体" w:hAnsi="宋体" w:cs="宋体"/>
          <w:sz w:val="30"/>
          <w:szCs w:val="30"/>
        </w:rPr>
      </w:pPr>
      <w:r>
        <w:rPr>
          <w:rFonts w:hint="eastAsia" w:ascii="宋体" w:hAnsi="宋体" w:cs="宋体"/>
          <w:sz w:val="30"/>
          <w:szCs w:val="30"/>
        </w:rPr>
        <w:t>目  录</w:t>
      </w:r>
    </w:p>
    <w:p/>
    <w:p>
      <w:pPr>
        <w:pStyle w:val="14"/>
        <w:tabs>
          <w:tab w:val="right" w:leader="dot" w:pos="8306"/>
        </w:tabs>
      </w:pPr>
      <w:r>
        <w:rPr>
          <w:rFonts w:hint="eastAsia" w:ascii="宋体" w:hAnsi="宋体" w:cs="宋体"/>
          <w:sz w:val="24"/>
          <w:szCs w:val="24"/>
        </w:rPr>
        <w:fldChar w:fldCharType="begin"/>
      </w:r>
      <w:r>
        <w:rPr>
          <w:rFonts w:hint="eastAsia" w:ascii="宋体" w:hAnsi="宋体" w:cs="宋体"/>
          <w:sz w:val="24"/>
          <w:szCs w:val="24"/>
        </w:rPr>
        <w:instrText xml:space="preserve">TOC \o "1-1" \h \u </w:instrText>
      </w:r>
      <w:r>
        <w:rPr>
          <w:rFonts w:hint="eastAsia" w:ascii="宋体" w:hAnsi="宋体" w:cs="宋体"/>
          <w:sz w:val="24"/>
          <w:szCs w:val="24"/>
        </w:rPr>
        <w:fldChar w:fldCharType="separate"/>
      </w:r>
      <w:r>
        <w:fldChar w:fldCharType="begin"/>
      </w:r>
      <w:r>
        <w:instrText xml:space="preserve"> HYPERLINK \l "_Toc22404" </w:instrText>
      </w:r>
      <w:r>
        <w:fldChar w:fldCharType="separate"/>
      </w:r>
      <w:r>
        <w:rPr>
          <w:rFonts w:hint="eastAsia" w:ascii="宋体" w:hAnsi="宋体" w:cs="宋体"/>
          <w:szCs w:val="24"/>
        </w:rPr>
        <w:t>第一章  协议当事人</w:t>
      </w:r>
      <w:r>
        <w:tab/>
      </w:r>
      <w:r>
        <w:fldChar w:fldCharType="begin"/>
      </w:r>
      <w:r>
        <w:instrText xml:space="preserve"> PAGEREF _Toc22404 \h </w:instrText>
      </w:r>
      <w:r>
        <w:fldChar w:fldCharType="separate"/>
      </w:r>
      <w:r>
        <w:t>3</w:t>
      </w:r>
      <w:r>
        <w:fldChar w:fldCharType="end"/>
      </w:r>
      <w:r>
        <w:fldChar w:fldCharType="end"/>
      </w:r>
    </w:p>
    <w:p>
      <w:pPr>
        <w:pStyle w:val="14"/>
        <w:tabs>
          <w:tab w:val="right" w:leader="dot" w:pos="8306"/>
        </w:tabs>
      </w:pPr>
      <w:r>
        <w:fldChar w:fldCharType="begin"/>
      </w:r>
      <w:r>
        <w:instrText xml:space="preserve"> HYPERLINK \l "_Toc1931" </w:instrText>
      </w:r>
      <w:r>
        <w:fldChar w:fldCharType="separate"/>
      </w:r>
      <w:r>
        <w:rPr>
          <w:rFonts w:hint="eastAsia" w:ascii="宋体" w:hAnsi="宋体" w:cs="宋体"/>
          <w:szCs w:val="24"/>
        </w:rPr>
        <w:t>第二章  当事人的权利与义务</w:t>
      </w:r>
      <w:r>
        <w:tab/>
      </w:r>
      <w:r>
        <w:fldChar w:fldCharType="begin"/>
      </w:r>
      <w:r>
        <w:instrText xml:space="preserve"> PAGEREF _Toc1931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"_Toc4403" </w:instrText>
      </w:r>
      <w:r>
        <w:fldChar w:fldCharType="separate"/>
      </w:r>
      <w:r>
        <w:rPr>
          <w:rFonts w:hint="eastAsia" w:ascii="宋体" w:hAnsi="宋体" w:cs="宋体"/>
          <w:szCs w:val="24"/>
        </w:rPr>
        <w:t>第三章  理财产品成立时理财资金及资料的交付</w:t>
      </w:r>
      <w:r>
        <w:tab/>
      </w:r>
      <w:r>
        <w:fldChar w:fldCharType="begin"/>
      </w:r>
      <w:r>
        <w:instrText xml:space="preserve"> PAGEREF _Toc4403 \h </w:instrText>
      </w:r>
      <w:r>
        <w:fldChar w:fldCharType="separate"/>
      </w:r>
      <w:r>
        <w:t>7</w:t>
      </w:r>
      <w:r>
        <w:fldChar w:fldCharType="end"/>
      </w:r>
      <w:r>
        <w:fldChar w:fldCharType="end"/>
      </w:r>
    </w:p>
    <w:p>
      <w:pPr>
        <w:pStyle w:val="14"/>
        <w:tabs>
          <w:tab w:val="right" w:leader="dot" w:pos="8306"/>
        </w:tabs>
      </w:pPr>
      <w:r>
        <w:fldChar w:fldCharType="begin"/>
      </w:r>
      <w:r>
        <w:instrText xml:space="preserve"> HYPERLINK \l "_Toc1263" </w:instrText>
      </w:r>
      <w:r>
        <w:fldChar w:fldCharType="separate"/>
      </w:r>
      <w:r>
        <w:rPr>
          <w:rFonts w:hint="eastAsia" w:ascii="宋体" w:hAnsi="宋体" w:cs="宋体"/>
          <w:szCs w:val="24"/>
        </w:rPr>
        <w:t>第四章  理财产品财产的保管</w:t>
      </w:r>
      <w:r>
        <w:tab/>
      </w:r>
      <w:r>
        <w:fldChar w:fldCharType="begin"/>
      </w:r>
      <w:r>
        <w:instrText xml:space="preserve"> PAGEREF _Toc1263 \h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"_Toc7633" </w:instrText>
      </w:r>
      <w:r>
        <w:fldChar w:fldCharType="separate"/>
      </w:r>
      <w:r>
        <w:rPr>
          <w:rFonts w:hint="eastAsia" w:ascii="宋体" w:hAnsi="宋体" w:cs="宋体"/>
          <w:szCs w:val="24"/>
        </w:rPr>
        <w:t>第五章  划款指令的发送、确认与执行</w:t>
      </w:r>
      <w:r>
        <w:tab/>
      </w:r>
      <w:r>
        <w:fldChar w:fldCharType="begin"/>
      </w:r>
      <w:r>
        <w:instrText xml:space="preserve"> PAGEREF _Toc7633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"_Toc17500" </w:instrText>
      </w:r>
      <w:r>
        <w:fldChar w:fldCharType="separate"/>
      </w:r>
      <w:r>
        <w:rPr>
          <w:rFonts w:hint="eastAsia" w:ascii="宋体" w:hAnsi="宋体" w:cs="宋体"/>
          <w:szCs w:val="24"/>
        </w:rPr>
        <w:t>第六章  理财产品的投资交易及其资金清算</w:t>
      </w:r>
      <w:r>
        <w:tab/>
      </w:r>
      <w:r>
        <w:fldChar w:fldCharType="begin"/>
      </w:r>
      <w:r>
        <w:instrText xml:space="preserve"> PAGEREF _Toc17500 \h </w:instrText>
      </w:r>
      <w:r>
        <w:fldChar w:fldCharType="separate"/>
      </w:r>
      <w:r>
        <w:t>16</w:t>
      </w:r>
      <w:r>
        <w:fldChar w:fldCharType="end"/>
      </w:r>
      <w:r>
        <w:fldChar w:fldCharType="end"/>
      </w:r>
    </w:p>
    <w:p>
      <w:pPr>
        <w:pStyle w:val="14"/>
        <w:tabs>
          <w:tab w:val="right" w:leader="dot" w:pos="8306"/>
        </w:tabs>
      </w:pPr>
      <w:r>
        <w:fldChar w:fldCharType="begin"/>
      </w:r>
      <w:r>
        <w:instrText xml:space="preserve"> HYPERLINK \l "_Toc21717" </w:instrText>
      </w:r>
      <w:r>
        <w:fldChar w:fldCharType="separate"/>
      </w:r>
      <w:r>
        <w:rPr>
          <w:rFonts w:hint="eastAsia" w:ascii="宋体" w:hAnsi="宋体" w:cs="宋体"/>
          <w:szCs w:val="24"/>
        </w:rPr>
        <w:t>第七章 理财产品估值与会计核算</w:t>
      </w:r>
      <w:r>
        <w:tab/>
      </w:r>
      <w:r>
        <w:fldChar w:fldCharType="begin"/>
      </w:r>
      <w:r>
        <w:instrText xml:space="preserve"> PAGEREF _Toc21717 \h </w:instrText>
      </w:r>
      <w:r>
        <w:fldChar w:fldCharType="separate"/>
      </w:r>
      <w:r>
        <w:t>19</w:t>
      </w:r>
      <w:r>
        <w:fldChar w:fldCharType="end"/>
      </w:r>
      <w:r>
        <w:fldChar w:fldCharType="end"/>
      </w:r>
    </w:p>
    <w:p>
      <w:pPr>
        <w:pStyle w:val="14"/>
        <w:tabs>
          <w:tab w:val="right" w:leader="dot" w:pos="8306"/>
        </w:tabs>
      </w:pPr>
      <w:r>
        <w:fldChar w:fldCharType="begin"/>
      </w:r>
      <w:r>
        <w:instrText xml:space="preserve"> HYPERLINK \l "_Toc20494" </w:instrText>
      </w:r>
      <w:r>
        <w:fldChar w:fldCharType="separate"/>
      </w:r>
      <w:r>
        <w:rPr>
          <w:rFonts w:hint="eastAsia" w:ascii="宋体" w:hAnsi="宋体" w:cs="宋体"/>
          <w:szCs w:val="24"/>
        </w:rPr>
        <w:t>第八章  托管人对管理人的业务监督与核查</w:t>
      </w:r>
      <w:r>
        <w:tab/>
      </w:r>
      <w:r>
        <w:fldChar w:fldCharType="begin"/>
      </w:r>
      <w:r>
        <w:instrText xml:space="preserve"> PAGEREF _Toc20494 \h </w:instrText>
      </w:r>
      <w:r>
        <w:fldChar w:fldCharType="separate"/>
      </w:r>
      <w:r>
        <w:t>25</w:t>
      </w:r>
      <w:r>
        <w:fldChar w:fldCharType="end"/>
      </w:r>
      <w:r>
        <w:fldChar w:fldCharType="end"/>
      </w:r>
    </w:p>
    <w:p>
      <w:pPr>
        <w:pStyle w:val="14"/>
        <w:tabs>
          <w:tab w:val="right" w:leader="dot" w:pos="8306"/>
        </w:tabs>
      </w:pPr>
      <w:r>
        <w:fldChar w:fldCharType="begin"/>
      </w:r>
      <w:r>
        <w:instrText xml:space="preserve"> HYPERLINK \l "_Toc28072" </w:instrText>
      </w:r>
      <w:r>
        <w:fldChar w:fldCharType="separate"/>
      </w:r>
      <w:r>
        <w:rPr>
          <w:rFonts w:hint="eastAsia" w:ascii="宋体" w:hAnsi="宋体" w:cs="宋体"/>
          <w:szCs w:val="24"/>
        </w:rPr>
        <w:t>第九章  信息披露</w:t>
      </w:r>
      <w:r>
        <w:tab/>
      </w:r>
      <w:r>
        <w:fldChar w:fldCharType="begin"/>
      </w:r>
      <w:r>
        <w:instrText xml:space="preserve"> PAGEREF _Toc28072 \h </w:instrText>
      </w:r>
      <w:r>
        <w:fldChar w:fldCharType="separate"/>
      </w:r>
      <w:r>
        <w:t>26</w:t>
      </w:r>
      <w:r>
        <w:fldChar w:fldCharType="end"/>
      </w:r>
      <w:r>
        <w:fldChar w:fldCharType="end"/>
      </w:r>
    </w:p>
    <w:p>
      <w:pPr>
        <w:pStyle w:val="14"/>
        <w:tabs>
          <w:tab w:val="right" w:leader="dot" w:pos="8306"/>
        </w:tabs>
      </w:pPr>
      <w:r>
        <w:fldChar w:fldCharType="begin"/>
      </w:r>
      <w:r>
        <w:instrText xml:space="preserve"> HYPERLINK \l "_Toc26489" </w:instrText>
      </w:r>
      <w:r>
        <w:fldChar w:fldCharType="separate"/>
      </w:r>
      <w:r>
        <w:rPr>
          <w:rFonts w:hint="eastAsia" w:ascii="宋体" w:hAnsi="宋体" w:cs="宋体"/>
          <w:szCs w:val="24"/>
        </w:rPr>
        <w:t>第十章  理财产品的档案保管</w:t>
      </w:r>
      <w:r>
        <w:tab/>
      </w:r>
      <w:r>
        <w:fldChar w:fldCharType="begin"/>
      </w:r>
      <w:r>
        <w:instrText xml:space="preserve"> PAGEREF _Toc26489 \h </w:instrText>
      </w:r>
      <w:r>
        <w:fldChar w:fldCharType="separate"/>
      </w:r>
      <w:r>
        <w:t>26</w:t>
      </w:r>
      <w:r>
        <w:fldChar w:fldCharType="end"/>
      </w:r>
      <w:r>
        <w:fldChar w:fldCharType="end"/>
      </w:r>
    </w:p>
    <w:p>
      <w:pPr>
        <w:pStyle w:val="14"/>
        <w:tabs>
          <w:tab w:val="right" w:leader="dot" w:pos="8306"/>
        </w:tabs>
      </w:pPr>
      <w:r>
        <w:fldChar w:fldCharType="begin"/>
      </w:r>
      <w:r>
        <w:instrText xml:space="preserve"> HYPERLINK \l "_Toc16599" </w:instrText>
      </w:r>
      <w:r>
        <w:fldChar w:fldCharType="separate"/>
      </w:r>
      <w:r>
        <w:rPr>
          <w:rFonts w:hint="eastAsia" w:ascii="宋体" w:hAnsi="宋体" w:cs="宋体"/>
          <w:szCs w:val="24"/>
        </w:rPr>
        <w:t>第十一章  费用</w:t>
      </w:r>
      <w:r>
        <w:tab/>
      </w:r>
      <w:r>
        <w:fldChar w:fldCharType="begin"/>
      </w:r>
      <w:r>
        <w:instrText xml:space="preserve"> PAGEREF _Toc16599 \h </w:instrText>
      </w:r>
      <w:r>
        <w:fldChar w:fldCharType="separate"/>
      </w:r>
      <w:r>
        <w:t>27</w:t>
      </w:r>
      <w:r>
        <w:fldChar w:fldCharType="end"/>
      </w:r>
      <w:r>
        <w:fldChar w:fldCharType="end"/>
      </w:r>
    </w:p>
    <w:p>
      <w:pPr>
        <w:pStyle w:val="14"/>
        <w:tabs>
          <w:tab w:val="right" w:leader="dot" w:pos="8306"/>
        </w:tabs>
      </w:pPr>
      <w:r>
        <w:fldChar w:fldCharType="begin"/>
      </w:r>
      <w:r>
        <w:instrText xml:space="preserve"> HYPERLINK \l "_Toc25659" </w:instrText>
      </w:r>
      <w:r>
        <w:fldChar w:fldCharType="separate"/>
      </w:r>
      <w:r>
        <w:rPr>
          <w:rFonts w:hint="eastAsia" w:ascii="宋体" w:hAnsi="宋体" w:cs="宋体"/>
          <w:szCs w:val="24"/>
        </w:rPr>
        <w:t>第十二章  理财产品变更、终止、清算与分配</w:t>
      </w:r>
      <w:r>
        <w:tab/>
      </w:r>
      <w:r>
        <w:fldChar w:fldCharType="begin"/>
      </w:r>
      <w:r>
        <w:instrText xml:space="preserve"> PAGEREF _Toc25659 \h </w:instrText>
      </w:r>
      <w:r>
        <w:fldChar w:fldCharType="separate"/>
      </w:r>
      <w:r>
        <w:t>28</w:t>
      </w:r>
      <w:r>
        <w:fldChar w:fldCharType="end"/>
      </w:r>
      <w:r>
        <w:fldChar w:fldCharType="end"/>
      </w:r>
    </w:p>
    <w:p>
      <w:pPr>
        <w:pStyle w:val="14"/>
        <w:tabs>
          <w:tab w:val="right" w:leader="dot" w:pos="8306"/>
        </w:tabs>
      </w:pPr>
      <w:r>
        <w:fldChar w:fldCharType="begin"/>
      </w:r>
      <w:r>
        <w:instrText xml:space="preserve"> HYPERLINK \l "_Toc8129" </w:instrText>
      </w:r>
      <w:r>
        <w:fldChar w:fldCharType="separate"/>
      </w:r>
      <w:r>
        <w:rPr>
          <w:rFonts w:hint="eastAsia" w:ascii="宋体" w:hAnsi="宋体" w:cs="宋体"/>
          <w:szCs w:val="24"/>
        </w:rPr>
        <w:t>第十三章  违约责任</w:t>
      </w:r>
      <w:r>
        <w:tab/>
      </w:r>
      <w:r>
        <w:fldChar w:fldCharType="begin"/>
      </w:r>
      <w:r>
        <w:instrText xml:space="preserve"> PAGEREF _Toc8129 \h </w:instrText>
      </w:r>
      <w:r>
        <w:fldChar w:fldCharType="separate"/>
      </w:r>
      <w:r>
        <w:t>28</w:t>
      </w:r>
      <w:r>
        <w:fldChar w:fldCharType="end"/>
      </w:r>
      <w:r>
        <w:fldChar w:fldCharType="end"/>
      </w:r>
    </w:p>
    <w:p>
      <w:pPr>
        <w:pStyle w:val="14"/>
        <w:tabs>
          <w:tab w:val="right" w:leader="dot" w:pos="8306"/>
        </w:tabs>
      </w:pPr>
      <w:r>
        <w:fldChar w:fldCharType="begin"/>
      </w:r>
      <w:r>
        <w:instrText xml:space="preserve"> HYPERLINK \l "_Toc8074" </w:instrText>
      </w:r>
      <w:r>
        <w:fldChar w:fldCharType="separate"/>
      </w:r>
      <w:r>
        <w:rPr>
          <w:rFonts w:hint="eastAsia" w:ascii="宋体" w:hAnsi="宋体" w:cs="宋体"/>
          <w:szCs w:val="24"/>
        </w:rPr>
        <w:t>第十四章  反洗钱条款</w:t>
      </w:r>
      <w:r>
        <w:tab/>
      </w:r>
      <w:r>
        <w:fldChar w:fldCharType="begin"/>
      </w:r>
      <w:r>
        <w:instrText xml:space="preserve"> PAGEREF _Toc8074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"_Toc24274" </w:instrText>
      </w:r>
      <w:r>
        <w:fldChar w:fldCharType="separate"/>
      </w:r>
      <w:r>
        <w:rPr>
          <w:rFonts w:hint="eastAsia" w:ascii="宋体" w:hAnsi="宋体" w:cs="宋体"/>
          <w:szCs w:val="24"/>
        </w:rPr>
        <w:t>第十五章  个人信息保护</w:t>
      </w:r>
      <w:r>
        <w:tab/>
      </w:r>
      <w:r>
        <w:fldChar w:fldCharType="begin"/>
      </w:r>
      <w:r>
        <w:instrText xml:space="preserve"> PAGEREF _Toc24274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"_Toc9217" </w:instrText>
      </w:r>
      <w:r>
        <w:fldChar w:fldCharType="separate"/>
      </w:r>
      <w:r>
        <w:rPr>
          <w:rFonts w:hint="eastAsia" w:ascii="宋体" w:hAnsi="宋体" w:cs="宋体"/>
          <w:szCs w:val="24"/>
        </w:rPr>
        <w:t>第十六章  其他事项</w:t>
      </w:r>
      <w:r>
        <w:tab/>
      </w:r>
      <w:r>
        <w:fldChar w:fldCharType="begin"/>
      </w:r>
      <w:r>
        <w:instrText xml:space="preserve"> PAGEREF _Toc9217 \h </w:instrText>
      </w:r>
      <w:r>
        <w:fldChar w:fldCharType="separate"/>
      </w:r>
      <w:r>
        <w:t>32</w:t>
      </w:r>
      <w:r>
        <w:fldChar w:fldCharType="end"/>
      </w:r>
      <w:r>
        <w:fldChar w:fldCharType="end"/>
      </w:r>
    </w:p>
    <w:p>
      <w:pPr>
        <w:pStyle w:val="14"/>
        <w:tabs>
          <w:tab w:val="right" w:leader="dot" w:pos="8306"/>
        </w:tabs>
      </w:pPr>
    </w:p>
    <w:p/>
    <w:p>
      <w:pPr>
        <w:pStyle w:val="4"/>
      </w:pPr>
    </w:p>
    <w:p>
      <w:pPr>
        <w:autoSpaceDE w:val="0"/>
        <w:autoSpaceDN w:val="0"/>
        <w:snapToGrid w:val="0"/>
        <w:spacing w:before="156" w:beforeLines="50" w:after="156" w:afterLines="50" w:line="360" w:lineRule="auto"/>
        <w:ind w:firstLine="420" w:firstLineChars="200"/>
        <w:jc w:val="left"/>
        <w:rPr>
          <w:rFonts w:ascii="宋体" w:hAnsi="宋体" w:cs="宋体"/>
          <w:sz w:val="24"/>
          <w:szCs w:val="24"/>
        </w:rPr>
      </w:pPr>
      <w:r>
        <w:rPr>
          <w:rFonts w:hint="eastAsia" w:ascii="宋体" w:hAnsi="宋体" w:cs="宋体"/>
          <w:szCs w:val="24"/>
        </w:rPr>
        <w:fldChar w:fldCharType="end"/>
      </w:r>
    </w:p>
    <w:p>
      <w:pPr>
        <w:autoSpaceDE w:val="0"/>
        <w:autoSpaceDN w:val="0"/>
        <w:snapToGrid w:val="0"/>
        <w:spacing w:before="156" w:beforeLines="50" w:after="156" w:afterLines="50" w:line="360" w:lineRule="auto"/>
        <w:ind w:firstLine="480" w:firstLineChars="200"/>
        <w:jc w:val="left"/>
        <w:rPr>
          <w:rFonts w:ascii="宋体" w:hAnsi="宋体" w:cs="宋体"/>
          <w:kern w:val="0"/>
          <w:sz w:val="24"/>
          <w:szCs w:val="24"/>
        </w:rPr>
      </w:pPr>
    </w:p>
    <w:p>
      <w:pPr>
        <w:autoSpaceDE w:val="0"/>
        <w:autoSpaceDN w:val="0"/>
        <w:snapToGrid w:val="0"/>
        <w:spacing w:before="156" w:beforeLines="50" w:after="156" w:afterLines="50" w:line="360" w:lineRule="auto"/>
        <w:ind w:firstLine="480" w:firstLineChars="200"/>
        <w:jc w:val="left"/>
        <w:rPr>
          <w:rFonts w:ascii="宋体" w:hAnsi="宋体" w:cs="宋体"/>
          <w:kern w:val="0"/>
          <w:sz w:val="24"/>
          <w:szCs w:val="24"/>
        </w:rPr>
      </w:pPr>
    </w:p>
    <w:p>
      <w:pPr>
        <w:autoSpaceDE w:val="0"/>
        <w:autoSpaceDN w:val="0"/>
        <w:snapToGrid w:val="0"/>
        <w:spacing w:before="156" w:beforeLines="50" w:after="156" w:afterLines="50" w:line="360" w:lineRule="auto"/>
        <w:ind w:firstLine="480" w:firstLineChars="200"/>
        <w:jc w:val="left"/>
        <w:rPr>
          <w:rFonts w:ascii="宋体" w:hAnsi="宋体" w:cs="宋体"/>
          <w:kern w:val="0"/>
          <w:sz w:val="24"/>
          <w:szCs w:val="24"/>
        </w:rPr>
      </w:pPr>
    </w:p>
    <w:p>
      <w:pPr>
        <w:autoSpaceDE w:val="0"/>
        <w:autoSpaceDN w:val="0"/>
        <w:snapToGrid w:val="0"/>
        <w:spacing w:before="156" w:beforeLines="50" w:after="156" w:afterLines="50" w:line="360" w:lineRule="auto"/>
        <w:ind w:firstLine="480" w:firstLineChars="200"/>
        <w:jc w:val="left"/>
        <w:rPr>
          <w:rFonts w:ascii="宋体" w:hAnsi="宋体" w:cs="宋体"/>
          <w:kern w:val="0"/>
          <w:sz w:val="24"/>
          <w:szCs w:val="24"/>
        </w:rPr>
      </w:pPr>
    </w:p>
    <w:p>
      <w:pPr>
        <w:autoSpaceDE w:val="0"/>
        <w:autoSpaceDN w:val="0"/>
        <w:snapToGrid w:val="0"/>
        <w:spacing w:before="156" w:beforeLines="50" w:after="156" w:afterLines="50" w:line="360" w:lineRule="auto"/>
        <w:jc w:val="left"/>
        <w:rPr>
          <w:rFonts w:ascii="宋体" w:hAnsi="宋体" w:cs="宋体"/>
          <w:kern w:val="0"/>
          <w:sz w:val="24"/>
          <w:szCs w:val="24"/>
        </w:rPr>
      </w:pPr>
    </w:p>
    <w:p>
      <w:pPr>
        <w:autoSpaceDE w:val="0"/>
        <w:autoSpaceDN w:val="0"/>
        <w:snapToGrid w:val="0"/>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鉴于平安理财有限责任公司（以下简称“甲方”）拟开展商业银行理财业务发行理财产品，并委托中国民生银行股份有限公司(以下简称“乙方”）作为理财产品理财资产的托管人，为明确甲、乙双方的权利、义务和责任，促进甲方理财产品资产独立、安全、稳健运行，保障甲方理财产品投资者和协议各方的合法权益，根据《关于规范金融机构资产管理业务的指导意见》《商业银行理财业务监督管理办法》及其他相关法律、法规规定，订立本托管协议。</w:t>
      </w:r>
      <w:r>
        <w:rPr>
          <w:color w:val="000000"/>
          <w:sz w:val="24"/>
        </w:rPr>
        <w:t>本协议项下，乙方接受甲方委托，在甲方委托范围内，办理甲方交付的理财</w:t>
      </w:r>
      <w:r>
        <w:rPr>
          <w:rFonts w:hint="eastAsia"/>
          <w:color w:val="000000"/>
          <w:sz w:val="24"/>
        </w:rPr>
        <w:t>产品财产</w:t>
      </w:r>
      <w:r>
        <w:rPr>
          <w:color w:val="000000"/>
          <w:sz w:val="24"/>
        </w:rPr>
        <w:t>的托管事宜。就该等托管事宜中双方当事人的权利、义务，乙方处理的委托事项及相关职责，双方协商一致，在本协议中作出约定。</w:t>
      </w:r>
      <w:r>
        <w:rPr>
          <w:rFonts w:hint="eastAsia" w:ascii="宋体" w:hAnsi="宋体" w:cs="宋体"/>
          <w:kern w:val="0"/>
          <w:sz w:val="24"/>
          <w:szCs w:val="24"/>
        </w:rPr>
        <w:t>除非本协议另有明确定义，否则本协议中涉及的理财业务专用名词的释义与法规或理财产品文件的释义相同。</w:t>
      </w:r>
    </w:p>
    <w:p>
      <w:pPr>
        <w:autoSpaceDE w:val="0"/>
        <w:autoSpaceDN w:val="0"/>
        <w:snapToGrid w:val="0"/>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本托管协议的签订，并不表明乙方对理财产品的价值和收益作出实质性判断或保证或其他形式的担保，也不表明投资于理财产品没有风险。甲方应保证理财产品的资金来源及用途合法，未违反国家法律法规及监管规定的各项要求，并自行对本理财产品的合法合规性负责。乙方对本理财产品的合法合规性不承担任何责任。</w:t>
      </w:r>
    </w:p>
    <w:p>
      <w:pPr>
        <w:autoSpaceDE w:val="0"/>
        <w:autoSpaceDN w:val="0"/>
        <w:snapToGrid w:val="0"/>
        <w:spacing w:before="156" w:beforeLines="50" w:after="156" w:afterLines="50" w:line="360" w:lineRule="auto"/>
        <w:ind w:firstLine="480" w:firstLineChars="200"/>
        <w:rPr>
          <w:color w:val="000000"/>
          <w:sz w:val="24"/>
        </w:rPr>
      </w:pPr>
      <w:r>
        <w:rPr>
          <w:rFonts w:hint="eastAsia" w:ascii="宋体" w:hAnsi="宋体" w:cs="宋体"/>
          <w:kern w:val="0"/>
          <w:sz w:val="24"/>
          <w:szCs w:val="24"/>
        </w:rPr>
        <w:t>当双方签署本协议后，本协议适用于甲方委托乙方托管的所有理财产品，双方无需就甲方发行的单期理财产品委托乙方托管事宜另行签署托管协议。</w:t>
      </w:r>
      <w:r>
        <w:rPr>
          <w:color w:val="000000"/>
          <w:sz w:val="24"/>
        </w:rPr>
        <w:t>乙方受托托管单</w:t>
      </w:r>
      <w:r>
        <w:rPr>
          <w:rFonts w:hint="eastAsia"/>
          <w:color w:val="000000"/>
          <w:sz w:val="24"/>
        </w:rPr>
        <w:t>期或单个</w:t>
      </w:r>
      <w:r>
        <w:rPr>
          <w:color w:val="000000"/>
          <w:sz w:val="24"/>
        </w:rPr>
        <w:t>理财产品后，双方就该理财产品托管中的权利义务关系受本协议的约束。甲方保证产品合法合规、具备可操作性。</w:t>
      </w:r>
    </w:p>
    <w:p>
      <w:pPr>
        <w:autoSpaceDE w:val="0"/>
        <w:autoSpaceDN w:val="0"/>
        <w:snapToGrid w:val="0"/>
        <w:spacing w:before="156" w:beforeLines="50" w:after="156" w:afterLines="50" w:line="360" w:lineRule="auto"/>
        <w:ind w:firstLine="480" w:firstLineChars="200"/>
        <w:jc w:val="left"/>
        <w:rPr>
          <w:rFonts w:ascii="宋体" w:hAnsi="宋体" w:cs="宋体"/>
          <w:kern w:val="0"/>
          <w:sz w:val="24"/>
          <w:szCs w:val="24"/>
        </w:rPr>
      </w:pPr>
    </w:p>
    <w:p>
      <w:pPr>
        <w:pStyle w:val="3"/>
        <w:adjustRightInd w:val="0"/>
        <w:snapToGrid w:val="0"/>
        <w:spacing w:line="440" w:lineRule="exact"/>
        <w:jc w:val="center"/>
        <w:textAlignment w:val="baseline"/>
        <w:rPr>
          <w:rFonts w:ascii="宋体" w:hAnsi="宋体" w:cs="宋体"/>
          <w:sz w:val="24"/>
          <w:szCs w:val="24"/>
        </w:rPr>
      </w:pPr>
      <w:bookmarkStart w:id="0" w:name="_Toc2673250"/>
      <w:bookmarkStart w:id="1" w:name="_Toc18057233"/>
      <w:bookmarkStart w:id="2" w:name="_Toc6903"/>
      <w:bookmarkStart w:id="3" w:name="_Toc214935829"/>
      <w:bookmarkStart w:id="4" w:name="_Toc214935787"/>
      <w:bookmarkStart w:id="5" w:name="_Toc30315"/>
      <w:bookmarkStart w:id="6" w:name="_Toc28331"/>
      <w:bookmarkStart w:id="7" w:name="_Toc22802416"/>
      <w:bookmarkStart w:id="8" w:name="_Toc17215"/>
      <w:bookmarkStart w:id="9" w:name="_Toc22404"/>
      <w:bookmarkStart w:id="10" w:name="_Toc19177197"/>
      <w:bookmarkStart w:id="11" w:name="_Toc18057335"/>
      <w:bookmarkStart w:id="12" w:name="_Toc1656547"/>
      <w:bookmarkStart w:id="13" w:name="_Toc18057708"/>
      <w:bookmarkStart w:id="14" w:name="_Toc22729"/>
      <w:bookmarkStart w:id="15" w:name="_Toc18057160"/>
      <w:r>
        <w:rPr>
          <w:rFonts w:hint="eastAsia" w:ascii="宋体" w:hAnsi="宋体" w:cs="宋体"/>
          <w:sz w:val="24"/>
          <w:szCs w:val="24"/>
        </w:rPr>
        <w:t>第一章  协议当事人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一、甲方（管理人）：</w:t>
      </w:r>
    </w:p>
    <w:p>
      <w:pPr>
        <w:spacing w:line="360" w:lineRule="auto"/>
        <w:ind w:firstLine="480" w:firstLineChars="200"/>
        <w:rPr>
          <w:rFonts w:ascii="宋体" w:hAnsi="宋体" w:cs="宋体"/>
          <w:sz w:val="24"/>
          <w:szCs w:val="24"/>
        </w:rPr>
      </w:pPr>
      <w:r>
        <w:rPr>
          <w:rFonts w:hint="eastAsia" w:ascii="宋体" w:hAnsi="宋体" w:cs="宋体"/>
          <w:sz w:val="24"/>
          <w:szCs w:val="24"/>
        </w:rPr>
        <w:t>名称：平安理财有限责任公司</w:t>
      </w:r>
    </w:p>
    <w:p>
      <w:pPr>
        <w:autoSpaceDE w:val="0"/>
        <w:autoSpaceDN w:val="0"/>
        <w:snapToGrid w:val="0"/>
        <w:spacing w:before="156" w:beforeLines="50" w:after="156" w:afterLines="50" w:line="360" w:lineRule="auto"/>
        <w:ind w:firstLine="480" w:firstLineChars="200"/>
        <w:jc w:val="left"/>
        <w:rPr>
          <w:rFonts w:ascii="宋体" w:hAnsi="宋体" w:cs="宋体"/>
          <w:kern w:val="0"/>
          <w:sz w:val="32"/>
          <w:szCs w:val="24"/>
        </w:rPr>
      </w:pPr>
      <w:r>
        <w:rPr>
          <w:rFonts w:hint="eastAsia" w:ascii="宋体" w:hAnsi="宋体" w:cs="宋体"/>
          <w:sz w:val="24"/>
          <w:szCs w:val="24"/>
        </w:rPr>
        <w:t>地址：</w:t>
      </w:r>
      <w:r>
        <w:rPr>
          <w:rFonts w:hint="eastAsia" w:ascii="宋体" w:hAnsi="宋体"/>
          <w:sz w:val="24"/>
        </w:rPr>
        <w:t>深圳市福田区益田路5033号平安金融中心64层</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法定代表人：胡跃飞</w:t>
      </w:r>
    </w:p>
    <w:p>
      <w:pPr>
        <w:spacing w:line="360" w:lineRule="auto"/>
        <w:ind w:firstLine="480" w:firstLineChars="200"/>
        <w:rPr>
          <w:rFonts w:ascii="宋体" w:hAnsi="宋体" w:cs="宋体"/>
          <w:sz w:val="24"/>
          <w:szCs w:val="24"/>
        </w:rPr>
      </w:pPr>
      <w:r>
        <w:rPr>
          <w:rFonts w:hint="eastAsia" w:ascii="宋体" w:hAnsi="宋体" w:cs="宋体"/>
          <w:sz w:val="24"/>
          <w:szCs w:val="24"/>
        </w:rPr>
        <w:t>联系人：卓伟权</w:t>
      </w:r>
    </w:p>
    <w:p>
      <w:pPr>
        <w:spacing w:line="360" w:lineRule="auto"/>
        <w:ind w:firstLine="480" w:firstLineChars="200"/>
        <w:rPr>
          <w:rFonts w:ascii="宋体" w:hAnsi="宋体" w:cs="宋体"/>
          <w:sz w:val="24"/>
          <w:szCs w:val="24"/>
        </w:rPr>
      </w:pPr>
      <w:r>
        <w:rPr>
          <w:rFonts w:hint="eastAsia" w:ascii="宋体" w:hAnsi="宋体" w:cs="宋体"/>
          <w:sz w:val="24"/>
          <w:szCs w:val="24"/>
        </w:rPr>
        <w:t>联系电话：</w:t>
      </w:r>
      <w:r>
        <w:rPr>
          <w:rFonts w:ascii="宋体" w:hAnsi="宋体" w:cs="Arial"/>
        </w:rPr>
        <w:t>0755</w:t>
      </w:r>
      <w:r>
        <w:rPr>
          <w:rFonts w:hint="eastAsia" w:ascii="宋体" w:hAnsi="宋体" w:cs="Arial"/>
        </w:rPr>
        <w:t>-22621721</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二、乙方（托管人）：</w:t>
      </w:r>
    </w:p>
    <w:p>
      <w:pPr>
        <w:spacing w:line="360" w:lineRule="auto"/>
        <w:ind w:firstLine="480" w:firstLineChars="200"/>
        <w:rPr>
          <w:rFonts w:ascii="宋体" w:hAnsi="宋体" w:cs="宋体"/>
          <w:sz w:val="24"/>
          <w:szCs w:val="24"/>
        </w:rPr>
      </w:pPr>
      <w:r>
        <w:rPr>
          <w:rFonts w:hint="eastAsia" w:ascii="宋体" w:hAnsi="宋体" w:cs="宋体"/>
          <w:sz w:val="24"/>
          <w:szCs w:val="24"/>
        </w:rPr>
        <w:t>名称：</w:t>
      </w:r>
      <w:r>
        <w:rPr>
          <w:rFonts w:hint="eastAsia" w:ascii="宋体" w:hAnsi="宋体" w:cs="宋体"/>
          <w:kern w:val="0"/>
          <w:sz w:val="24"/>
          <w:szCs w:val="24"/>
        </w:rPr>
        <w:t xml:space="preserve"> 中国民生银行股份有限公司</w:t>
      </w:r>
      <w:bookmarkStart w:id="16" w:name="_Toc1656549"/>
      <w:bookmarkStart w:id="17" w:name="_Toc214935831"/>
      <w:bookmarkStart w:id="18" w:name="_Toc24202"/>
      <w:bookmarkStart w:id="19" w:name="_Toc19177198"/>
      <w:bookmarkStart w:id="20" w:name="_Toc18057234"/>
      <w:bookmarkStart w:id="21" w:name="_Toc6359"/>
      <w:bookmarkStart w:id="22" w:name="_Toc29396"/>
      <w:bookmarkStart w:id="23" w:name="_Toc2673253"/>
      <w:bookmarkStart w:id="24" w:name="_Toc18057336"/>
      <w:bookmarkStart w:id="25" w:name="_Toc162062287"/>
      <w:bookmarkStart w:id="26" w:name="_Toc160530124"/>
      <w:bookmarkStart w:id="27" w:name="_Toc18057709"/>
      <w:bookmarkStart w:id="28" w:name="_Toc8403"/>
      <w:bookmarkStart w:id="29" w:name="_Toc18057161"/>
      <w:bookmarkStart w:id="30" w:name="_Toc214935789"/>
    </w:p>
    <w:p>
      <w:pPr>
        <w:spacing w:line="360" w:lineRule="auto"/>
        <w:ind w:firstLine="480" w:firstLineChars="200"/>
        <w:rPr>
          <w:rFonts w:ascii="宋体" w:hAnsi="宋体" w:cs="宋体"/>
          <w:sz w:val="24"/>
          <w:szCs w:val="24"/>
        </w:rPr>
      </w:pPr>
      <w:r>
        <w:rPr>
          <w:rFonts w:hint="eastAsia" w:ascii="宋体" w:hAnsi="宋体" w:cs="宋体"/>
          <w:sz w:val="24"/>
          <w:szCs w:val="24"/>
        </w:rPr>
        <w:t>地址： 北京市西城区复兴门内大街2号中国民生银行大厦</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法定代表人：高迎欣</w:t>
      </w:r>
    </w:p>
    <w:p>
      <w:pPr>
        <w:spacing w:line="360" w:lineRule="auto"/>
        <w:ind w:firstLine="480" w:firstLineChars="200"/>
        <w:rPr>
          <w:rFonts w:ascii="宋体" w:hAnsi="宋体" w:cs="宋体"/>
          <w:sz w:val="24"/>
          <w:szCs w:val="24"/>
        </w:rPr>
      </w:pPr>
      <w:r>
        <w:rPr>
          <w:rFonts w:hint="eastAsia" w:ascii="宋体" w:hAnsi="宋体" w:cs="宋体"/>
          <w:sz w:val="24"/>
          <w:szCs w:val="24"/>
        </w:rPr>
        <w:t>联系人：李无非</w:t>
      </w:r>
    </w:p>
    <w:p>
      <w:pPr>
        <w:spacing w:line="360" w:lineRule="auto"/>
        <w:ind w:firstLine="480" w:firstLineChars="200"/>
        <w:rPr>
          <w:rFonts w:ascii="宋体" w:hAnsi="宋体" w:cs="仿宋_GB2312"/>
          <w:spacing w:val="6"/>
          <w:sz w:val="24"/>
          <w:szCs w:val="24"/>
        </w:rPr>
      </w:pPr>
      <w:r>
        <w:rPr>
          <w:rFonts w:hint="eastAsia" w:ascii="宋体" w:hAnsi="宋体" w:cs="宋体"/>
          <w:sz w:val="24"/>
          <w:szCs w:val="24"/>
        </w:rPr>
        <w:t>联系电话：010-57092885</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pStyle w:val="3"/>
        <w:adjustRightInd w:val="0"/>
        <w:snapToGrid w:val="0"/>
        <w:spacing w:line="360" w:lineRule="auto"/>
        <w:jc w:val="center"/>
        <w:textAlignment w:val="baseline"/>
        <w:rPr>
          <w:rFonts w:ascii="宋体" w:hAnsi="宋体" w:cs="宋体"/>
          <w:sz w:val="24"/>
          <w:szCs w:val="24"/>
        </w:rPr>
      </w:pPr>
      <w:bookmarkStart w:id="31" w:name="_Toc22802417"/>
      <w:bookmarkStart w:id="32" w:name="_Toc1931"/>
      <w:bookmarkStart w:id="33" w:name="_Toc21847"/>
      <w:r>
        <w:rPr>
          <w:rFonts w:hint="eastAsia" w:ascii="宋体" w:hAnsi="宋体" w:cs="宋体"/>
          <w:sz w:val="24"/>
          <w:szCs w:val="24"/>
        </w:rPr>
        <w:t>第二章  当事人的权利与义务</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一、甲方的权利与义务</w:t>
      </w:r>
    </w:p>
    <w:p>
      <w:pPr>
        <w:spacing w:line="360" w:lineRule="auto"/>
        <w:ind w:firstLine="480" w:firstLineChars="200"/>
        <w:rPr>
          <w:rFonts w:ascii="宋体" w:hAnsi="宋体" w:cs="宋体"/>
          <w:sz w:val="24"/>
          <w:szCs w:val="24"/>
        </w:rPr>
      </w:pPr>
      <w:r>
        <w:rPr>
          <w:rFonts w:hint="eastAsia" w:ascii="宋体" w:hAnsi="宋体" w:cs="宋体"/>
          <w:sz w:val="24"/>
          <w:szCs w:val="24"/>
        </w:rPr>
        <w:t>（一）甲方的权利：</w:t>
      </w:r>
    </w:p>
    <w:p>
      <w:pPr>
        <w:spacing w:line="360" w:lineRule="auto"/>
        <w:ind w:firstLine="480" w:firstLineChars="200"/>
        <w:rPr>
          <w:rFonts w:ascii="宋体" w:hAnsi="宋体" w:cs="宋体"/>
          <w:sz w:val="24"/>
          <w:szCs w:val="24"/>
        </w:rPr>
      </w:pPr>
      <w:r>
        <w:rPr>
          <w:rFonts w:hint="eastAsia" w:ascii="宋体" w:hAnsi="宋体" w:cs="宋体"/>
          <w:sz w:val="24"/>
          <w:szCs w:val="24"/>
        </w:rPr>
        <w:t>1、根据相关的理财产品协议书（如有）、理财产品说明书及本协议的有关约定，对相关理财产品进行管理、运用、处置和分配；</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根据本协议的有关规定向乙方发出理财产品托管账户划款指令</w:t>
      </w:r>
      <w:r>
        <w:rPr>
          <w:rFonts w:hint="eastAsia" w:ascii="宋体" w:hAnsi="宋体" w:cs="宋体"/>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sz w:val="24"/>
          <w:szCs w:val="24"/>
        </w:rPr>
        <w:t>3、根据法律法</w:t>
      </w:r>
      <w:r>
        <w:rPr>
          <w:rFonts w:hint="eastAsia" w:ascii="宋体" w:hAnsi="宋体" w:cs="宋体"/>
          <w:kern w:val="0"/>
          <w:sz w:val="24"/>
          <w:szCs w:val="24"/>
        </w:rPr>
        <w:t>规的规定及本协议的约定对乙方的相关业务实施监督及核查；</w:t>
      </w:r>
    </w:p>
    <w:p>
      <w:pPr>
        <w:spacing w:line="360" w:lineRule="auto"/>
        <w:ind w:firstLine="480" w:firstLineChars="200"/>
        <w:rPr>
          <w:rFonts w:ascii="宋体" w:hAnsi="宋体" w:cs="宋体"/>
          <w:sz w:val="24"/>
          <w:szCs w:val="24"/>
        </w:rPr>
      </w:pPr>
      <w:r>
        <w:rPr>
          <w:rFonts w:hint="eastAsia" w:ascii="宋体" w:hAnsi="宋体" w:cs="宋体"/>
          <w:sz w:val="24"/>
          <w:szCs w:val="24"/>
        </w:rPr>
        <w:t>4、法律法规、监管机构规定的其他权利。</w:t>
      </w:r>
    </w:p>
    <w:p>
      <w:pPr>
        <w:spacing w:line="360" w:lineRule="auto"/>
        <w:ind w:firstLine="480" w:firstLineChars="200"/>
        <w:rPr>
          <w:rFonts w:ascii="宋体" w:hAnsi="宋体" w:cs="宋体"/>
          <w:sz w:val="24"/>
          <w:szCs w:val="24"/>
        </w:rPr>
      </w:pPr>
      <w:r>
        <w:rPr>
          <w:rFonts w:hint="eastAsia" w:ascii="宋体" w:hAnsi="宋体" w:cs="宋体"/>
          <w:sz w:val="24"/>
          <w:szCs w:val="24"/>
        </w:rPr>
        <w:t>（二）甲方的义务：</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1、对所管理的不同理财产品单独管理、单独建账和单独核算，确保每只理财产品具有资产负债表、利润表、产品净值变动表等会计报表。</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2、按照《理财产品协议书》（如有）、《理财产品说明书》的约定确定收益分配方案，及时向投资者分配收益。</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3、进行理财产品会计核算并编制理财产品财务会计报告。</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4、依法计算并披露理财产品净值或者投资收益情况，确定申购、赎回价格，并于申购赎回当日向乙方提供申购赎回份额信息。</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5、按照法律法规、</w:t>
      </w:r>
      <w:r>
        <w:rPr>
          <w:rFonts w:hint="eastAsia" w:ascii="宋体" w:hAnsi="宋体" w:cs="仿宋_GB2312"/>
          <w:sz w:val="24"/>
          <w:szCs w:val="24"/>
        </w:rPr>
        <w:t>国家金融监督管理总局</w:t>
      </w:r>
      <w:r>
        <w:rPr>
          <w:rFonts w:hint="eastAsia" w:ascii="宋体" w:hAnsi="宋体" w:cs="宋体"/>
          <w:kern w:val="0"/>
          <w:sz w:val="24"/>
          <w:szCs w:val="24"/>
        </w:rPr>
        <w:t>的规定及理财文件的约定办理与理财产品管理业务活动有关的信息披露事项。</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6、保存理财产品财产管理业务活动的记录、账册、报表和其他相关资料不少于法律法规规定的最低期限。</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7、以管理人名义，代表投资者利益行使诉讼权利或者实施其他法律行为。</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8、在兑付理财产品资金及收益时，甲方应当保证理财产品资金及收益返回委托人的原账户、同名账户或者协议约定的受益人账户。</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9、协助乙方为甲方理财产品开立托管所需的资金账户以及相关的资产账户；</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10、按照本协议规定将理财资金或资产移交乙方托管；</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11、按本协议规定方式和程序向乙方发出理财产品托管账户划款指令；</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12、发生任何可能导致理财产品业务性质或投资范围发生重大变化或直接影响托管业务的重大事项时，须提前通知乙方；</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13、根据国家有关规定和本协议的规定接受乙方的监督；</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14、甲方根据相关法律法规和授权文件，委托第三方服务机构为其提供估值核算服务。对于该服务机构在授权范围内实施的行为，甲方不得否认其效力，该等行为产生的法律后果由甲方承担。理财产品投资运作管理过程中，甲方应确保该服务机构按本协议履行相关职责义务，乙方不承担因该服务机构违反本协议约定所导致的风险和损失。如乙方与该服务机构无法达成一致的，乙方有权通知甲方，并与甲方协商一致处理，乙方不承担由此产生的延迟履行导致的风险或损失。</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15、甲方理财产品投资本机构、托管机构，其主要股东、控股股东、实际控制人、一致行动人、最终受益人，其控股的机构或者与其有重大利害关系的公司发行或者承销的证券，或者从事其他重大关联交易的，应当符合理财产品的投资目标、投资策略和投资者利益优先原则，按照商业原则，以不优于对非关联方同类交易的条件进行，并向投资者充分披露信息。甲方应当按照金融监督管理部门关于关联交易的相关规定，建立健全理财业务关联交易内部评估和审批机制。理财业务涉及重大关联交易的，应当提交有权审批机构审批，并向银行业监督管理机构报告。甲方不得以理财资金与关联方进行不正当交易、利益输送、内幕交易和操纵市场，包括但不限于投资于关联方虚假项目、与关联方共同收购上市公司等。如甲方需要，乙方（或其分支机构）应配合向甲方提供相应关联方信息。</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16、在发行、管理本产品和运用本产品资产的过程中，遵守《关于规范金融机构资产管理业务的指导意见》《关于进一步明确规范金融机构资产管理业务指导意见有关事项的通知》《商业银行理财业务监督管理办法》《商业银行理财子公司管理办法》及其他相关的法律法规规章。</w:t>
      </w:r>
    </w:p>
    <w:p>
      <w:pPr>
        <w:spacing w:line="360" w:lineRule="auto"/>
        <w:ind w:firstLine="480" w:firstLineChars="200"/>
        <w:rPr>
          <w:rFonts w:ascii="宋体" w:hAnsi="宋体" w:cs="宋体"/>
          <w:sz w:val="24"/>
          <w:szCs w:val="24"/>
        </w:rPr>
      </w:pPr>
      <w:r>
        <w:rPr>
          <w:rFonts w:hint="eastAsia" w:ascii="宋体" w:hAnsi="宋体" w:cs="宋体"/>
          <w:kern w:val="0"/>
          <w:sz w:val="24"/>
          <w:szCs w:val="24"/>
        </w:rPr>
        <w:t>17、</w:t>
      </w:r>
      <w:r>
        <w:rPr>
          <w:rFonts w:hint="eastAsia" w:ascii="宋体" w:hAnsi="宋体" w:cs="宋体"/>
          <w:sz w:val="24"/>
          <w:szCs w:val="24"/>
        </w:rPr>
        <w:t>按法律法规、监管部门规定，管理人应识别并核实受益所有人身份并向托管人提供受益所有人信息；</w:t>
      </w:r>
    </w:p>
    <w:p>
      <w:pPr>
        <w:autoSpaceDE w:val="0"/>
        <w:autoSpaceDN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18、负责理财产品的合法合规审查及履行反洗钱义务。</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19、法律法规、监管机构规定的</w:t>
      </w:r>
      <w:bookmarkStart w:id="34" w:name="OLE_LINK9"/>
      <w:r>
        <w:rPr>
          <w:rFonts w:hint="eastAsia" w:ascii="宋体" w:hAnsi="宋体" w:cs="宋体"/>
          <w:kern w:val="0"/>
          <w:sz w:val="24"/>
          <w:szCs w:val="24"/>
        </w:rPr>
        <w:t>其他</w:t>
      </w:r>
      <w:bookmarkEnd w:id="34"/>
      <w:r>
        <w:rPr>
          <w:rFonts w:hint="eastAsia" w:ascii="宋体" w:hAnsi="宋体" w:cs="宋体"/>
          <w:kern w:val="0"/>
          <w:sz w:val="24"/>
          <w:szCs w:val="24"/>
        </w:rPr>
        <w:t>义务。</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二、乙方的权利和义务</w:t>
      </w:r>
    </w:p>
    <w:p>
      <w:pPr>
        <w:spacing w:line="360" w:lineRule="auto"/>
        <w:ind w:firstLine="480" w:firstLineChars="200"/>
        <w:rPr>
          <w:rFonts w:ascii="宋体" w:hAnsi="宋体" w:cs="宋体"/>
          <w:sz w:val="24"/>
          <w:szCs w:val="24"/>
        </w:rPr>
      </w:pPr>
      <w:r>
        <w:rPr>
          <w:rFonts w:hint="eastAsia" w:ascii="宋体" w:hAnsi="宋体" w:cs="宋体"/>
          <w:sz w:val="24"/>
          <w:szCs w:val="24"/>
        </w:rPr>
        <w:t>（一）乙方的权利：</w:t>
      </w:r>
    </w:p>
    <w:p>
      <w:pPr>
        <w:spacing w:line="360" w:lineRule="auto"/>
        <w:ind w:firstLine="480" w:firstLineChars="200"/>
        <w:rPr>
          <w:rFonts w:ascii="宋体" w:hAnsi="宋体" w:cs="宋体"/>
          <w:sz w:val="24"/>
          <w:szCs w:val="24"/>
        </w:rPr>
      </w:pPr>
      <w:r>
        <w:rPr>
          <w:rFonts w:hint="eastAsia" w:ascii="宋体" w:hAnsi="宋体" w:cs="宋体"/>
          <w:sz w:val="24"/>
          <w:szCs w:val="24"/>
        </w:rPr>
        <w:t>1、根据有关法律法规及本协议之约定，行使对理财产品财产的托管；</w:t>
      </w:r>
    </w:p>
    <w:p>
      <w:pPr>
        <w:spacing w:line="360" w:lineRule="auto"/>
        <w:ind w:firstLine="480" w:firstLineChars="200"/>
        <w:rPr>
          <w:rFonts w:ascii="宋体" w:hAnsi="宋体" w:cs="宋体"/>
          <w:sz w:val="24"/>
          <w:szCs w:val="24"/>
        </w:rPr>
      </w:pPr>
      <w:r>
        <w:rPr>
          <w:rFonts w:hint="eastAsia" w:ascii="宋体" w:hAnsi="宋体" w:cs="宋体"/>
          <w:sz w:val="24"/>
          <w:szCs w:val="24"/>
        </w:rPr>
        <w:t>2、根据本协议的约定及时、足额地收取托管费；</w:t>
      </w:r>
    </w:p>
    <w:p>
      <w:pPr>
        <w:spacing w:line="360" w:lineRule="auto"/>
        <w:ind w:firstLine="480" w:firstLineChars="200"/>
        <w:rPr>
          <w:rFonts w:ascii="宋体" w:hAnsi="宋体" w:cs="宋体"/>
          <w:sz w:val="24"/>
          <w:szCs w:val="24"/>
        </w:rPr>
      </w:pPr>
      <w:r>
        <w:rPr>
          <w:rFonts w:hint="eastAsia" w:ascii="宋体" w:hAnsi="宋体" w:cs="宋体"/>
          <w:sz w:val="24"/>
          <w:szCs w:val="24"/>
        </w:rPr>
        <w:t>3、根据法律法规的规定和本协议的约定，对甲方的相关业务实施监督与核查</w:t>
      </w:r>
      <w:r>
        <w:rPr>
          <w:color w:val="000000"/>
          <w:sz w:val="24"/>
          <w:szCs w:val="20"/>
        </w:rPr>
        <w:t>，对于</w:t>
      </w:r>
      <w:r>
        <w:rPr>
          <w:rFonts w:hint="eastAsia"/>
          <w:color w:val="000000"/>
          <w:sz w:val="24"/>
          <w:szCs w:val="20"/>
        </w:rPr>
        <w:t>管理人</w:t>
      </w:r>
      <w:r>
        <w:rPr>
          <w:color w:val="000000"/>
          <w:sz w:val="24"/>
          <w:szCs w:val="20"/>
        </w:rPr>
        <w:t>违反法律法规规定的行为，对</w:t>
      </w:r>
      <w:r>
        <w:rPr>
          <w:rFonts w:hint="eastAsia"/>
          <w:color w:val="000000"/>
          <w:sz w:val="24"/>
          <w:szCs w:val="20"/>
        </w:rPr>
        <w:t>理财产品</w:t>
      </w:r>
      <w:r>
        <w:rPr>
          <w:color w:val="000000"/>
          <w:sz w:val="24"/>
          <w:szCs w:val="20"/>
        </w:rPr>
        <w:t>财产及其他当事人的利益造成重大损失的情形，有权报告</w:t>
      </w:r>
      <w:r>
        <w:rPr>
          <w:rFonts w:hint="eastAsia" w:ascii="宋体" w:hAnsi="宋体" w:cs="仿宋_GB2312"/>
          <w:sz w:val="24"/>
          <w:szCs w:val="24"/>
        </w:rPr>
        <w:t>国家金融监督管理总局</w:t>
      </w:r>
      <w:r>
        <w:rPr>
          <w:color w:val="000000"/>
          <w:sz w:val="24"/>
          <w:szCs w:val="20"/>
        </w:rPr>
        <w:t>并采取必要措施</w:t>
      </w:r>
      <w:r>
        <w:rPr>
          <w:rFonts w:hint="eastAsia"/>
          <w:color w:val="000000"/>
          <w:sz w:val="24"/>
          <w:szCs w:val="20"/>
        </w:rPr>
        <w:t>。</w:t>
      </w:r>
    </w:p>
    <w:p>
      <w:pPr>
        <w:spacing w:line="360" w:lineRule="auto"/>
        <w:ind w:firstLine="480" w:firstLineChars="200"/>
        <w:rPr>
          <w:rFonts w:ascii="宋体" w:hAnsi="宋体" w:cs="宋体"/>
          <w:sz w:val="24"/>
          <w:szCs w:val="24"/>
        </w:rPr>
      </w:pPr>
      <w:r>
        <w:rPr>
          <w:rFonts w:hint="eastAsia" w:ascii="宋体" w:hAnsi="宋体" w:cs="宋体"/>
          <w:sz w:val="24"/>
          <w:szCs w:val="24"/>
        </w:rPr>
        <w:t>4、管理人在反洗钱上拒绝配合合法性审查、可疑交易调查等情况的，托管人有权终止合作。</w:t>
      </w:r>
    </w:p>
    <w:p>
      <w:pPr>
        <w:spacing w:line="360" w:lineRule="auto"/>
        <w:ind w:firstLine="480" w:firstLineChars="200"/>
        <w:rPr>
          <w:rFonts w:ascii="宋体" w:hAnsi="宋体" w:cs="宋体"/>
          <w:sz w:val="24"/>
          <w:szCs w:val="24"/>
        </w:rPr>
      </w:pPr>
      <w:r>
        <w:rPr>
          <w:rFonts w:hint="eastAsia" w:ascii="宋体" w:hAnsi="宋体" w:cs="宋体"/>
          <w:sz w:val="24"/>
          <w:szCs w:val="24"/>
        </w:rPr>
        <w:t>5、法律法规、</w:t>
      </w:r>
      <w:r>
        <w:rPr>
          <w:rFonts w:hint="eastAsia" w:ascii="宋体" w:hAnsi="宋体" w:cs="宋体"/>
          <w:kern w:val="0"/>
          <w:sz w:val="24"/>
          <w:szCs w:val="24"/>
        </w:rPr>
        <w:t>监管机构</w:t>
      </w:r>
      <w:r>
        <w:rPr>
          <w:rFonts w:hint="eastAsia" w:ascii="宋体" w:hAnsi="宋体" w:cs="宋体"/>
          <w:sz w:val="24"/>
          <w:szCs w:val="24"/>
        </w:rPr>
        <w:t>约定的其他权利。</w:t>
      </w:r>
    </w:p>
    <w:p>
      <w:pPr>
        <w:spacing w:line="360" w:lineRule="auto"/>
        <w:ind w:firstLine="480" w:firstLineChars="200"/>
        <w:rPr>
          <w:rFonts w:ascii="宋体" w:hAnsi="宋体" w:cs="宋体"/>
          <w:sz w:val="24"/>
          <w:szCs w:val="24"/>
        </w:rPr>
      </w:pPr>
      <w:r>
        <w:rPr>
          <w:rFonts w:hint="eastAsia" w:ascii="宋体" w:hAnsi="宋体" w:cs="宋体"/>
          <w:sz w:val="24"/>
          <w:szCs w:val="24"/>
        </w:rPr>
        <w:t>（二）乙方的义务：</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1、按本协议的约定，安全保管理财产品财产；</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2、为每只理财产品开设独立的托管账户，不同托管账户中的资产应当相互独立，且所保管的理财产品资产和乙方自有资产、其他保管资产之间相互独立；</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3、按照托管协议约定和甲方的投资指令，确认与及时办理清算、交割事宜；</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4、建立与甲方的对账机制，复核、审查理财产品资金头寸、资产账目、资产净值等数据，及时核查认申购、赎回以及投资资金的支付和到账情况；</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5、监督理财产品投资运作，发现理财产品违反法律法规或本协议约定进行投资的，及时通知甲方并有权向银行业监督管理机构报告；</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6、办理与理财产品托管业务活动相关的信息披露事项，包括披露公募理财产品托管协议、对理财产品信息披露文件中的理财产品财务会计报告等出具意见，以及在公募理财产品半年度和年度报告中出具理财托管机构报告等；</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7、根据甲方提供的资料，记录理财产品资金划拨情况，保存理财托管业务活动的记录、账册、报表和其他相关资料不少于法律法规规定的最低期限；</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8、对理财产品投资信息和相关资料承担保密责任，除法律、行政法规、规章和审计要求或者协议约定外，不得向任何机构或者个人提供相关信息和资料；</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9、法律法规、监管机构规定的其他义务。</w:t>
      </w:r>
    </w:p>
    <w:p>
      <w:pPr>
        <w:pStyle w:val="3"/>
        <w:tabs>
          <w:tab w:val="left" w:pos="0"/>
          <w:tab w:val="left" w:pos="804"/>
        </w:tabs>
        <w:adjustRightInd w:val="0"/>
        <w:spacing w:before="312" w:beforeLines="100" w:after="312" w:afterLines="100" w:line="360" w:lineRule="auto"/>
        <w:ind w:firstLine="1185" w:firstLineChars="492"/>
        <w:textAlignment w:val="baseline"/>
        <w:rPr>
          <w:rFonts w:ascii="宋体" w:hAnsi="宋体" w:cs="宋体"/>
          <w:sz w:val="24"/>
          <w:szCs w:val="24"/>
        </w:rPr>
      </w:pPr>
      <w:bookmarkStart w:id="35" w:name="_Toc19177199"/>
      <w:bookmarkStart w:id="36" w:name="_Toc31574"/>
      <w:bookmarkStart w:id="37" w:name="_Toc22802418"/>
      <w:bookmarkStart w:id="38" w:name="_Toc18057337"/>
      <w:bookmarkStart w:id="39" w:name="_Toc18057710"/>
      <w:bookmarkStart w:id="40" w:name="_Toc160530125"/>
      <w:bookmarkStart w:id="41" w:name="_Toc162062288"/>
      <w:bookmarkStart w:id="42" w:name="_Toc18057162"/>
      <w:bookmarkStart w:id="43" w:name="_Toc18057235"/>
      <w:bookmarkStart w:id="44" w:name="_Toc8594"/>
      <w:bookmarkStart w:id="45" w:name="_Toc16990"/>
      <w:bookmarkStart w:id="46" w:name="_Toc520463148"/>
      <w:bookmarkStart w:id="47" w:name="_Toc3927"/>
      <w:bookmarkStart w:id="48" w:name="_Toc4403"/>
      <w:bookmarkStart w:id="49" w:name="_Toc301882195"/>
      <w:r>
        <w:rPr>
          <w:rFonts w:hint="eastAsia" w:ascii="宋体" w:hAnsi="宋体" w:cs="宋体"/>
          <w:sz w:val="24"/>
          <w:szCs w:val="24"/>
        </w:rPr>
        <w:t>第三章  理财产品成立时理财资金及资料的交付</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pPr>
        <w:pStyle w:val="9"/>
        <w:adjustRightInd w:val="0"/>
        <w:snapToGrid w:val="0"/>
        <w:spacing w:before="156" w:beforeLines="50" w:after="156" w:afterLines="50" w:line="360" w:lineRule="auto"/>
        <w:ind w:firstLine="482" w:firstLineChars="200"/>
        <w:rPr>
          <w:rFonts w:hAnsi="宋体"/>
          <w:b/>
          <w:bCs/>
          <w:kern w:val="0"/>
          <w:sz w:val="24"/>
          <w:szCs w:val="24"/>
        </w:rPr>
      </w:pPr>
      <w:r>
        <w:rPr>
          <w:rFonts w:hint="eastAsia" w:hAnsi="宋体"/>
          <w:b/>
          <w:bCs/>
          <w:kern w:val="0"/>
          <w:sz w:val="24"/>
          <w:szCs w:val="24"/>
          <w:lang w:val="en-US"/>
        </w:rPr>
        <w:t>一、</w:t>
      </w:r>
      <w:r>
        <w:rPr>
          <w:rFonts w:hint="eastAsia" w:hAnsi="宋体"/>
          <w:b/>
          <w:bCs/>
          <w:kern w:val="0"/>
          <w:sz w:val="24"/>
          <w:szCs w:val="24"/>
        </w:rPr>
        <w:t>甲乙双方对各理财产品协议的确认</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一）甲方应于交付乙方的理财产品托管运作前向乙方提供《平安理财有限责任公司理财产品托管协议适用确认书》（见附件一，以下简称为“《适用确认书》”），《适用确认书》应加盖甲方公章，《适用确认书》中应注明的内容包括但不限于：</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1、该等理财产品适用于双方签订的《平安理财有限责任公司理财产品托管协议</w:t>
      </w:r>
      <w:r>
        <w:rPr>
          <w:rFonts w:hint="eastAsia" w:ascii="宋体" w:hAnsi="宋体" w:cs="宋体"/>
          <w:kern w:val="0"/>
          <w:sz w:val="24"/>
          <w:szCs w:val="24"/>
          <w:u w:val="single"/>
        </w:rPr>
        <w:t>》【编号：平安理财民生托2</w:t>
      </w:r>
      <w:r>
        <w:rPr>
          <w:rFonts w:ascii="宋体" w:hAnsi="宋体" w:cs="宋体"/>
          <w:kern w:val="0"/>
          <w:sz w:val="24"/>
          <w:szCs w:val="24"/>
          <w:u w:val="single"/>
        </w:rPr>
        <w:t>023001</w:t>
      </w:r>
      <w:r>
        <w:rPr>
          <w:rFonts w:hint="eastAsia" w:ascii="宋体" w:hAnsi="宋体" w:cs="宋体"/>
          <w:kern w:val="0"/>
          <w:sz w:val="24"/>
          <w:szCs w:val="24"/>
          <w:u w:val="single"/>
        </w:rPr>
        <w:t xml:space="preserve"> 】</w:t>
      </w:r>
      <w:r>
        <w:rPr>
          <w:rFonts w:hint="eastAsia" w:ascii="宋体" w:hAnsi="宋体" w:cs="宋体"/>
          <w:kern w:val="0"/>
          <w:sz w:val="24"/>
          <w:szCs w:val="24"/>
        </w:rPr>
        <w:t>，相关托管运作依照该理财产品托管协议的约定执行；</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2、该等理财产品的基本情况；</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3、该等理财产品估值方法、净值核对事项；</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4、该等理财产品的托管费率及支付方式；</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5、《投资监督事项表》；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6、该等理财产品的托管经办行、托管账户、托管费收入账户等信息；</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（二）乙方收到以上文件进行确认，并在《适用确认书》加盖公章或合同专用章确认，《适用确认书》一式两份，甲乙双方各自保管一份正本。</w:t>
      </w:r>
    </w:p>
    <w:p>
      <w:pPr>
        <w:pStyle w:val="9"/>
        <w:adjustRightInd w:val="0"/>
        <w:snapToGrid w:val="0"/>
        <w:spacing w:before="156" w:beforeLines="50" w:after="156" w:afterLines="50" w:line="360" w:lineRule="auto"/>
        <w:ind w:firstLine="482" w:firstLineChars="200"/>
        <w:rPr>
          <w:rFonts w:hAnsi="宋体"/>
          <w:b/>
          <w:bCs/>
          <w:kern w:val="0"/>
          <w:sz w:val="24"/>
          <w:szCs w:val="24"/>
        </w:rPr>
      </w:pPr>
      <w:r>
        <w:rPr>
          <w:rFonts w:hint="eastAsia" w:hAnsi="宋体"/>
          <w:b/>
          <w:bCs/>
          <w:kern w:val="0"/>
          <w:sz w:val="24"/>
          <w:szCs w:val="24"/>
        </w:rPr>
        <w:t>二、理财产品财产的交付</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甲方应在各理财产品成立时，将该理财产品项下全部资金划至甲方理财产品托管账户，并向乙方发出该理财产品成立的书面通知或理财产品起始运作起始通知书（见附件二）。</w:t>
      </w:r>
    </w:p>
    <w:p>
      <w:pPr>
        <w:pStyle w:val="9"/>
        <w:adjustRightInd w:val="0"/>
        <w:snapToGrid w:val="0"/>
        <w:spacing w:before="156" w:beforeLines="50" w:after="156" w:afterLines="50" w:line="360" w:lineRule="auto"/>
        <w:ind w:firstLine="482" w:firstLineChars="200"/>
        <w:rPr>
          <w:rFonts w:hAnsi="宋体"/>
          <w:b/>
          <w:bCs/>
          <w:sz w:val="24"/>
          <w:szCs w:val="24"/>
        </w:rPr>
      </w:pPr>
      <w:r>
        <w:rPr>
          <w:rFonts w:hint="eastAsia" w:hAnsi="宋体"/>
          <w:b/>
          <w:bCs/>
          <w:sz w:val="24"/>
          <w:szCs w:val="24"/>
        </w:rPr>
        <w:t>三、理财产品成立时相关文件资料的交付</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甲方应至少于单期理财产品成立当日以传真形式、电子邮件或双方认可的其它方式向乙方提供下列文件、资料：</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1、理财文件：理财文件包括但不限于理财产品对应的理财产品说明书、理财产品起始运作通知书（样本见附件二）等，理财产品起始运作通知书应加盖公章或预留印章。</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2、双方另行约定的其他文件资料。</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bCs/>
          <w:sz w:val="24"/>
          <w:szCs w:val="24"/>
        </w:rPr>
        <w:t>四、</w:t>
      </w:r>
      <w:r>
        <w:rPr>
          <w:rFonts w:hint="eastAsia" w:ascii="宋体" w:hAnsi="宋体" w:cs="宋体"/>
          <w:sz w:val="24"/>
          <w:szCs w:val="24"/>
        </w:rPr>
        <w:t>乙方在收到甲方某</w:t>
      </w:r>
      <w:r>
        <w:rPr>
          <w:rFonts w:hint="eastAsia" w:ascii="宋体" w:hAnsi="宋体" w:cs="宋体"/>
          <w:kern w:val="0"/>
          <w:sz w:val="24"/>
          <w:szCs w:val="24"/>
        </w:rPr>
        <w:t>理财产品</w:t>
      </w:r>
      <w:r>
        <w:rPr>
          <w:rFonts w:hint="eastAsia" w:ascii="宋体" w:hAnsi="宋体" w:cs="宋体"/>
          <w:sz w:val="24"/>
          <w:szCs w:val="24"/>
        </w:rPr>
        <w:t>成立的书面通知或理财产品运作起始通知书及该理财产品的</w:t>
      </w:r>
      <w:r>
        <w:rPr>
          <w:rFonts w:hint="eastAsia" w:ascii="宋体" w:hAnsi="宋体" w:cs="宋体"/>
          <w:kern w:val="0"/>
          <w:sz w:val="24"/>
          <w:szCs w:val="24"/>
        </w:rPr>
        <w:t>相关文件资料，</w:t>
      </w:r>
      <w:r>
        <w:rPr>
          <w:rFonts w:hint="eastAsia" w:ascii="宋体" w:hAnsi="宋体" w:cs="宋体"/>
          <w:sz w:val="24"/>
          <w:szCs w:val="24"/>
        </w:rPr>
        <w:t>并经核对确认理财产品托管账户内该理财产品理财资金无误后，</w:t>
      </w:r>
      <w:r>
        <w:rPr>
          <w:rFonts w:hint="eastAsia" w:ascii="宋体" w:hAnsi="宋体" w:cs="宋体"/>
          <w:kern w:val="0"/>
          <w:sz w:val="24"/>
          <w:szCs w:val="24"/>
        </w:rPr>
        <w:t>乙方于该</w:t>
      </w:r>
      <w:r>
        <w:rPr>
          <w:rFonts w:hint="eastAsia" w:ascii="宋体" w:hAnsi="宋体" w:cs="宋体"/>
          <w:sz w:val="24"/>
          <w:szCs w:val="24"/>
        </w:rPr>
        <w:t>理财产品资金到账之日起</w:t>
      </w:r>
      <w:r>
        <w:rPr>
          <w:rFonts w:hint="eastAsia" w:ascii="宋体" w:hAnsi="宋体" w:cs="宋体"/>
          <w:kern w:val="0"/>
          <w:sz w:val="24"/>
          <w:szCs w:val="24"/>
        </w:rPr>
        <w:t>根据本协议的约定对甲方该理财产品履行托管职责。乙方应于理财产品成立日向甲方发送</w:t>
      </w:r>
      <w:r>
        <w:rPr>
          <w:rFonts w:hint="eastAsia" w:ascii="宋体" w:hAnsi="宋体"/>
          <w:color w:val="000000"/>
          <w:kern w:val="0"/>
          <w:sz w:val="24"/>
        </w:rPr>
        <w:t>理财产品资金到账暨起始运作通知书回执（见附件三）。</w:t>
      </w:r>
    </w:p>
    <w:p>
      <w:pPr>
        <w:pStyle w:val="9"/>
        <w:adjustRightInd w:val="0"/>
        <w:snapToGrid w:val="0"/>
        <w:spacing w:before="156" w:beforeLines="50" w:after="156" w:afterLines="50" w:line="360" w:lineRule="auto"/>
        <w:ind w:firstLine="420"/>
        <w:rPr>
          <w:rFonts w:hAnsi="宋体"/>
          <w:sz w:val="24"/>
          <w:szCs w:val="24"/>
        </w:rPr>
      </w:pPr>
      <w:r>
        <w:rPr>
          <w:rFonts w:hint="eastAsia" w:hAnsi="宋体"/>
          <w:bCs/>
          <w:kern w:val="0"/>
          <w:sz w:val="24"/>
          <w:szCs w:val="24"/>
        </w:rPr>
        <w:t>五、</w:t>
      </w:r>
      <w:r>
        <w:rPr>
          <w:rFonts w:hint="eastAsia" w:hAnsi="宋体"/>
          <w:sz w:val="24"/>
          <w:szCs w:val="24"/>
        </w:rPr>
        <w:t>甲方提供给乙方的相关材料均应真实、完整、准确、</w:t>
      </w:r>
      <w:r>
        <w:rPr>
          <w:rFonts w:hint="eastAsia" w:hAnsi="宋体"/>
          <w:sz w:val="24"/>
          <w:szCs w:val="24"/>
          <w:lang w:val="en-US"/>
        </w:rPr>
        <w:t>合法</w:t>
      </w:r>
      <w:r>
        <w:rPr>
          <w:rFonts w:hint="eastAsia" w:hAnsi="宋体"/>
          <w:sz w:val="24"/>
          <w:szCs w:val="24"/>
        </w:rPr>
        <w:t>，并加盖甲方骑缝公章或经授权的业务往来专用章。甲方通过传真或电子扫描件方式向乙方递送的材料，乙方视其与正本文件具有相同效力。若与正本存在不一致的，以乙方收到的材料为准。由于甲方提供材料</w:t>
      </w:r>
      <w:r>
        <w:rPr>
          <w:rFonts w:hint="eastAsia" w:hAnsi="宋体" w:cs="仿宋_GB2312"/>
          <w:sz w:val="24"/>
          <w:szCs w:val="24"/>
        </w:rPr>
        <w:t>不符合协议约定</w:t>
      </w:r>
      <w:r>
        <w:rPr>
          <w:rFonts w:hint="eastAsia" w:hAnsi="宋体"/>
          <w:sz w:val="24"/>
          <w:szCs w:val="24"/>
        </w:rPr>
        <w:t>而导致的相关责任由甲方承担。</w:t>
      </w:r>
    </w:p>
    <w:p>
      <w:pPr>
        <w:spacing w:line="360" w:lineRule="auto"/>
        <w:rPr>
          <w:rFonts w:ascii="宋体" w:hAnsi="宋体" w:cs="宋体"/>
          <w:sz w:val="24"/>
          <w:szCs w:val="24"/>
        </w:rPr>
      </w:pPr>
    </w:p>
    <w:p>
      <w:pPr>
        <w:spacing w:line="360" w:lineRule="auto"/>
        <w:jc w:val="center"/>
        <w:outlineLvl w:val="0"/>
        <w:rPr>
          <w:rFonts w:ascii="宋体" w:hAnsi="宋体" w:cs="宋体"/>
          <w:b/>
          <w:bCs/>
          <w:sz w:val="24"/>
          <w:szCs w:val="24"/>
        </w:rPr>
      </w:pPr>
      <w:bookmarkStart w:id="50" w:name="_Toc18057338"/>
      <w:bookmarkStart w:id="51" w:name="_Toc324856510"/>
      <w:bookmarkStart w:id="52" w:name="_Toc18647"/>
      <w:bookmarkStart w:id="53" w:name="_Toc29971"/>
      <w:bookmarkStart w:id="54" w:name="_Toc22802419"/>
      <w:bookmarkStart w:id="55" w:name="_Toc19177200"/>
      <w:bookmarkStart w:id="56" w:name="_Toc966"/>
      <w:bookmarkStart w:id="57" w:name="_Toc18057163"/>
      <w:bookmarkStart w:id="58" w:name="_Toc25602"/>
      <w:bookmarkStart w:id="59" w:name="_Toc1263"/>
      <w:bookmarkStart w:id="60" w:name="_Toc18057236"/>
      <w:bookmarkStart w:id="61" w:name="_Toc18057711"/>
      <w:r>
        <w:rPr>
          <w:rFonts w:hint="eastAsia" w:ascii="宋体" w:hAnsi="宋体" w:cs="宋体"/>
          <w:b/>
          <w:bCs/>
          <w:sz w:val="24"/>
          <w:szCs w:val="24"/>
        </w:rPr>
        <w:t>第四章  理财产品财产的保管</w:t>
      </w:r>
      <w:bookmarkEnd w:id="50"/>
      <w:bookmarkEnd w:id="51"/>
      <w:bookmarkEnd w:id="52"/>
      <w:bookmarkEnd w:id="53"/>
      <w:bookmarkEnd w:id="54"/>
      <w:bookmarkEnd w:id="55"/>
      <w:bookmarkEnd w:id="56"/>
      <w:bookmarkEnd w:id="57"/>
      <w:bookmarkEnd w:id="58"/>
      <w:bookmarkEnd w:id="59"/>
      <w:bookmarkEnd w:id="60"/>
      <w:bookmarkEnd w:id="61"/>
    </w:p>
    <w:p>
      <w:pPr>
        <w:spacing w:line="360" w:lineRule="auto"/>
        <w:jc w:val="center"/>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一、理财产品资产保管的原则</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1、乙方保证依照诚实信用、勤勉尽责的原则，履行资产保管职责。</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lang w:val="zh-CN"/>
        </w:rPr>
        <w:t>2、乙方应为甲方理财产品开设独立托管账户，保证甲方每个理财产品财产之间严格分开，单独保管相关资产。</w:t>
      </w:r>
      <w:r>
        <w:rPr>
          <w:rFonts w:hint="eastAsia" w:ascii="宋体" w:hAnsi="宋体" w:cs="宋体"/>
          <w:kern w:val="0"/>
          <w:sz w:val="24"/>
          <w:szCs w:val="24"/>
        </w:rPr>
        <w:t>甲方理财产品财产应与甲方及乙方自有资产严格分开，与乙方托管的其他客户的理财产品资产严格分开。</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因甲方理财产品的管理、运用、处分或者其他情形而取得的财产，均归入该理财产品财产。甲乙双方均不得将理财产品财产归入其自有资产，因依法解散、被依法撤销或者被依法宣告破产等原因进行清算的，理财产品不属于甲乙双方的清算财产。甲方管理、运用和处分理财产品产生的债权，不得与甲方、乙方因自有资产所产生的债务相抵消；甲方管理、运用和处分不同理财产品所产生的债权债务，不得相互抵消。</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乙方负责托管理财产品的资金及其所投资的资产或保管代表资产的权益凭证或财产清单。对于由于客观条件限制，甲、乙双方约定由甲方保管相关财产或财产权利凭证的，甲方应当自行安全保管。托管期间，如国家法律、法规、监管要求对理财资金及财产的托管事宜另有规定的，从其规定。</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乙方对在乙方开立的托管账户内的资金负有安全保管职责。因甲方投资运作注册登记在银行间市场登记结算机构及其以外机构的证券以及在乙方以外开立的银行账户内的资金保管由甲方负责，乙方仅保管甲方提供的相关实物凭证（如需），对该等证券或资金的任何损失，乙方不承担责任。乙方对乙方以外机构实际控制的资产不承担保管责任。</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对于因为理财产品资产投资产生的应收资产，应由甲方负责与有关当事人确定到账日期并通知乙方，到账日应收资产没有到达的，乙方应及时按双方约定的方式通知甲方采取措施进行催收，由此给理财产品资产造成损失的，甲方应负责向有关当事人追偿损失。</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7、乙方对甲方理财产品资产的保管并非对理财产品本金或收益的保证或承诺，乙方不承担理财产品的投资风险。</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8、乙方应安全保管理财产品财产，除甲方的划款指令或本协议另有约定外，不得自行运用、处分、分配理财产品的任何财产（不包含托管资产开户银行扣收结算费和账户维护费等费用）。法律法规另有规定的除外。</w:t>
      </w:r>
    </w:p>
    <w:p>
      <w:pPr>
        <w:spacing w:line="360" w:lineRule="auto"/>
        <w:ind w:firstLine="480" w:firstLineChars="200"/>
        <w:rPr>
          <w:rFonts w:ascii="宋体" w:hAnsi="宋体" w:cs="宋体"/>
          <w:sz w:val="24"/>
          <w:szCs w:val="24"/>
        </w:rPr>
      </w:pPr>
      <w:r>
        <w:rPr>
          <w:rFonts w:hint="eastAsia" w:ascii="宋体" w:hAnsi="宋体" w:cs="宋体"/>
          <w:kern w:val="0"/>
          <w:sz w:val="24"/>
          <w:szCs w:val="24"/>
        </w:rPr>
        <w:t>9、乙方不得委托第三人托管理财产品财产。</w:t>
      </w:r>
    </w:p>
    <w:p>
      <w:pPr>
        <w:keepNext w:val="0"/>
        <w:keepLines w:val="0"/>
        <w:pageBreakBefore w:val="0"/>
        <w:widowControl w:val="0"/>
        <w:kinsoku/>
        <w:wordWrap/>
        <w:overflowPunct/>
        <w:topLinePunct w:val="0"/>
        <w:bidi w:val="0"/>
        <w:adjustRightIn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二、理财产品托管账户的开立和管理</w:t>
      </w:r>
    </w:p>
    <w:p>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ascii="宋体" w:hAnsi="宋体" w:cs="宋体"/>
          <w:kern w:val="0"/>
          <w:sz w:val="24"/>
          <w:szCs w:val="24"/>
        </w:rPr>
      </w:pPr>
      <w:r>
        <w:rPr>
          <w:rFonts w:hint="eastAsia" w:ascii="宋体" w:hAnsi="宋体" w:cs="宋体"/>
          <w:kern w:val="0"/>
          <w:sz w:val="24"/>
          <w:szCs w:val="24"/>
        </w:rPr>
        <w:t>1、 理财产品托管账户的开立和管理</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乙方负责由指定人员在乙方指定的银行营业机构，以理财产品的名义为甲方各期理财产品分别开设和变更（如需）独立的理财产品托管账户，具体开户事宜以双方协商确定为准，该账户预留印鉴由托管人负责保管和使用，甲方应予以协助。各期</w:t>
      </w:r>
      <w:r>
        <w:rPr>
          <w:rFonts w:hint="eastAsia" w:ascii="宋体" w:hAnsi="宋体" w:cs="宋体"/>
          <w:sz w:val="24"/>
          <w:szCs w:val="24"/>
        </w:rPr>
        <w:t>理财产品托管账户开立前由甲方通过双方认可的方式向乙方提供相应开户材料，乙方在收到开户材料后进行托管账户的开立，完成开立向甲方提供相应的托管账户信息。</w:t>
      </w:r>
    </w:p>
    <w:p>
      <w:pPr>
        <w:spacing w:line="360" w:lineRule="auto"/>
        <w:ind w:firstLine="480" w:firstLineChars="200"/>
        <w:rPr>
          <w:rFonts w:ascii="宋体" w:hAnsi="宋体" w:cs="宋体"/>
          <w:sz w:val="24"/>
          <w:szCs w:val="24"/>
        </w:rPr>
      </w:pPr>
      <w:r>
        <w:rPr>
          <w:rFonts w:hint="eastAsia" w:ascii="宋体" w:hAnsi="宋体" w:cs="宋体"/>
          <w:kern w:val="0"/>
          <w:sz w:val="24"/>
          <w:szCs w:val="24"/>
        </w:rPr>
        <w:t>甲方各理财产品托管期间的一切货币收支活动，包括但不限于投资交易、支付理财费用、分配理财利益，均需通过相应理财产品托管账户进行，甲方为募集理财资金、</w:t>
      </w:r>
      <w:r>
        <w:rPr>
          <w:rFonts w:hint="eastAsia"/>
          <w:sz w:val="24"/>
        </w:rPr>
        <w:t>理财财产或理财收益分配</w:t>
      </w:r>
      <w:r>
        <w:rPr>
          <w:rFonts w:hint="eastAsia" w:ascii="宋体" w:hAnsi="宋体" w:cs="宋体"/>
          <w:kern w:val="0"/>
          <w:sz w:val="24"/>
          <w:szCs w:val="24"/>
        </w:rPr>
        <w:t>而使用另外开立的理财资金收付账户进行的款项收付除外。</w:t>
      </w:r>
      <w:r>
        <w:rPr>
          <w:rFonts w:hint="eastAsia" w:ascii="宋体" w:hAnsi="宋体" w:cs="宋体"/>
          <w:sz w:val="24"/>
          <w:szCs w:val="24"/>
        </w:rPr>
        <w:t>托管账户仅限于理财产品使用，用于存放、接收资金投资本金及收益、支付投资者本金及收益、以及与理财产品相关的税费等，该账户不得透支、提现。</w:t>
      </w:r>
    </w:p>
    <w:p>
      <w:pPr>
        <w:spacing w:line="360" w:lineRule="auto"/>
        <w:rPr>
          <w:rFonts w:ascii="宋体" w:hAnsi="宋体" w:cs="宋体"/>
          <w:kern w:val="0"/>
          <w:sz w:val="24"/>
          <w:szCs w:val="24"/>
        </w:rPr>
      </w:pPr>
      <w:r>
        <w:rPr>
          <w:rFonts w:hint="eastAsia" w:ascii="宋体" w:hAnsi="宋体" w:cs="宋体"/>
          <w:kern w:val="0"/>
          <w:sz w:val="24"/>
          <w:szCs w:val="24"/>
        </w:rPr>
        <w:t xml:space="preserve">    2、甲方理财产品的托管账户仅限于乙方托管的甲方理财产品使用，乙方对理财产品必须分账管理。甲方和乙方不得假借甲方名义为乙方托管的甲方理财产品开立任何其他银行账户。</w:t>
      </w:r>
    </w:p>
    <w:p>
      <w:pPr>
        <w:autoSpaceDE w:val="0"/>
        <w:autoSpaceDN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理财产品托管账户的开立和管理应符合《人民币银行结算账户管理办法》《现金管理暂行条例》《人民币利率管理规定》《支付结算办法》以及其他相关规定。</w:t>
      </w:r>
    </w:p>
    <w:p>
      <w:pPr>
        <w:spacing w:line="360" w:lineRule="auto"/>
        <w:ind w:firstLine="480" w:firstLineChars="200"/>
        <w:rPr>
          <w:rFonts w:ascii="宋体" w:hAnsi="宋体" w:cs="宋体"/>
          <w:sz w:val="24"/>
          <w:szCs w:val="24"/>
        </w:rPr>
      </w:pPr>
      <w:r>
        <w:rPr>
          <w:rFonts w:hint="eastAsia" w:ascii="宋体" w:hAnsi="宋体" w:cs="宋体"/>
          <w:kern w:val="0"/>
          <w:sz w:val="24"/>
          <w:szCs w:val="24"/>
        </w:rPr>
        <w:t>为确保托管账户资金安全，托管人、管理人应至少每季度一次就托管账户余额进行账务核对，托管人应按约定频率向管理人提供银行托管</w:t>
      </w:r>
      <w:r>
        <w:rPr>
          <w:rFonts w:hint="eastAsia" w:ascii="宋体" w:hAnsi="宋体" w:cs="宋体"/>
          <w:sz w:val="24"/>
          <w:szCs w:val="24"/>
        </w:rPr>
        <w:t>账户余额对账服务。管理人应对托管账户余额进行对账反馈，管理人应对账务核对结果的真实性、准确性负责。</w:t>
      </w:r>
    </w:p>
    <w:p>
      <w:pPr>
        <w:spacing w:line="360" w:lineRule="auto"/>
        <w:ind w:firstLine="480" w:firstLineChars="200"/>
        <w:rPr>
          <w:rFonts w:ascii="宋体" w:hAnsi="宋体" w:cs="宋体"/>
          <w:sz w:val="24"/>
          <w:szCs w:val="24"/>
        </w:rPr>
      </w:pPr>
      <w:r>
        <w:rPr>
          <w:rFonts w:hint="eastAsia" w:ascii="宋体" w:hAnsi="宋体" w:cs="宋体"/>
          <w:sz w:val="24"/>
          <w:szCs w:val="24"/>
        </w:rPr>
        <w:t>3、托管账户内银行存款利息按照托管账户开户银行单位反馈的利率执行，具体以双方实际约定为准。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三、单期托管理财产品单独建账的设立和管理 </w:t>
      </w:r>
    </w:p>
    <w:p>
      <w:pPr>
        <w:spacing w:line="360" w:lineRule="auto"/>
        <w:ind w:firstLine="480" w:firstLineChars="200"/>
        <w:rPr>
          <w:rFonts w:ascii="宋体" w:hAnsi="宋体" w:cs="宋体"/>
          <w:sz w:val="24"/>
          <w:szCs w:val="24"/>
        </w:rPr>
      </w:pPr>
      <w:r>
        <w:rPr>
          <w:rFonts w:hint="eastAsia" w:ascii="宋体" w:hAnsi="宋体" w:cs="宋体"/>
          <w:sz w:val="24"/>
          <w:szCs w:val="24"/>
        </w:rPr>
        <w:t>乙方应为所托管的甲方单期理财产品单独建账，实现单期产品的独立核算。</w:t>
      </w:r>
    </w:p>
    <w:p>
      <w:pPr>
        <w:spacing w:line="360" w:lineRule="auto"/>
        <w:ind w:firstLine="480" w:firstLineChars="200"/>
        <w:rPr>
          <w:rFonts w:ascii="宋体" w:hAnsi="宋体" w:cs="宋体"/>
          <w:sz w:val="24"/>
          <w:szCs w:val="24"/>
        </w:rPr>
      </w:pPr>
      <w:r>
        <w:rPr>
          <w:rFonts w:hint="eastAsia" w:ascii="宋体" w:hAnsi="宋体" w:cs="宋体"/>
          <w:sz w:val="24"/>
          <w:szCs w:val="24"/>
        </w:rPr>
        <w:t>甲方的划款指令应明确到对应的单期理财产品的资产。对于甲方汇入的理财产品投资收益，甲方应向乙方明确到对应的单期理财产品。</w:t>
      </w:r>
    </w:p>
    <w:p>
      <w:pPr>
        <w:spacing w:line="360" w:lineRule="auto"/>
        <w:ind w:firstLine="480" w:firstLineChars="200"/>
        <w:rPr>
          <w:rFonts w:ascii="宋体" w:hAnsi="宋体" w:cs="宋体"/>
          <w:sz w:val="24"/>
          <w:szCs w:val="24"/>
        </w:rPr>
      </w:pPr>
      <w:r>
        <w:rPr>
          <w:rFonts w:hint="eastAsia" w:ascii="宋体" w:hAnsi="宋体" w:cs="宋体"/>
          <w:sz w:val="24"/>
          <w:szCs w:val="24"/>
        </w:rPr>
        <w:t>乙方按理财账户的相关利息支付，应按单期理财产品进行核算，并将计息结果通知甲方。</w:t>
      </w:r>
    </w:p>
    <w:p>
      <w:pPr>
        <w:spacing w:line="360" w:lineRule="auto"/>
        <w:ind w:firstLine="480" w:firstLineChars="200"/>
        <w:rPr>
          <w:rFonts w:ascii="宋体" w:hAnsi="宋体" w:cs="宋体"/>
          <w:sz w:val="24"/>
          <w:szCs w:val="24"/>
        </w:rPr>
      </w:pPr>
      <w:r>
        <w:rPr>
          <w:rFonts w:hint="eastAsia" w:ascii="宋体" w:hAnsi="宋体" w:cs="宋体"/>
          <w:sz w:val="24"/>
          <w:szCs w:val="24"/>
        </w:rPr>
        <w:t>乙方按本协议和相关产品协议及产品说明书扣划的费用，应明确到对应的单期理财产品，并将分配结果通知甲方。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w:t>
      </w:r>
      <w:r>
        <w:rPr>
          <w:rFonts w:hint="eastAsia" w:ascii="宋体" w:hAnsi="宋体" w:cs="仿宋_GB2312"/>
          <w:b/>
          <w:bCs/>
          <w:spacing w:val="6"/>
          <w:sz w:val="24"/>
          <w:szCs w:val="24"/>
        </w:rPr>
        <w:t>理财产品存款投资账户的开立和管理</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理财产品开展定期存款等银行存款投资前，管理人应以理财产品名义开立银行存款账户，仅限用于与托管账户进行存款本金及利息资金划拨。开户资料须预留托管人印鉴，如需变更预留印鉴，管理人应联系存款行配合办理变更手续。如银行存款账户停止使用，管理人应联系托管人及时办理销户手续。如需开通网上银行、电话银行、手机银行等功能，需经管理人、托管人双方确认同意。</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五、其他账户的开立和管理</w:t>
      </w:r>
    </w:p>
    <w:p>
      <w:pPr>
        <w:spacing w:line="360" w:lineRule="auto"/>
        <w:ind w:firstLine="480" w:firstLineChars="200"/>
        <w:rPr>
          <w:rFonts w:ascii="宋体" w:hAnsi="宋体" w:cs="宋体"/>
          <w:sz w:val="24"/>
          <w:szCs w:val="24"/>
        </w:rPr>
      </w:pPr>
      <w:r>
        <w:rPr>
          <w:rFonts w:hint="eastAsia" w:ascii="宋体" w:hAnsi="宋体" w:cs="宋体"/>
          <w:sz w:val="24"/>
          <w:szCs w:val="24"/>
        </w:rPr>
        <w:t>（一）证券账户（如有）</w:t>
      </w:r>
    </w:p>
    <w:p>
      <w:pPr>
        <w:spacing w:line="360" w:lineRule="auto"/>
        <w:ind w:firstLine="480" w:firstLineChars="200"/>
        <w:rPr>
          <w:rFonts w:ascii="宋体" w:hAnsi="宋体" w:cs="宋体"/>
          <w:sz w:val="24"/>
          <w:szCs w:val="24"/>
        </w:rPr>
      </w:pPr>
      <w:r>
        <w:rPr>
          <w:rFonts w:hint="eastAsia" w:ascii="宋体" w:hAnsi="宋体" w:cs="宋体"/>
          <w:sz w:val="24"/>
          <w:szCs w:val="24"/>
        </w:rPr>
        <w:t>甲方委托乙方根据中国结算公司要求为各期理财产品托管资产开设证券账户。账户开立后，乙方应在账户开立一个工作日内将证券账户信息书面通知甲方。甲方应指定上海、深圳证券交易所专用交易单元，用于托管协议项下的场内证券投资运作，并在正式使用前将相关信息书面通知乙方，用于办理乙方合并清算业务。证券账户由甲方保管和使用，甲方承诺该账户只用于本理财产品的证券交易，乙方不承担证券账户的审核责任，对于因证券账户保管和使用而导致的损失，乙方不承担任何责任。</w:t>
      </w:r>
    </w:p>
    <w:p>
      <w:pPr>
        <w:spacing w:line="360" w:lineRule="auto"/>
        <w:ind w:firstLine="480" w:firstLineChars="200"/>
        <w:rPr>
          <w:rFonts w:ascii="宋体" w:hAnsi="宋体" w:cs="宋体"/>
          <w:sz w:val="24"/>
          <w:szCs w:val="24"/>
        </w:rPr>
      </w:pPr>
      <w:r>
        <w:rPr>
          <w:rFonts w:hint="eastAsia" w:ascii="宋体" w:hAnsi="宋体" w:cs="宋体"/>
          <w:sz w:val="24"/>
          <w:szCs w:val="24"/>
        </w:rPr>
        <w:t>（二）证券资金账户及客户交易结算资金管理账户（如有）</w:t>
      </w:r>
    </w:p>
    <w:p>
      <w:pPr>
        <w:spacing w:line="360" w:lineRule="auto"/>
        <w:ind w:firstLine="480" w:firstLineChars="200"/>
        <w:rPr>
          <w:rFonts w:ascii="宋体" w:hAnsi="宋体" w:cs="宋体"/>
          <w:sz w:val="24"/>
          <w:szCs w:val="24"/>
        </w:rPr>
      </w:pPr>
      <w:r>
        <w:rPr>
          <w:rFonts w:hint="eastAsia" w:ascii="宋体" w:hAnsi="宋体" w:cs="宋体"/>
          <w:sz w:val="24"/>
          <w:szCs w:val="24"/>
        </w:rPr>
        <w:t>甲方负责在证券公司处按照规定开立证券资金账户，账户名称与本计划在乙方处开立的托管账户的名称一致。证券资金账户开立后，甲方负责在托管账户开户行办理客户交易结算资金银行存管业务（简称“第三方存管”），办理过程中，乙方应提供必要的协助。</w:t>
      </w:r>
    </w:p>
    <w:p>
      <w:pPr>
        <w:spacing w:line="360" w:lineRule="auto"/>
        <w:ind w:firstLine="480" w:firstLineChars="200"/>
        <w:rPr>
          <w:rFonts w:ascii="宋体" w:hAnsi="宋体" w:cs="宋体"/>
          <w:sz w:val="24"/>
          <w:szCs w:val="24"/>
        </w:rPr>
      </w:pPr>
      <w:r>
        <w:rPr>
          <w:rFonts w:hint="eastAsia" w:ascii="宋体" w:hAnsi="宋体" w:cs="宋体"/>
          <w:sz w:val="24"/>
          <w:szCs w:val="24"/>
        </w:rPr>
        <w:t>在本协议有效期内，委托资产相关方不得单方面注销该证券资金账户，也不得自行从证券资金账户向银行托管账户划款。委托资产管理期间进行的所有场内投资，均需通过证券资金账户进行资金的交收。</w:t>
      </w:r>
    </w:p>
    <w:p>
      <w:pPr>
        <w:spacing w:line="360" w:lineRule="auto"/>
        <w:ind w:firstLine="480" w:firstLineChars="200"/>
        <w:rPr>
          <w:rFonts w:ascii="宋体" w:hAnsi="宋体" w:cs="宋体"/>
          <w:sz w:val="24"/>
          <w:szCs w:val="24"/>
        </w:rPr>
      </w:pPr>
      <w:r>
        <w:rPr>
          <w:rFonts w:hint="eastAsia" w:ascii="宋体" w:hAnsi="宋体" w:cs="宋体"/>
          <w:sz w:val="24"/>
          <w:szCs w:val="24"/>
        </w:rPr>
        <w:t>委托资产托管账户和证券资金账户一经开立，即应按证券公司结算模式建立唯一对应的第三方存管关系，对应关系一经确定，不得更改，如果必须更改，应由甲方发起，经过乙方书面确认后，重新建立证券公司结算模式对应关系。甲方承诺，证券资金账户为主资金账户，不开立任何辅助资金账户。</w:t>
      </w:r>
    </w:p>
    <w:p>
      <w:pPr>
        <w:spacing w:line="360" w:lineRule="auto"/>
        <w:ind w:firstLine="480" w:firstLineChars="200"/>
        <w:rPr>
          <w:rFonts w:ascii="宋体" w:hAnsi="宋体" w:cs="宋体"/>
          <w:sz w:val="24"/>
          <w:szCs w:val="24"/>
        </w:rPr>
      </w:pPr>
      <w:r>
        <w:rPr>
          <w:rFonts w:hint="eastAsia" w:ascii="宋体" w:hAnsi="宋体" w:cs="宋体"/>
          <w:sz w:val="24"/>
          <w:szCs w:val="24"/>
        </w:rPr>
        <w:t>（三）银行间账户（如有）</w:t>
      </w:r>
    </w:p>
    <w:p>
      <w:pPr>
        <w:spacing w:line="360" w:lineRule="auto"/>
        <w:ind w:firstLine="480" w:firstLineChars="200"/>
        <w:rPr>
          <w:rStyle w:val="26"/>
          <w:rFonts w:ascii="等线" w:hAnsi="等线" w:cs="等线"/>
          <w:sz w:val="24"/>
          <w:szCs w:val="24"/>
        </w:rPr>
      </w:pPr>
      <w:r>
        <w:rPr>
          <w:rFonts w:hint="eastAsia" w:ascii="宋体" w:hAnsi="宋体" w:cs="宋体"/>
          <w:sz w:val="24"/>
          <w:szCs w:val="24"/>
        </w:rPr>
        <w:t>在监管机构许可前提下，托管资产进入银行间债券市场从事特定资产管理业务前，甲方应提前通知乙方，</w:t>
      </w:r>
      <w:r>
        <w:rPr>
          <w:rFonts w:hint="eastAsia" w:ascii="宋体" w:hAnsi="宋体" w:cs="Arial"/>
          <w:sz w:val="24"/>
          <w:szCs w:val="24"/>
        </w:rPr>
        <w:t>甲乙双方就银行间账户开立等事宜另行书面协商约定</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（四）基金账户（如有）</w:t>
      </w:r>
    </w:p>
    <w:p>
      <w:pPr>
        <w:spacing w:line="360" w:lineRule="auto"/>
        <w:ind w:firstLine="480" w:firstLineChars="200"/>
        <w:rPr>
          <w:rFonts w:ascii="宋体" w:hAnsi="宋体" w:cs="宋体"/>
          <w:sz w:val="24"/>
          <w:szCs w:val="24"/>
        </w:rPr>
      </w:pPr>
      <w:r>
        <w:rPr>
          <w:rFonts w:hint="eastAsia" w:ascii="宋体" w:hAnsi="宋体" w:cs="宋体"/>
          <w:sz w:val="24"/>
          <w:szCs w:val="24"/>
        </w:rPr>
        <w:t>基金账户由甲方根据投资需要按照开户机构相关规定开立，甲方应保证本理财产品基金投资的回款账户为本理财产品银行托管账户，</w:t>
      </w:r>
      <w:r>
        <w:rPr>
          <w:rFonts w:ascii="宋体" w:hAnsi="宋体" w:cs="微软雅黑"/>
          <w:color w:val="333333"/>
          <w:sz w:val="24"/>
          <w:szCs w:val="24"/>
          <w:shd w:val="clear" w:color="auto" w:fill="FFFFFF"/>
        </w:rPr>
        <w:t>并由甲方将基金账户信息以</w:t>
      </w:r>
      <w:r>
        <w:rPr>
          <w:rFonts w:hint="eastAsia" w:ascii="宋体" w:hAnsi="宋体" w:cs="微软雅黑"/>
          <w:color w:val="030303"/>
          <w:kern w:val="0"/>
          <w:sz w:val="24"/>
          <w:szCs w:val="24"/>
        </w:rPr>
        <w:t>双方认可的方式</w:t>
      </w:r>
      <w:r>
        <w:rPr>
          <w:rFonts w:ascii="宋体" w:hAnsi="宋体" w:cs="微软雅黑"/>
          <w:color w:val="333333"/>
          <w:sz w:val="24"/>
          <w:szCs w:val="24"/>
          <w:shd w:val="clear" w:color="auto" w:fill="FFFFFF"/>
        </w:rPr>
        <w:t>告知乙方</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本理财产品基金账户和基金交易账户的开立和使用限于满足开展业务的需要。甲方不得出借和转让本理财产品的任何基金账户或基金交易账户，亦不得使用本理财产品的任何基金账户或基金交易账户进行本理财产品业务以外的活动。 </w:t>
      </w:r>
      <w:r>
        <w:rPr>
          <w:rFonts w:ascii="宋体" w:hAnsi="宋体" w:cs="宋体"/>
          <w:sz w:val="24"/>
          <w:szCs w:val="24"/>
        </w:rPr>
        <w:t xml:space="preserve"> </w:t>
      </w:r>
    </w:p>
    <w:p>
      <w:pPr>
        <w:spacing w:line="360" w:lineRule="auto"/>
        <w:ind w:firstLine="480" w:firstLineChars="200"/>
      </w:pPr>
      <w:r>
        <w:rPr>
          <w:rFonts w:hint="eastAsia" w:ascii="宋体" w:hAnsi="宋体" w:cs="宋体"/>
          <w:sz w:val="24"/>
          <w:szCs w:val="24"/>
        </w:rPr>
        <w:t>甲方选择通过机构投资者场外投资业务平台（简称</w:t>
      </w:r>
      <w:r>
        <w:rPr>
          <w:rFonts w:ascii="宋体" w:hAnsi="宋体" w:cs="宋体"/>
          <w:sz w:val="24"/>
          <w:szCs w:val="24"/>
        </w:rPr>
        <w:t>"FISP"）参与开放式基金投资的，应由甲方在FISP系统登记产品信息，</w:t>
      </w:r>
      <w:r>
        <w:rPr>
          <w:rFonts w:ascii="宋体" w:hAnsi="宋体" w:cs="微软雅黑"/>
          <w:color w:val="333333"/>
          <w:sz w:val="24"/>
          <w:szCs w:val="24"/>
          <w:shd w:val="clear" w:color="auto" w:fill="FFFFFF"/>
        </w:rPr>
        <w:t>并由甲方以双方</w:t>
      </w:r>
      <w:r>
        <w:rPr>
          <w:rFonts w:hint="eastAsia" w:ascii="宋体" w:hAnsi="宋体" w:cs="微软雅黑"/>
          <w:color w:val="333333"/>
          <w:sz w:val="24"/>
          <w:szCs w:val="24"/>
          <w:shd w:val="clear" w:color="auto" w:fill="FFFFFF"/>
        </w:rPr>
        <w:t>认可</w:t>
      </w:r>
      <w:r>
        <w:rPr>
          <w:rFonts w:ascii="宋体" w:hAnsi="宋体" w:cs="微软雅黑"/>
          <w:color w:val="333333"/>
          <w:sz w:val="24"/>
          <w:szCs w:val="24"/>
          <w:shd w:val="clear" w:color="auto" w:fill="FFFFFF"/>
        </w:rPr>
        <w:t>的方式将业务办理信息告知乙方，</w:t>
      </w:r>
      <w:r>
        <w:rPr>
          <w:rFonts w:ascii="宋体" w:hAnsi="宋体" w:cs="宋体"/>
          <w:sz w:val="24"/>
          <w:szCs w:val="24"/>
        </w:rPr>
        <w:t>由乙方进行产品确认。账户开立信息通过FISP反馈甲方和乙方。</w:t>
      </w:r>
    </w:p>
    <w:p>
      <w:pPr>
        <w:spacing w:line="360" w:lineRule="auto"/>
        <w:ind w:firstLine="480" w:firstLineChars="200"/>
        <w:rPr>
          <w:rFonts w:ascii="宋体" w:hAnsi="宋体" w:cs="宋体"/>
          <w:sz w:val="24"/>
          <w:szCs w:val="24"/>
        </w:rPr>
      </w:pPr>
      <w:r>
        <w:rPr>
          <w:rFonts w:hint="eastAsia" w:ascii="宋体" w:hAnsi="宋体" w:cs="宋体"/>
          <w:sz w:val="24"/>
          <w:szCs w:val="24"/>
        </w:rPr>
        <w:t>（五）乙方开立相关账户，甲方应当尽力协助。</w:t>
      </w:r>
    </w:p>
    <w:p>
      <w:pPr>
        <w:spacing w:line="360" w:lineRule="auto"/>
        <w:ind w:firstLine="480" w:firstLineChars="200"/>
        <w:rPr>
          <w:rFonts w:ascii="宋体" w:hAnsi="宋体" w:cs="宋体"/>
          <w:sz w:val="24"/>
          <w:szCs w:val="24"/>
        </w:rPr>
      </w:pPr>
      <w:r>
        <w:rPr>
          <w:rFonts w:hint="eastAsia" w:ascii="宋体" w:hAnsi="宋体" w:cs="宋体"/>
          <w:sz w:val="24"/>
          <w:szCs w:val="24"/>
        </w:rPr>
        <w:t>（六）其它暂未涉及的账户之管理应遵照相关法律法规、行业规定、登记结算机构业务规则等执行，未尽事宜届时另行商处。本理财产品通过期货公司参与期货市场交易前，应由甲方与乙方、期货公司另行签订《期货投资操作三方备忘录》。</w:t>
      </w:r>
    </w:p>
    <w:p>
      <w:pPr>
        <w:spacing w:line="360" w:lineRule="auto"/>
        <w:ind w:firstLine="480" w:firstLineChars="200"/>
        <w:rPr>
          <w:rFonts w:ascii="宋体" w:hAnsi="宋体" w:cs="宋体"/>
          <w:sz w:val="24"/>
          <w:szCs w:val="24"/>
        </w:rPr>
      </w:pPr>
      <w:r>
        <w:rPr>
          <w:rFonts w:hint="eastAsia" w:ascii="宋体" w:hAnsi="宋体" w:cs="宋体"/>
          <w:sz w:val="24"/>
          <w:szCs w:val="24"/>
        </w:rPr>
        <w:t>（七）以上托管资产相关账户的开立和使用，仅限于满足该投资组合业务的需要，甲方及乙方双方均不得出借和转让，亦不得使用这些账户从事托管协议规定以外的活动。</w:t>
      </w:r>
    </w:p>
    <w:p>
      <w:pPr>
        <w:spacing w:line="360" w:lineRule="auto"/>
        <w:ind w:firstLine="480" w:firstLineChars="200"/>
        <w:rPr>
          <w:rFonts w:ascii="宋体" w:hAnsi="宋体" w:cs="宋体"/>
          <w:sz w:val="24"/>
          <w:szCs w:val="24"/>
        </w:rPr>
      </w:pPr>
      <w:r>
        <w:rPr>
          <w:rFonts w:hint="eastAsia" w:ascii="宋体" w:hAnsi="宋体" w:cs="宋体"/>
          <w:sz w:val="24"/>
          <w:szCs w:val="24"/>
        </w:rPr>
        <w:t>（八）法律法规等有关规定对相关账户的开立和管理另有规定的，从其规定办理。</w:t>
      </w:r>
      <w:bookmarkStart w:id="62" w:name="_Toc520463150"/>
      <w:bookmarkStart w:id="63" w:name="_Toc160530129"/>
      <w:bookmarkStart w:id="64" w:name="_Toc301882197"/>
      <w:bookmarkStart w:id="65" w:name="_Toc162062290"/>
      <w:bookmarkStart w:id="66" w:name="_Toc141850059"/>
    </w:p>
    <w:p>
      <w:pPr>
        <w:spacing w:line="360" w:lineRule="auto"/>
        <w:ind w:firstLine="482" w:firstLineChars="200"/>
        <w:rPr>
          <w:rFonts w:ascii="宋体" w:hAnsi="宋体" w:cs="宋体"/>
          <w:bCs/>
          <w:sz w:val="24"/>
          <w:szCs w:val="24"/>
        </w:rPr>
      </w:pPr>
      <w:r>
        <w:rPr>
          <w:rFonts w:hint="eastAsia" w:ascii="宋体" w:hAnsi="宋体" w:cs="宋体"/>
          <w:b/>
          <w:bCs/>
          <w:sz w:val="24"/>
          <w:szCs w:val="24"/>
        </w:rPr>
        <w:t>六、理财产品实物资产的保管</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理财产品投资银行存款的，由存款银行向管理人开具存款证实书，双方应遵守以下特别约定：</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1、管理人应通知存款银行及时与托管人办理存款证实书入库保管手续（存入托管人保险柜）。如存款证实书要素与存款协议不符，在管理人与存款银行核实更正前，托管人有权拒绝办理入库手续。因发生自然灾害等不可抗力情况导致入库延误的，管理人应及时向托管人书面说明，并采取措施积极推动存款证实书入库事宜，在完成入库前，由存款证实书持有方履行保管责任。</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2、理财产品财产在开展银行存款投资业务期间，管理人应根据托管人的要求，提供现场办理存款证实书出入库手续的经办人员的身份信息，或提供邮寄方式办理收件人、邮寄单号等相关信息（除特殊情况需采取存款落地行上门交付的方式）。如托管人对相关信息有异议，托管人有权拒绝办理并不承担相应责任，管理人应采取积极措施进行信息确认并更正。</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3、存款到期前，管理人应及时与托管人办理存款证实书出库。如需提前支取，管理人应出具提前支取说明函。如需部分提前支取，应办理存款证实书置换，置换后新存款证实书除金额、编号、存款证实书开具日期外，其他核心要素与原存款证实书一致。</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4、存款到期后，如因自然灾害等不可抗力导致无法正常办理存款证实书出库手续的，管理人应在与存款银行的存款协议中就上述情况作出相应安排，并明确存款银行应将支取后的存款本息全部划转回理财产品资产托管账户。</w:t>
      </w:r>
    </w:p>
    <w:p>
      <w:pPr>
        <w:pStyle w:val="6"/>
        <w:widowControl/>
        <w:spacing w:before="40"/>
        <w:ind w:firstLine="504" w:firstLineChars="200"/>
        <w:rPr>
          <w:rFonts w:ascii="宋体" w:hAnsi="宋体" w:cs="仿宋_GB2312"/>
          <w:spacing w:val="6"/>
          <w:sz w:val="24"/>
          <w:szCs w:val="24"/>
        </w:rPr>
      </w:pPr>
      <w:r>
        <w:rPr>
          <w:rFonts w:hint="eastAsia" w:ascii="宋体" w:hAnsi="宋体" w:cs="仿宋_GB2312"/>
          <w:spacing w:val="6"/>
          <w:sz w:val="24"/>
          <w:szCs w:val="24"/>
        </w:rPr>
        <w:t>5、如存款证实书因非托管人原因出现毁损、灭失，或晚于存款到期日到达存款行等情形，导致存款无法被按时支取的，管理人应及时采取补救措施，托管人不承担相关责任，但应给予必要配合。存款证实书仅作为存款证实，不得用于担保、质押、背书、转让等任何可能导致存款资金损失的其他用途。</w:t>
      </w:r>
    </w:p>
    <w:p>
      <w:pPr>
        <w:spacing w:line="360" w:lineRule="auto"/>
        <w:rPr>
          <w:rFonts w:ascii="宋体" w:hAnsi="宋体" w:cs="仿宋_GB2312"/>
          <w:spacing w:val="6"/>
          <w:sz w:val="24"/>
          <w:szCs w:val="24"/>
        </w:rPr>
      </w:pPr>
    </w:p>
    <w:p>
      <w:pPr>
        <w:spacing w:line="360" w:lineRule="auto"/>
      </w:pPr>
    </w:p>
    <w:p>
      <w:pPr>
        <w:spacing w:line="360" w:lineRule="auto"/>
        <w:jc w:val="center"/>
        <w:outlineLvl w:val="0"/>
        <w:rPr>
          <w:rFonts w:ascii="宋体" w:hAnsi="宋体" w:cs="宋体"/>
          <w:b/>
          <w:bCs/>
          <w:sz w:val="24"/>
          <w:szCs w:val="24"/>
        </w:rPr>
      </w:pPr>
      <w:bookmarkStart w:id="67" w:name="_Toc19177201"/>
      <w:bookmarkStart w:id="68" w:name="_Toc18057712"/>
      <w:bookmarkStart w:id="69" w:name="_Toc7633"/>
      <w:bookmarkStart w:id="70" w:name="_Toc8179"/>
      <w:bookmarkStart w:id="71" w:name="_Toc27142"/>
      <w:bookmarkStart w:id="72" w:name="_Toc22802420"/>
      <w:bookmarkStart w:id="73" w:name="_Toc7566"/>
      <w:bookmarkStart w:id="74" w:name="_Toc16996"/>
      <w:r>
        <w:rPr>
          <w:rFonts w:hint="eastAsia" w:ascii="宋体" w:hAnsi="宋体" w:cs="宋体"/>
          <w:b/>
          <w:bCs/>
          <w:sz w:val="24"/>
          <w:szCs w:val="24"/>
        </w:rPr>
        <w:t>第五章  划款指令</w:t>
      </w:r>
      <w:bookmarkEnd w:id="62"/>
      <w:bookmarkEnd w:id="63"/>
      <w:bookmarkEnd w:id="64"/>
      <w:bookmarkEnd w:id="65"/>
      <w:bookmarkEnd w:id="67"/>
      <w:bookmarkEnd w:id="68"/>
      <w:bookmarkEnd w:id="69"/>
      <w:bookmarkEnd w:id="70"/>
      <w:bookmarkEnd w:id="71"/>
      <w:bookmarkEnd w:id="72"/>
      <w:bookmarkEnd w:id="73"/>
      <w:bookmarkEnd w:id="74"/>
    </w:p>
    <w:p>
      <w:pPr>
        <w:spacing w:line="360" w:lineRule="auto"/>
        <w:jc w:val="center"/>
        <w:rPr>
          <w:rFonts w:ascii="宋体" w:hAnsi="宋体" w:cs="宋体"/>
          <w:b/>
          <w:bCs/>
          <w:sz w:val="24"/>
          <w:szCs w:val="24"/>
        </w:rPr>
      </w:pPr>
    </w:p>
    <w:p>
      <w:pPr>
        <w:pStyle w:val="9"/>
        <w:adjustRightInd w:val="0"/>
        <w:snapToGrid w:val="0"/>
        <w:spacing w:before="156" w:beforeLines="50" w:after="156" w:afterLines="50" w:line="360" w:lineRule="auto"/>
        <w:ind w:firstLine="482" w:firstLineChars="200"/>
        <w:rPr>
          <w:rFonts w:hAnsi="宋体"/>
          <w:b/>
          <w:bCs/>
          <w:sz w:val="24"/>
          <w:szCs w:val="24"/>
        </w:rPr>
      </w:pPr>
      <w:bookmarkStart w:id="75" w:name="_Toc160530130"/>
      <w:r>
        <w:rPr>
          <w:rFonts w:hint="eastAsia" w:hAnsi="宋体"/>
          <w:b/>
          <w:bCs/>
          <w:sz w:val="24"/>
          <w:szCs w:val="24"/>
        </w:rPr>
        <w:t>一、甲方对发送划款指令人员的授权</w:t>
      </w:r>
      <w:bookmarkEnd w:id="75"/>
    </w:p>
    <w:p>
      <w:pPr>
        <w:autoSpaceDE w:val="0"/>
        <w:autoSpaceDN w:val="0"/>
        <w:snapToGrid w:val="0"/>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甲方应在委托乙方托管的各理财产品成立之日起三个工作日内、首次划款前，向乙方提供“托管账户划款指令授权书”（见附件五）。已向乙方提供且适用于甲方交付给乙方的全部理财产品的“托管账户划款指令授权书”的除外。</w:t>
      </w:r>
    </w:p>
    <w:p>
      <w:pPr>
        <w:pStyle w:val="9"/>
        <w:adjustRightInd w:val="0"/>
        <w:snapToGrid w:val="0"/>
        <w:spacing w:before="156" w:beforeLines="50" w:after="156" w:afterLines="50" w:line="360" w:lineRule="auto"/>
        <w:ind w:firstLine="480" w:firstLineChars="200"/>
        <w:rPr>
          <w:rFonts w:hAnsi="宋体"/>
          <w:kern w:val="0"/>
          <w:sz w:val="24"/>
          <w:szCs w:val="24"/>
        </w:rPr>
      </w:pPr>
      <w:r>
        <w:rPr>
          <w:rFonts w:hint="eastAsia" w:hAnsi="宋体"/>
          <w:kern w:val="0"/>
          <w:sz w:val="24"/>
          <w:szCs w:val="24"/>
        </w:rPr>
        <w:t>“托管账户划款指令授权书” 应加盖甲方公章，授权书生效日期以授权书上载明生效日期为准。划款指令授权书原件由甲方保管，乙方认可并接受甲方发送扫描件形式的授权书，并以此为准作为核验管理人书面指令签字或签章的依据。甲方应确保指令授权书扫描件与正本内容一致，因扫描件与正本内容不一致产生的责任由管理人承担。</w:t>
      </w:r>
    </w:p>
    <w:p>
      <w:pPr>
        <w:pStyle w:val="9"/>
        <w:adjustRightInd w:val="0"/>
        <w:snapToGrid w:val="0"/>
        <w:spacing w:line="360" w:lineRule="auto"/>
        <w:ind w:firstLine="504" w:firstLineChars="200"/>
        <w:rPr>
          <w:rFonts w:hAnsi="宋体"/>
          <w:strike/>
          <w:spacing w:val="6"/>
          <w:sz w:val="24"/>
          <w:szCs w:val="24"/>
        </w:rPr>
      </w:pPr>
      <w:r>
        <w:rPr>
          <w:rFonts w:hint="eastAsia" w:hAnsi="宋体"/>
          <w:spacing w:val="6"/>
          <w:sz w:val="24"/>
          <w:szCs w:val="24"/>
        </w:rPr>
        <w:t>管理人更换被授权人、更改或终止对被授权人的授权，应提前将新的授权文件扫描件以邮件方式发送托管人，并确认托管人已收悉，该变更生效日期以变更后的授权书上载明生效日期为准。新的授权文件正本由管理人保管，托管人以管理人邮件发送及确认的授权文件扫描件为准执行有关业务，管理人应确保邮件发送的授权文件扫描件与正本内容一致，如果新的授权文件正本与邮件发送的扫描件内容不同，以乙方</w:t>
      </w:r>
      <w:r>
        <w:rPr>
          <w:rFonts w:hint="eastAsia" w:hAnsi="宋体"/>
          <w:spacing w:val="6"/>
          <w:sz w:val="24"/>
          <w:szCs w:val="24"/>
          <w:lang w:val="en-US"/>
        </w:rPr>
        <w:t>收到</w:t>
      </w:r>
      <w:r>
        <w:rPr>
          <w:rFonts w:hint="eastAsia" w:hAnsi="宋体"/>
          <w:spacing w:val="6"/>
          <w:sz w:val="24"/>
          <w:szCs w:val="24"/>
        </w:rPr>
        <w:t>的扫描件为准，由此产生的责任由管理人承担。</w:t>
      </w:r>
    </w:p>
    <w:p>
      <w:pPr>
        <w:pStyle w:val="9"/>
        <w:adjustRightInd w:val="0"/>
        <w:snapToGrid w:val="0"/>
        <w:spacing w:before="156" w:beforeLines="50" w:after="156" w:afterLines="50" w:line="360" w:lineRule="auto"/>
        <w:ind w:firstLine="482" w:firstLineChars="200"/>
        <w:rPr>
          <w:rFonts w:hAnsi="宋体"/>
          <w:b/>
          <w:bCs/>
          <w:sz w:val="24"/>
          <w:szCs w:val="24"/>
        </w:rPr>
      </w:pPr>
      <w:r>
        <w:rPr>
          <w:rFonts w:hint="eastAsia" w:hAnsi="宋体"/>
          <w:b/>
          <w:bCs/>
          <w:sz w:val="24"/>
          <w:szCs w:val="24"/>
        </w:rPr>
        <w:t>二、</w:t>
      </w:r>
      <w:r>
        <w:rPr>
          <w:rFonts w:hint="eastAsia" w:hAnsi="宋体"/>
          <w:b/>
          <w:bCs/>
          <w:kern w:val="0"/>
          <w:sz w:val="24"/>
          <w:szCs w:val="24"/>
        </w:rPr>
        <w:t>划款指令</w:t>
      </w:r>
      <w:r>
        <w:rPr>
          <w:rFonts w:hint="eastAsia" w:hAnsi="宋体"/>
          <w:b/>
          <w:bCs/>
          <w:sz w:val="24"/>
          <w:szCs w:val="24"/>
        </w:rPr>
        <w:t>的内容</w:t>
      </w:r>
    </w:p>
    <w:p>
      <w:pPr>
        <w:pStyle w:val="9"/>
        <w:adjustRightInd w:val="0"/>
        <w:snapToGrid w:val="0"/>
        <w:spacing w:line="360" w:lineRule="auto"/>
        <w:ind w:firstLine="480" w:firstLineChars="200"/>
        <w:rPr>
          <w:rFonts w:hAnsi="宋体"/>
          <w:kern w:val="0"/>
          <w:sz w:val="24"/>
          <w:szCs w:val="24"/>
        </w:rPr>
      </w:pPr>
      <w:r>
        <w:rPr>
          <w:rFonts w:hint="eastAsia" w:hAnsi="宋体"/>
          <w:kern w:val="0"/>
          <w:sz w:val="24"/>
          <w:szCs w:val="24"/>
        </w:rPr>
        <w:t>托管账户划款指令是指甲方发至乙方的有关甲方理财产品名下的款项支付以及其它相关资金划拨、财产处置的指令。</w:t>
      </w:r>
    </w:p>
    <w:p>
      <w:pPr>
        <w:pStyle w:val="9"/>
        <w:adjustRightInd w:val="0"/>
        <w:snapToGrid w:val="0"/>
        <w:spacing w:line="360" w:lineRule="auto"/>
        <w:ind w:firstLine="480" w:firstLineChars="200"/>
        <w:rPr>
          <w:rFonts w:hAnsi="宋体"/>
          <w:kern w:val="0"/>
          <w:sz w:val="24"/>
          <w:szCs w:val="24"/>
        </w:rPr>
      </w:pPr>
      <w:r>
        <w:rPr>
          <w:rFonts w:hint="eastAsia" w:hAnsi="宋体"/>
          <w:kern w:val="0"/>
          <w:sz w:val="24"/>
          <w:szCs w:val="24"/>
        </w:rPr>
        <w:t>甲方发送给乙方的托管账户划款指令应写明款项事由、支付时间、支付金额(大小写)、收付款账户信息等，加盖与托管账户划款指令授权书中预留印鉴相符的印章，并由托管账户划款指令授权书项下的授权人员签字。甲方发送给乙方的托管账户划款指令的内容和格式见附件四。</w:t>
      </w:r>
    </w:p>
    <w:p>
      <w:pPr>
        <w:pStyle w:val="9"/>
        <w:adjustRightInd w:val="0"/>
        <w:snapToGrid w:val="0"/>
        <w:spacing w:line="360" w:lineRule="auto"/>
        <w:ind w:firstLine="480" w:firstLineChars="200"/>
        <w:rPr>
          <w:rFonts w:hAnsi="宋体"/>
          <w:kern w:val="0"/>
          <w:sz w:val="24"/>
          <w:szCs w:val="24"/>
        </w:rPr>
      </w:pPr>
      <w:r>
        <w:rPr>
          <w:rFonts w:hint="eastAsia" w:hAnsi="宋体"/>
          <w:kern w:val="0"/>
          <w:sz w:val="24"/>
          <w:szCs w:val="24"/>
        </w:rPr>
        <w:t>根据实际业务需要，在指令要素完整的前提下，甲乙双方可另行约定划款指令具体格式，变更划款指令格式由甲乙双方以书面形式实际约定变更为准。</w:t>
      </w:r>
    </w:p>
    <w:p>
      <w:pPr>
        <w:pStyle w:val="9"/>
        <w:adjustRightInd w:val="0"/>
        <w:snapToGrid w:val="0"/>
        <w:spacing w:before="156" w:beforeLines="50" w:after="156" w:afterLines="50" w:line="360" w:lineRule="auto"/>
        <w:ind w:firstLine="482" w:firstLineChars="200"/>
        <w:rPr>
          <w:rFonts w:hAnsi="宋体"/>
          <w:b/>
          <w:bCs/>
          <w:sz w:val="24"/>
          <w:szCs w:val="24"/>
        </w:rPr>
      </w:pPr>
      <w:r>
        <w:rPr>
          <w:rFonts w:hint="eastAsia" w:hAnsi="宋体"/>
          <w:b/>
          <w:bCs/>
          <w:sz w:val="24"/>
          <w:szCs w:val="24"/>
        </w:rPr>
        <w:t>三、划款指令的形式、</w:t>
      </w:r>
    </w:p>
    <w:p>
      <w:pPr>
        <w:keepNext/>
        <w:keepLines/>
        <w:spacing w:line="360" w:lineRule="auto"/>
        <w:ind w:left="425"/>
        <w:rPr>
          <w:rFonts w:ascii="宋体" w:hAnsi="宋体" w:cs="仿宋_GB2312"/>
          <w:bCs/>
          <w:spacing w:val="6"/>
          <w:sz w:val="24"/>
          <w:szCs w:val="24"/>
        </w:rPr>
      </w:pPr>
      <w:r>
        <w:rPr>
          <w:rFonts w:hint="eastAsia" w:ascii="仿宋_GB2312" w:hAnsi="仿宋_GB2312" w:eastAsia="仿宋_GB2312" w:cs="仿宋_GB2312"/>
          <w:bCs/>
          <w:spacing w:val="6"/>
          <w:sz w:val="32"/>
          <w:szCs w:val="32"/>
        </w:rPr>
        <w:t xml:space="preserve"> </w:t>
      </w:r>
      <w:r>
        <w:rPr>
          <w:rFonts w:hint="eastAsia" w:ascii="宋体" w:hAnsi="宋体" w:cs="仿宋_GB2312"/>
          <w:bCs/>
          <w:spacing w:val="6"/>
          <w:sz w:val="24"/>
          <w:szCs w:val="24"/>
        </w:rPr>
        <w:t>（一）指令的形式</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管理人向托管人发送的指令形式包括电子指令、授权指令和书面指令。</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1、电子指令</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电子指令是指管理人通过电子报文系统、网上托管服务平台（下称“网银”）及其他双方系统直连等电子数据形式发送的指令。</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管理人通过网银或其他电子渠道向托管人发送电子指令的，管理人应先与托管人签署有关服务协议。</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2、授权指令</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授权指令是指托管人根据管理人的授权，基于登记结算机构数据或监管部门认可的公告等公开信息形成的指令。具体适用条件、发送、确认和执行等相关要求均由双方根据业务需要另行协商确定。</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管理人拟采用授权指令的，应提前向托管人提供对应类别授权指令的书面授权，载明指令内容和执行程序。</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3、书面指令</w:t>
      </w:r>
    </w:p>
    <w:p>
      <w:pPr>
        <w:spacing w:line="360" w:lineRule="auto"/>
        <w:ind w:firstLine="584"/>
        <w:rPr>
          <w:rFonts w:ascii="宋体" w:hAnsi="宋体" w:cs="仿宋_GB2312"/>
          <w:spacing w:val="6"/>
          <w:sz w:val="24"/>
          <w:szCs w:val="24"/>
        </w:rPr>
      </w:pPr>
      <w:r>
        <w:rPr>
          <w:rFonts w:hint="eastAsia" w:ascii="宋体" w:hAnsi="宋体" w:cs="仿宋_GB2312"/>
          <w:spacing w:val="6"/>
          <w:sz w:val="24"/>
          <w:szCs w:val="24"/>
        </w:rPr>
        <w:t>书面指令是指管理人出具的纸质指令。管理人应通过传真或者邮件等双方约定的方式发送书面指令的扫描件，保管书面指令原件，并确保与指令原件内容一致。指令原件与扫描件不一致的，以托管人收到的扫描件为准，由此造成的损失由管理人承担。书面指令应作为应急方式，在电子指令、授权指令无法正常送达或形成时，管理人应向托管人发送书面指令。</w:t>
      </w:r>
    </w:p>
    <w:p>
      <w:pPr>
        <w:spacing w:line="360" w:lineRule="auto"/>
        <w:ind w:firstLine="504" w:firstLineChars="200"/>
        <w:rPr>
          <w:rFonts w:ascii="宋体" w:hAnsi="宋体" w:cs="仿宋_GB2312"/>
          <w:spacing w:val="6"/>
          <w:sz w:val="24"/>
          <w:szCs w:val="24"/>
        </w:rPr>
      </w:pPr>
      <w:r>
        <w:rPr>
          <w:rFonts w:hint="eastAsia" w:ascii="宋体" w:hAnsi="宋体" w:cs="仿宋_GB2312"/>
          <w:spacing w:val="6"/>
          <w:sz w:val="24"/>
          <w:szCs w:val="24"/>
        </w:rPr>
        <w:t>（二）划款指令的发送、确认和执行</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1、指令的发送</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管理人应按照法律法规和合同的约定，在其合法的经营权限和交易权限内发送指令。对于指令发送人员无权或超越权限发送的指令，托管人有权拒绝执行，并及时通知管理人改正。对于被授权人发出的指令，管理人不得否认其效力。</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2、指令的审核确认</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管理人在向托管人发送电子指令、书面指令后，须电话联系托管人进行确认。因管理人未能及时与托管人进行指令确认,致使指令无法及时处理完成的，托管人不承担责任。</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电子指令自成功进入托管人系统并经双方确认时视为送达。一旦成功进入托管人系统，均视为由管理人被授权人发送的指令，托管人对电子指令仅开展要素审核。</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对书面指令，托管人应先根据授权通知，核验指令签发人信息及印鉴有效性，授权核验不通过，托管人有权拒绝执行；核验通过后，再进行要素审核。</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托管人对电子指令、书面指令的要素审核，仅指对指令要素的完整性以及与“证明材料”的表面一致性进行验证。要素审核无误，方可确认指令有效；要素审核不通过，或托管人在履行监督职责时发现指令违反相关法律法规和合同约定、本协议约定的，进入异议处理程序。</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3.指令的执行</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托管人审核确认指令有效后，应依照本协议约定及时执行。</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管理人在发送指令时，应为托管人留出执行指令所必需的时间。发送指令日完成划款的指令，管理人应给托管人预留出距划款截止时点至少2个工作小时的指令执行时间。因管理人原因造成的指令传输不及时、未能留出足够划款所需时间，致使指令无法及时处理所造成的损失由管理人承担。</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管理人应确保托管人在执行管理人发送的划款指令时，托管资金专户内有足够的资金。否则，托管人有权拒绝管理人发送的划款指令，但应立即通知管理人，因不执行该指令而造成损失的，托管人不承担责任。</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4.指令的撤销与变更</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对于托管人尚未执行的电子指令与书面指令，</w:t>
      </w:r>
      <w:r>
        <w:rPr>
          <w:rFonts w:hint="eastAsia" w:ascii="宋体" w:hAnsi="宋体"/>
          <w:spacing w:val="6"/>
          <w:sz w:val="24"/>
        </w:rPr>
        <w:t>管理人</w:t>
      </w:r>
      <w:r>
        <w:rPr>
          <w:rFonts w:hint="eastAsia" w:ascii="宋体" w:hAnsi="宋体" w:cs="仿宋_GB2312"/>
          <w:spacing w:val="6"/>
          <w:sz w:val="24"/>
          <w:szCs w:val="24"/>
        </w:rPr>
        <w:t>可以撤销，但应提前与</w:t>
      </w:r>
      <w:r>
        <w:rPr>
          <w:rFonts w:hint="eastAsia" w:ascii="宋体" w:hAnsi="宋体"/>
          <w:spacing w:val="6"/>
          <w:sz w:val="24"/>
        </w:rPr>
        <w:t>托管人</w:t>
      </w:r>
      <w:r>
        <w:rPr>
          <w:rFonts w:hint="eastAsia" w:ascii="宋体" w:hAnsi="宋体" w:cs="仿宋_GB2312"/>
          <w:spacing w:val="6"/>
          <w:sz w:val="24"/>
          <w:szCs w:val="24"/>
        </w:rPr>
        <w:t>进行沟通确认，双方协商一致后，</w:t>
      </w:r>
      <w:r>
        <w:rPr>
          <w:rFonts w:hint="eastAsia" w:ascii="宋体" w:hAnsi="宋体"/>
          <w:spacing w:val="6"/>
          <w:sz w:val="24"/>
        </w:rPr>
        <w:t>管理人</w:t>
      </w:r>
      <w:r>
        <w:rPr>
          <w:rFonts w:hint="eastAsia" w:ascii="宋体" w:hAnsi="宋体" w:cs="仿宋_GB2312"/>
          <w:spacing w:val="6"/>
          <w:sz w:val="24"/>
          <w:szCs w:val="24"/>
        </w:rPr>
        <w:t>需通过传真或者邮件等双方约定的方式发送撤销指令的书面通知，书面通知应载明指令撤销内容和协商一致的生效时间。因</w:t>
      </w:r>
      <w:r>
        <w:rPr>
          <w:rFonts w:hint="eastAsia" w:ascii="宋体" w:hAnsi="宋体"/>
          <w:spacing w:val="6"/>
          <w:sz w:val="24"/>
        </w:rPr>
        <w:t>管理人未能及时与托管人</w:t>
      </w:r>
      <w:r>
        <w:rPr>
          <w:rFonts w:hint="eastAsia" w:ascii="宋体" w:hAnsi="宋体" w:cs="仿宋_GB2312"/>
          <w:spacing w:val="6"/>
          <w:sz w:val="24"/>
          <w:szCs w:val="24"/>
        </w:rPr>
        <w:t>进行撤销确认，致使指令无法撤销的，</w:t>
      </w:r>
      <w:r>
        <w:rPr>
          <w:rFonts w:hint="eastAsia" w:ascii="宋体" w:hAnsi="宋体"/>
          <w:spacing w:val="6"/>
          <w:sz w:val="24"/>
        </w:rPr>
        <w:t>托管人</w:t>
      </w:r>
      <w:r>
        <w:rPr>
          <w:rFonts w:hint="eastAsia" w:ascii="宋体" w:hAnsi="宋体" w:cs="仿宋_GB2312"/>
          <w:spacing w:val="6"/>
          <w:sz w:val="24"/>
          <w:szCs w:val="24"/>
        </w:rPr>
        <w:t>不承担责任。</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指令变更参照上述流程办理。</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（三）电子指令与书面指令的异议处理程序</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托管人对书面指令与电子指令存在疑义的，应及时向管理人提出。管理人须在双方协商的有效时间内答复，如未在有效时间内答复，托管人有权拒绝执行该指令，所造成的损失不由托管人承担。对于因异议处理导致的指令执行延误，托管人亦不承担责任。</w:t>
      </w:r>
    </w:p>
    <w:p>
      <w:pPr>
        <w:spacing w:line="360" w:lineRule="auto"/>
        <w:ind w:firstLine="586"/>
        <w:rPr>
          <w:rFonts w:ascii="宋体" w:hAnsi="宋体" w:cs="仿宋_GB2312"/>
          <w:spacing w:val="6"/>
          <w:sz w:val="24"/>
          <w:szCs w:val="24"/>
        </w:rPr>
      </w:pPr>
      <w:r>
        <w:rPr>
          <w:rFonts w:hint="eastAsia" w:ascii="宋体" w:hAnsi="宋体" w:cs="仿宋_GB2312"/>
          <w:spacing w:val="6"/>
          <w:sz w:val="24"/>
          <w:szCs w:val="24"/>
        </w:rPr>
        <w:t>（四）托管人未按照管理人指令执行的责任</w:t>
      </w:r>
    </w:p>
    <w:p>
      <w:pPr>
        <w:pStyle w:val="9"/>
        <w:adjustRightInd w:val="0"/>
        <w:snapToGrid w:val="0"/>
        <w:spacing w:before="156" w:beforeLines="50" w:after="156" w:afterLines="50" w:line="360" w:lineRule="auto"/>
        <w:ind w:firstLine="504" w:firstLineChars="200"/>
        <w:rPr>
          <w:rFonts w:hAnsi="宋体"/>
          <w:kern w:val="0"/>
          <w:sz w:val="24"/>
          <w:szCs w:val="24"/>
          <w:lang w:val="en-US"/>
        </w:rPr>
      </w:pPr>
      <w:r>
        <w:rPr>
          <w:rFonts w:hint="eastAsia" w:hAnsi="宋体" w:cs="仿宋_GB2312"/>
          <w:spacing w:val="6"/>
          <w:sz w:val="24"/>
          <w:szCs w:val="24"/>
        </w:rPr>
        <w:t>托管人由于自身原因未按照或者未及时按照管理人发送的有效指令执行，给</w:t>
      </w:r>
      <w:r>
        <w:rPr>
          <w:rFonts w:hint="eastAsia" w:hAnsi="宋体" w:cs="仿宋_GB2312"/>
          <w:spacing w:val="6"/>
          <w:sz w:val="24"/>
          <w:szCs w:val="24"/>
          <w:lang w:val="en-US"/>
        </w:rPr>
        <w:t>理财产品</w:t>
      </w:r>
      <w:r>
        <w:rPr>
          <w:rFonts w:hint="eastAsia" w:hAnsi="宋体" w:cs="仿宋_GB2312"/>
          <w:spacing w:val="6"/>
          <w:sz w:val="24"/>
          <w:szCs w:val="24"/>
        </w:rPr>
        <w:t>份额持有人造成损失的，应负赔偿责任。</w:t>
      </w:r>
    </w:p>
    <w:bookmarkEnd w:id="66"/>
    <w:p>
      <w:pPr>
        <w:pStyle w:val="9"/>
        <w:adjustRightInd w:val="0"/>
        <w:snapToGrid w:val="0"/>
        <w:spacing w:before="156" w:beforeLines="50" w:after="156" w:afterLines="50" w:line="360" w:lineRule="auto"/>
        <w:ind w:firstLine="480" w:firstLineChars="200"/>
        <w:rPr>
          <w:rFonts w:hAnsi="宋体"/>
          <w:kern w:val="0"/>
          <w:sz w:val="24"/>
          <w:szCs w:val="24"/>
          <w:lang w:val="en-US"/>
        </w:rPr>
      </w:pPr>
    </w:p>
    <w:p>
      <w:pPr>
        <w:pStyle w:val="3"/>
        <w:tabs>
          <w:tab w:val="left" w:pos="0"/>
          <w:tab w:val="left" w:pos="2784"/>
        </w:tabs>
        <w:adjustRightInd w:val="0"/>
        <w:spacing w:before="312" w:beforeLines="100" w:after="312" w:afterLines="100" w:line="360" w:lineRule="auto"/>
        <w:ind w:firstLine="1205" w:firstLineChars="500"/>
        <w:textAlignment w:val="baseline"/>
        <w:rPr>
          <w:rFonts w:ascii="宋体" w:hAnsi="宋体" w:cs="宋体"/>
          <w:sz w:val="24"/>
          <w:szCs w:val="24"/>
        </w:rPr>
      </w:pPr>
      <w:bookmarkStart w:id="76" w:name="_Toc18057237"/>
      <w:bookmarkStart w:id="77" w:name="_Toc2673257"/>
      <w:bookmarkStart w:id="78" w:name="_Toc18057164"/>
      <w:bookmarkStart w:id="79" w:name="_Toc22894"/>
      <w:bookmarkStart w:id="80" w:name="_Toc18057713"/>
      <w:bookmarkStart w:id="81" w:name="_Toc18057339"/>
      <w:bookmarkStart w:id="82" w:name="_Toc1656553"/>
      <w:bookmarkStart w:id="83" w:name="_Toc22802421"/>
      <w:bookmarkStart w:id="84" w:name="_Toc14449"/>
      <w:bookmarkStart w:id="85" w:name="_Toc17500"/>
      <w:bookmarkStart w:id="86" w:name="_Toc11262"/>
      <w:bookmarkStart w:id="87" w:name="_Toc1028"/>
      <w:bookmarkStart w:id="88" w:name="_Toc19177202"/>
      <w:bookmarkStart w:id="89" w:name="_Toc21288"/>
      <w:r>
        <w:rPr>
          <w:rFonts w:hint="eastAsia" w:ascii="宋体" w:hAnsi="宋体" w:cs="宋体"/>
          <w:sz w:val="24"/>
          <w:szCs w:val="24"/>
        </w:rPr>
        <w:t>第六章  理财产品的投资交易及</w:t>
      </w:r>
      <w:bookmarkEnd w:id="76"/>
      <w:bookmarkEnd w:id="77"/>
      <w:bookmarkEnd w:id="78"/>
      <w:bookmarkEnd w:id="79"/>
      <w:bookmarkEnd w:id="80"/>
      <w:bookmarkEnd w:id="81"/>
      <w:bookmarkEnd w:id="82"/>
      <w:r>
        <w:rPr>
          <w:rFonts w:hint="eastAsia" w:ascii="宋体" w:hAnsi="宋体" w:cs="宋体"/>
          <w:sz w:val="24"/>
          <w:szCs w:val="24"/>
        </w:rPr>
        <w:t>其资金清算</w:t>
      </w:r>
      <w:bookmarkEnd w:id="83"/>
      <w:bookmarkEnd w:id="84"/>
      <w:bookmarkEnd w:id="85"/>
      <w:bookmarkEnd w:id="86"/>
      <w:bookmarkEnd w:id="87"/>
      <w:bookmarkEnd w:id="88"/>
      <w:bookmarkEnd w:id="89"/>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一、理财产品的投资对象</w:t>
      </w:r>
    </w:p>
    <w:p>
      <w:pPr>
        <w:spacing w:before="40"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甲方各理财产品的投资对象在各理财产品的理财产品相关文件中予以约定。</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二、理财产品的资金清算</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1、当甲方要求乙方从理财账户向其它账户划款时，乙方将根据甲方签发的“托管账户划款指令”、“理财产品起始运作通知书”及相应回执及本协议约定的相关资料进行表面一致性审核，审核无误后及时将资金划付至指定的收款账户。 </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2、证券经营机构的选择及交易相关基本信息的传输</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甲方负责选择代理本理财产品证券买卖的证券经营机构，本理财产品参与交易所场内证券投资，采用证券公司结算模式，甲方、乙方应与甲方选择的证券经纪机构另行签署《经纪服务协议》，明确各自在业务上的程序和职责。甲方最晚于理财产品起始运作日前一个工作日以书面形式告知乙方上交所和深交所的交易单元号、交易品种的费率、佣金收取标准和证券账户信息等，并确认已建立第三方存管关系、开通银证转账功能。在</w:t>
      </w:r>
      <w:r>
        <w:rPr>
          <w:rFonts w:hint="eastAsia" w:ascii="宋体" w:hAnsi="宋体" w:cs="宋体"/>
          <w:kern w:val="0"/>
          <w:sz w:val="24"/>
          <w:szCs w:val="24"/>
        </w:rPr>
        <w:t>协议</w:t>
      </w:r>
      <w:r>
        <w:rPr>
          <w:rFonts w:hint="eastAsia" w:ascii="宋体" w:hAnsi="宋体" w:cs="宋体"/>
          <w:kern w:val="0"/>
          <w:sz w:val="24"/>
          <w:szCs w:val="24"/>
          <w:lang w:val="zh-CN"/>
        </w:rPr>
        <w:t>有效期间若交易单元号、交易会员号、交易编码、或涉及的相关费率等变动，则甲方应在变动生效前一个工作日书面告知乙方。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3、沪、深交易所数据传输和接收</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1）甲方应责成其选择的证券经营机构通过深证通或其他双方认可的方式向乙方传送中登的登记及结算数据、交易所的交易清算数据。甲方应责成其选择的证券经营机构保证提供给乙方的交易数据的准确性、完整性、真实性，如数据不准确、不完整或不真实，甲方、乙方不承担责任，双方责成证券经营机构承担全部责任，但因证券交易所、中登及证券经营机构无法控制的其他原因造成数据传输错误或不及时的，甲方、乙方和证券经营机构不承担任何责任。</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所提供的数据均需按中登和交易所发布的最新数据接口规范进行填写，以便乙方能够完成会计核算、清算、监督职能。</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若数据传送不成功，甲方应责成证券经营机构重复或以其它应急方式传送，直到乙方成功接收，乙方对因证券经营机构提供的数据错误或不及时等过失造成的理财产品资产损失不承担责任。</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（2）甲方应责成证券经营机构于T日</w:t>
      </w:r>
      <w:r>
        <w:rPr>
          <w:rFonts w:hint="eastAsia" w:ascii="宋体" w:hAnsi="宋体"/>
          <w:kern w:val="0"/>
          <w:sz w:val="24"/>
        </w:rPr>
        <w:t>19</w:t>
      </w:r>
      <w:r>
        <w:rPr>
          <w:rFonts w:ascii="宋体" w:hAnsi="宋体" w:cs="宋体"/>
          <w:kern w:val="0"/>
          <w:sz w:val="24"/>
          <w:szCs w:val="24"/>
        </w:rPr>
        <w:t>:00</w:t>
      </w:r>
      <w:r>
        <w:rPr>
          <w:rFonts w:hint="eastAsia" w:ascii="宋体" w:hAnsi="宋体" w:cs="宋体"/>
          <w:kern w:val="0"/>
          <w:sz w:val="24"/>
          <w:szCs w:val="24"/>
        </w:rPr>
        <w:t>前</w:t>
      </w:r>
      <w:r>
        <w:rPr>
          <w:rFonts w:hint="eastAsia" w:ascii="宋体" w:hAnsi="宋体" w:cs="宋体"/>
          <w:kern w:val="0"/>
          <w:sz w:val="24"/>
          <w:szCs w:val="24"/>
          <w:lang w:val="zh-CN"/>
        </w:rPr>
        <w:t>将理财产品的当日场内交易数据发送至乙方（但因证券交易所或中登及甲方无法控制的其他原因而造成数据延迟发送的情况除外），如遇到特殊情况出现数据发送延迟等情况应及时通知乙方。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（3）甲方应责成证券经营机构于T日</w:t>
      </w:r>
      <w:r>
        <w:rPr>
          <w:rFonts w:hint="eastAsia" w:ascii="宋体" w:hAnsi="宋体" w:cs="宋体"/>
          <w:kern w:val="0"/>
          <w:sz w:val="24"/>
          <w:szCs w:val="24"/>
        </w:rPr>
        <w:t>19:</w:t>
      </w:r>
      <w:r>
        <w:rPr>
          <w:rFonts w:ascii="宋体" w:hAnsi="宋体" w:cs="宋体"/>
          <w:kern w:val="0"/>
          <w:sz w:val="24"/>
          <w:szCs w:val="24"/>
        </w:rPr>
        <w:t>00</w:t>
      </w:r>
      <w:r>
        <w:rPr>
          <w:rFonts w:hint="eastAsia" w:ascii="宋体" w:hAnsi="宋体" w:cs="宋体"/>
          <w:kern w:val="0"/>
          <w:sz w:val="24"/>
          <w:szCs w:val="24"/>
          <w:lang w:val="zh-CN"/>
        </w:rPr>
        <w:t>前以约定方式将T日清算后的证券账户对账单发送至乙方，以便乙方进行对账。对账单内容包括理财产品资产T日的交易明细、证券余额、资金余额等内容。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（4）甲方应责成证券经营机构指定专人负责数据的传输和接收，确保数据的安全性和保密性。</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（5）交易的资金清算与交割 </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甲方所选择的证券经营机构负责办理理财产品的所有场内交易的清算交割；乙方负责办理委托资产的所有场外交易的清算交割。</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4、资金、证券和期货账目及交易记录的核对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甲方和乙方应按法律法规规定及本</w:t>
      </w:r>
      <w:r>
        <w:rPr>
          <w:rFonts w:hint="eastAsia" w:ascii="宋体" w:hAnsi="宋体" w:cs="宋体"/>
          <w:kern w:val="0"/>
          <w:sz w:val="24"/>
          <w:szCs w:val="24"/>
        </w:rPr>
        <w:t>协议</w:t>
      </w:r>
      <w:r>
        <w:rPr>
          <w:rFonts w:hint="eastAsia" w:ascii="宋体" w:hAnsi="宋体" w:cs="宋体"/>
          <w:kern w:val="0"/>
          <w:sz w:val="24"/>
          <w:szCs w:val="24"/>
          <w:lang w:val="zh-CN"/>
        </w:rPr>
        <w:t>约定对理财产品财产的证券账目、实物券账目、交易记录进行核对。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5、投资银行存款的特别约定</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（1）甲方和乙方的职责</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甲方应当加强对本产品投资银行存款风险的评估与研究，建立健全银行存款投资的业务流程、岗位职责、风险控制措施和监察稽核制度，严格测算与控制投资银行存款的风险敞口，针对不同类型存款银行建立相关投资限制制度，切实防范有关风险。</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乙方负责依据甲方提供的银行存款投资合同/协议、投资指令、支取通知等有关文件办理资金的支付以及存款证实书的接收、保管与交付（如有），切实履行托管职责。乙方负责依据托管</w:t>
      </w:r>
      <w:r>
        <w:rPr>
          <w:rFonts w:hint="eastAsia" w:ascii="宋体" w:hAnsi="宋体" w:cs="宋体"/>
          <w:kern w:val="0"/>
          <w:sz w:val="24"/>
          <w:szCs w:val="24"/>
        </w:rPr>
        <w:t>协议</w:t>
      </w:r>
      <w:r>
        <w:rPr>
          <w:rFonts w:hint="eastAsia" w:ascii="宋体" w:hAnsi="宋体" w:cs="宋体"/>
          <w:kern w:val="0"/>
          <w:sz w:val="24"/>
          <w:szCs w:val="24"/>
          <w:lang w:val="zh-CN"/>
        </w:rPr>
        <w:t>的约定对存款开户证实书进行保管，不负责对存款开户证实书真伪的辨别，不承担存款开户证实书对应存款的本金及收益的安全。</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（2）相关协议的签署</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甲方在投资银行存款之前，需与存款银行签订具体存款协议。具体存款协议应包括但不限于以下内容：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①存款账户必须以本产品名义开立，存款账户预留印鉴至少</w:t>
      </w:r>
      <w:r>
        <w:rPr>
          <w:rFonts w:hint="eastAsia" w:ascii="宋体" w:hAnsi="宋体" w:cs="宋体"/>
          <w:color w:val="000000"/>
          <w:kern w:val="0"/>
          <w:sz w:val="24"/>
          <w:szCs w:val="24"/>
          <w:lang w:bidi="ar"/>
        </w:rPr>
        <w:t>留一枚乙方印鉴</w:t>
      </w:r>
      <w:r>
        <w:rPr>
          <w:rFonts w:hint="eastAsia" w:ascii="宋体" w:hAnsi="宋体" w:cs="宋体"/>
          <w:kern w:val="0"/>
          <w:sz w:val="24"/>
          <w:szCs w:val="24"/>
          <w:lang w:val="zh-CN"/>
        </w:rPr>
        <w:t>。</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②协议须约定存款类型、期限、利率、计息方式、金额、账号、起止时间，存款银行经办行名称、地址及进款账户。</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③协议须约定将乙方为本产品开立的托管银行账户指定为唯一回款账户，任何情况下，存款银行都不得将存款本息划往任何其他账户。</w:t>
      </w:r>
      <w:r>
        <w:rPr>
          <w:rFonts w:hint="eastAsia" w:ascii="宋体" w:hAnsi="宋体" w:cs="宋体"/>
          <w:color w:val="000000"/>
          <w:kern w:val="0"/>
          <w:sz w:val="24"/>
          <w:szCs w:val="24"/>
          <w:lang w:bidi="ar"/>
        </w:rPr>
        <w:t>存款账户出款不得提取现金，不得作出存款投资协议之外的其他任何用途。</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④协议须约定存款银行有义务保证本产品存款投资在存续期内的安全。</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⑤协议须约定存款银行不得接受甲方或乙方任何一方单方面提出的对该笔存款投资进行更名、转让、挂失、质押、担保、撤销变更印鉴及回款账户信息等任何可能导致财产转移的申请。</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⑥协议须明确，存款银行对存款证实书的真实性负责，并承担移交过程中由于存款证实书丢失、损毁、被人为调换等所引发的一切后果。正常情况下，同城存款银行应在存款证实书开立后3个工作日内将原件移交托管行保管；异地存款银行应在存款证实书开立后10个工作日内将原件移交托管行保管。</w:t>
      </w:r>
      <w:r>
        <w:rPr>
          <w:rFonts w:hint="eastAsia" w:ascii="宋体" w:hAnsi="宋体"/>
          <w:sz w:val="24"/>
        </w:rPr>
        <w:t>如存款证实书要素与存款协议不符，乙方拒绝办理入库，甲方应更正。因发生疫情或自然灾害等不可抗力情况延误的，甲方应及时向乙方书面说明，并采取措施积极推动存款证实书入库事宜。</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（3）办理本理财产品财产投资银行存款的开户、全部提前支取、部分提前支取或到期支取，可采取以下方式：</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①由存款银行/甲方提供上门送、取单服务。在上门送、取单时，存款银行/甲方经办人员应携带单位介绍信/授权书以及个人身份证件，以便乙方进行核查。甲方上述事项被授权人员与甲方负责洽谈存款事宜并签订存款协议的人员不能为同一人。</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②甲方与乙方双方协商一致的其他办理方式。</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（4）本理财产品财产投资银行存款或办理存款支取时，甲方需提前发送投资指令或支取通知到乙方处，以便乙方有足够的时间履行相应的业务操作程序。</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（5）如发生非因乙方原因导致的逾期支取，乙方不承担相应利息损失及逾期支取手续费。</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（6）本产品投资银行存款时，应本着便于存款证实书安全保管和日常监督核查的原则，尽可能选择托管账户开户行所在地的银行机构办理。</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（7）对于已移交乙方保管的存款开户证实书等实物凭证，乙方应确保安全保管；对未按约定将存款开户证实书等实物凭证移交乙方保管的，乙方</w:t>
      </w:r>
      <w:r>
        <w:rPr>
          <w:rFonts w:hint="eastAsia" w:ascii="宋体" w:hAnsi="宋体" w:cs="宋体"/>
          <w:kern w:val="0"/>
          <w:sz w:val="24"/>
          <w:szCs w:val="24"/>
        </w:rPr>
        <w:t>可</w:t>
      </w:r>
      <w:r>
        <w:rPr>
          <w:rFonts w:hint="eastAsia" w:ascii="宋体" w:hAnsi="宋体" w:cs="宋体"/>
          <w:kern w:val="0"/>
          <w:sz w:val="24"/>
          <w:szCs w:val="24"/>
          <w:lang w:val="zh-CN"/>
        </w:rPr>
        <w:t>向甲方进行必要的催缴和风险提示。</w:t>
      </w:r>
      <w:r>
        <w:rPr>
          <w:rFonts w:hint="eastAsia" w:ascii="宋体" w:hAnsi="宋体"/>
          <w:sz w:val="24"/>
        </w:rPr>
        <w:t>在疫情或自然灾害等不可抗力因素影响下，如无法正常办理存款证实书出入库手续，存款本息资金到期应按协议约定返回理财产品的银行托管账户，避免资金回款风险，情况缓解后及时补办出入库手续。</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6、托管产品通过第三方销售机构参与开放式基金投资的特别约定</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本产品可以通过第三方基金销售机构渠道投资开放式基金，甲方</w:t>
      </w:r>
      <w:r>
        <w:rPr>
          <w:rFonts w:hint="eastAsia" w:ascii="宋体" w:hAnsi="宋体" w:cs="宋体"/>
          <w:color w:val="000000"/>
          <w:sz w:val="24"/>
          <w:szCs w:val="24"/>
        </w:rPr>
        <w:t>应向乙方提供与第三方基金代销机构签署的合作协议及风险承诺</w:t>
      </w:r>
      <w:r>
        <w:rPr>
          <w:rFonts w:hint="eastAsia" w:ascii="宋体" w:hAnsi="宋体" w:cs="宋体"/>
          <w:kern w:val="0"/>
          <w:sz w:val="24"/>
          <w:szCs w:val="24"/>
          <w:lang w:val="zh-CN"/>
        </w:rPr>
        <w:t>。为维护产品持有人利益、保障资产安全，甲方应负责制订选择第三方基金销售机构的标准和程序，并据此选择第三方销售机构。甲方确保所选择的销售机构在中国证监会注册取得基金销售业务资格并已成为中国证券投资基金业协会会员，符合开展前述各类产品销售业务的各项资质和要求。</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7、托管产品通过系统直连交易基金、资管计划的特别约定</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甲方如与基金、资管计划管理人及代销机构做系统对接，托管产品通过系统直连交易基金、资管计划时，交易申请在甲方投资组合管理系统审批完成后即推送至机构管理人、代销机构系统，机构管理人、代销机构接收甲方交易指令并处理，甲方无需再向机构管理人、代销机构提交交易业务申请表或在机构管理人、代销机构网站下单。其中，追加认购申请、申购申请等需托管行操作划款的划款指令的复核依据以甲方提供的投资组合管理系统的交易要素为准，甲方确保投资组合管理系统对应交易的理财产品、资产标的、交易日期、交易金额等交易要素信息无误，甲方不再向乙方提供交易业务申请表。托管产品在首次做该类交易时，需要将《关于平安理财与基金、资管计划管理人及代销机构系统对接的说明函》、《深证通电子指令系统直连使用备忘录》等甲方与机构管理人及代销机构签署的协议，以及甲方签署的资管计划合同或风险揭示书发送给乙方。甲方在后续交易时需要将交易申购明细表发送乙方，不需再发送交易业务申请表。甲方通过代销机构开展的</w:t>
      </w:r>
      <w:r>
        <w:rPr>
          <w:rFonts w:hint="eastAsia" w:ascii="宋体" w:hAnsi="宋体" w:cs="宋体"/>
          <w:color w:val="000000"/>
          <w:sz w:val="24"/>
          <w:szCs w:val="24"/>
        </w:rPr>
        <w:t>投资指令完成后，</w:t>
      </w:r>
      <w:r>
        <w:rPr>
          <w:rFonts w:hint="eastAsia" w:ascii="宋体" w:hAnsi="宋体" w:cs="仿宋_GB2312"/>
          <w:sz w:val="24"/>
          <w:szCs w:val="24"/>
        </w:rPr>
        <w:t>甲方应确保代销机构及时向乙方提供认购/申购确认等交易单据</w:t>
      </w:r>
      <w:r>
        <w:rPr>
          <w:rFonts w:hint="eastAsia" w:ascii="宋体" w:hAnsi="宋体" w:cs="宋体"/>
          <w:color w:val="000000"/>
          <w:sz w:val="24"/>
          <w:szCs w:val="24"/>
        </w:rPr>
        <w:t>。</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8、其他未约定事项，以“理财产品起始运作通知书”及相应回执确认为准。</w:t>
      </w:r>
    </w:p>
    <w:p>
      <w:pPr>
        <w:spacing w:line="360" w:lineRule="auto"/>
        <w:ind w:firstLine="480" w:firstLineChars="200"/>
        <w:rPr>
          <w:rFonts w:ascii="宋体" w:hAnsi="宋体" w:cs="宋体"/>
          <w:kern w:val="0"/>
          <w:sz w:val="24"/>
          <w:szCs w:val="24"/>
          <w:lang w:val="zh-CN"/>
        </w:rPr>
      </w:pPr>
      <w:r>
        <w:rPr>
          <w:rFonts w:hint="eastAsia" w:cs="宋体"/>
          <w:kern w:val="0"/>
          <w:sz w:val="24"/>
          <w:szCs w:val="24"/>
          <w:lang w:val="zh-CN"/>
        </w:rPr>
        <w:t>9、</w:t>
      </w:r>
      <w:r>
        <w:rPr>
          <w:rFonts w:ascii="宋体" w:hAnsi="宋体" w:cs="仿宋_GB2312"/>
          <w:color w:val="000000"/>
          <w:sz w:val="24"/>
          <w:szCs w:val="24"/>
        </w:rPr>
        <w:t>若理财产品参与场内质押式回购业务，管理人应密切关注中国证券登记结算有限责任公司T日发布的T+2日适用的标准券折算率，并做好场内质押式回购业务补券工作；若托管人发现管理人未及时补足债券，托管人通知管理人补券，管理人须按托管人要求进行补券及回复相关信息。</w:t>
      </w:r>
    </w:p>
    <w:p>
      <w:pPr>
        <w:spacing w:line="360" w:lineRule="auto"/>
        <w:ind w:left="479" w:leftChars="228"/>
        <w:rPr>
          <w:rFonts w:ascii="宋体" w:hAnsi="宋体" w:cs="宋体"/>
          <w:b/>
          <w:bCs/>
          <w:sz w:val="24"/>
          <w:szCs w:val="24"/>
        </w:rPr>
      </w:pPr>
      <w:r>
        <w:rPr>
          <w:rFonts w:hint="eastAsia" w:ascii="宋体" w:hAnsi="宋体" w:cs="宋体"/>
          <w:b/>
          <w:bCs/>
          <w:sz w:val="24"/>
          <w:szCs w:val="24"/>
        </w:rPr>
        <w:t>三、申购或赎回的资金清算</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理财产品发生申购时，甲方应及时将申购款划入该理财产品对应托管账户，乙方应及时查收申购资金的到账情况。</w:t>
      </w:r>
    </w:p>
    <w:p>
      <w:pPr>
        <w:spacing w:line="360" w:lineRule="auto"/>
        <w:ind w:firstLine="480" w:firstLineChars="200"/>
        <w:rPr>
          <w:rFonts w:ascii="宋体" w:hAnsi="宋体" w:cs="宋体"/>
          <w:kern w:val="0"/>
          <w:sz w:val="24"/>
          <w:szCs w:val="24"/>
          <w:lang w:val="zh-CN"/>
        </w:rPr>
      </w:pPr>
      <w:r>
        <w:rPr>
          <w:rFonts w:hint="eastAsia" w:ascii="宋体" w:hAnsi="宋体" w:cs="宋体"/>
          <w:kern w:val="0"/>
          <w:sz w:val="24"/>
          <w:szCs w:val="24"/>
          <w:lang w:val="zh-CN"/>
        </w:rPr>
        <w:t>理财产品发生赎回时，乙方应根据核对无误的甲方指令及时划付赎回款项。乙方负责将赎回款项拨付至甲方开立或指定的理财产品募集结算资金专用账户，甲方负责将收到的款项向各理财产品投资者分配。</w:t>
      </w:r>
    </w:p>
    <w:p>
      <w:pPr>
        <w:spacing w:line="360" w:lineRule="auto"/>
        <w:rPr>
          <w:rFonts w:ascii="宋体" w:hAnsi="宋体" w:cs="宋体"/>
          <w:sz w:val="24"/>
          <w:szCs w:val="24"/>
        </w:rPr>
      </w:pPr>
    </w:p>
    <w:p>
      <w:pPr>
        <w:pStyle w:val="3"/>
        <w:numPr>
          <w:ilvl w:val="0"/>
          <w:numId w:val="1"/>
        </w:numPr>
        <w:spacing w:before="40" w:after="0" w:line="360" w:lineRule="auto"/>
        <w:ind w:left="1361" w:leftChars="648" w:firstLine="472" w:firstLineChars="196"/>
        <w:rPr>
          <w:rFonts w:ascii="宋体" w:hAnsi="宋体" w:cs="宋体"/>
          <w:sz w:val="24"/>
          <w:szCs w:val="24"/>
        </w:rPr>
      </w:pPr>
      <w:bookmarkStart w:id="90" w:name="_Toc18057714"/>
      <w:bookmarkStart w:id="91" w:name="_Toc22802422"/>
      <w:bookmarkStart w:id="92" w:name="_Toc22150"/>
      <w:bookmarkStart w:id="93" w:name="_Toc18057165"/>
      <w:bookmarkStart w:id="94" w:name="_Toc21717"/>
      <w:bookmarkStart w:id="95" w:name="_Toc18057238"/>
      <w:bookmarkStart w:id="96" w:name="_Toc18057340"/>
      <w:bookmarkStart w:id="97" w:name="_Toc4860"/>
      <w:bookmarkStart w:id="98" w:name="_Toc12868"/>
      <w:bookmarkStart w:id="99" w:name="_Toc16251"/>
      <w:bookmarkStart w:id="100" w:name="_Toc19177203"/>
      <w:r>
        <w:rPr>
          <w:rFonts w:hint="eastAsia" w:ascii="宋体" w:hAnsi="宋体" w:cs="宋体"/>
          <w:sz w:val="24"/>
          <w:szCs w:val="24"/>
        </w:rPr>
        <w:t>理财产品估值与会计核算</w:t>
      </w:r>
      <w:bookmarkEnd w:id="90"/>
      <w:bookmarkEnd w:id="91"/>
      <w:bookmarkEnd w:id="92"/>
      <w:bookmarkEnd w:id="93"/>
      <w:bookmarkEnd w:id="94"/>
      <w:bookmarkEnd w:id="95"/>
      <w:bookmarkEnd w:id="96"/>
      <w:bookmarkEnd w:id="97"/>
      <w:bookmarkEnd w:id="98"/>
      <w:bookmarkEnd w:id="99"/>
      <w:bookmarkEnd w:id="100"/>
    </w:p>
    <w:p>
      <w:pPr>
        <w:spacing w:line="360" w:lineRule="auto"/>
        <w:rPr>
          <w:rFonts w:ascii="宋体" w:hAnsi="宋体" w:cs="宋体"/>
          <w:sz w:val="24"/>
          <w:szCs w:val="24"/>
        </w:rPr>
      </w:pPr>
    </w:p>
    <w:p>
      <w:pPr>
        <w:pStyle w:val="10"/>
        <w:tabs>
          <w:tab w:val="left" w:pos="1582"/>
        </w:tabs>
        <w:spacing w:line="360" w:lineRule="auto"/>
        <w:rPr>
          <w:rFonts w:ascii="宋体" w:hAnsi="宋体" w:eastAsia="宋体" w:cs="宋体"/>
          <w:b/>
          <w:bCs/>
          <w:sz w:val="24"/>
          <w:szCs w:val="24"/>
        </w:rPr>
      </w:pPr>
      <w:r>
        <w:rPr>
          <w:rFonts w:hint="eastAsia" w:ascii="宋体" w:hAnsi="宋体" w:eastAsia="宋体" w:cs="宋体"/>
          <w:b/>
          <w:bCs/>
          <w:sz w:val="24"/>
          <w:szCs w:val="24"/>
        </w:rPr>
        <w:t>一、理财产品资产净值的计算及复核程序</w:t>
      </w:r>
    </w:p>
    <w:p>
      <w:pPr>
        <w:pStyle w:val="10"/>
        <w:tabs>
          <w:tab w:val="left" w:pos="1582"/>
        </w:tabs>
        <w:spacing w:after="0" w:line="360" w:lineRule="auto"/>
        <w:rPr>
          <w:rFonts w:ascii="宋体" w:hAnsi="宋体" w:eastAsia="宋体" w:cs="宋体"/>
          <w:sz w:val="24"/>
          <w:szCs w:val="24"/>
        </w:rPr>
      </w:pPr>
      <w:r>
        <w:rPr>
          <w:rFonts w:hint="eastAsia" w:ascii="宋体" w:hAnsi="宋体" w:eastAsia="宋体" w:cs="宋体"/>
          <w:sz w:val="24"/>
          <w:szCs w:val="24"/>
          <w:lang w:val="en-US"/>
        </w:rPr>
        <w:t>1、</w:t>
      </w:r>
      <w:r>
        <w:rPr>
          <w:rFonts w:hint="eastAsia" w:ascii="宋体" w:hAnsi="宋体" w:eastAsia="宋体" w:cs="宋体"/>
          <w:sz w:val="24"/>
          <w:szCs w:val="24"/>
        </w:rPr>
        <w:t>理财产品资产净值</w:t>
      </w:r>
    </w:p>
    <w:p>
      <w:pPr>
        <w:pStyle w:val="10"/>
        <w:tabs>
          <w:tab w:val="left" w:pos="1582"/>
        </w:tabs>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理财产品资产净值是指理财产品资产总值减去负债后的价值。</w:t>
      </w:r>
    </w:p>
    <w:p>
      <w:pPr>
        <w:pStyle w:val="10"/>
        <w:tabs>
          <w:tab w:val="left" w:pos="1582"/>
        </w:tabs>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lang w:val="en-US"/>
        </w:rPr>
        <w:t>理财产品份额净值是按照每个交易日闭市后，理财产品资产净值除以当日理财产品份额的余额数量计算，精</w:t>
      </w:r>
      <w:r>
        <w:rPr>
          <w:rFonts w:hint="eastAsia" w:ascii="宋体" w:hAnsi="宋体" w:eastAsia="宋体" w:cs="宋体"/>
          <w:sz w:val="24"/>
          <w:szCs w:val="24"/>
        </w:rPr>
        <w:t>确到0.0001元，小数点后第五位四舍五入，由此产生的误差计入理财财产。国家另有规定的，从其规定。</w:t>
      </w:r>
    </w:p>
    <w:p>
      <w:pPr>
        <w:pStyle w:val="10"/>
        <w:tabs>
          <w:tab w:val="left" w:pos="1582"/>
        </w:tabs>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lang w:val="en-US"/>
        </w:rPr>
        <w:t>2、</w:t>
      </w:r>
      <w:r>
        <w:rPr>
          <w:rFonts w:hint="eastAsia" w:ascii="宋体" w:hAnsi="宋体" w:eastAsia="宋体" w:cs="宋体"/>
          <w:sz w:val="24"/>
          <w:szCs w:val="24"/>
        </w:rPr>
        <w:t>甲方应每</w:t>
      </w:r>
      <w:r>
        <w:rPr>
          <w:rFonts w:hint="eastAsia" w:ascii="宋体" w:hAnsi="宋体" w:eastAsia="宋体" w:cs="宋体"/>
          <w:sz w:val="24"/>
          <w:szCs w:val="24"/>
          <w:lang w:val="en-US"/>
        </w:rPr>
        <w:t>交易日</w:t>
      </w:r>
      <w:r>
        <w:rPr>
          <w:rFonts w:hint="eastAsia" w:ascii="宋体" w:hAnsi="宋体" w:eastAsia="宋体" w:cs="宋体"/>
          <w:sz w:val="24"/>
          <w:szCs w:val="24"/>
        </w:rPr>
        <w:t>对理财产品资产估值。但甲方根据法律法规或理财文件的规定暂停估值时除外。</w:t>
      </w:r>
    </w:p>
    <w:p>
      <w:pPr>
        <w:pStyle w:val="10"/>
        <w:tabs>
          <w:tab w:val="left" w:pos="1582"/>
        </w:tabs>
        <w:spacing w:line="360" w:lineRule="auto"/>
        <w:rPr>
          <w:rFonts w:ascii="宋体" w:hAnsi="宋体" w:eastAsia="宋体" w:cs="宋体"/>
          <w:b/>
          <w:bCs/>
          <w:sz w:val="24"/>
          <w:szCs w:val="24"/>
        </w:rPr>
      </w:pPr>
      <w:r>
        <w:rPr>
          <w:rFonts w:hint="eastAsia" w:ascii="宋体" w:hAnsi="宋体" w:eastAsia="宋体" w:cs="宋体"/>
          <w:b/>
          <w:bCs/>
          <w:sz w:val="24"/>
          <w:szCs w:val="24"/>
          <w:lang w:val="en-US"/>
        </w:rPr>
        <w:t>二、</w:t>
      </w:r>
      <w:r>
        <w:rPr>
          <w:rFonts w:hint="eastAsia" w:ascii="宋体" w:hAnsi="宋体" w:eastAsia="宋体" w:cs="宋体"/>
          <w:b/>
          <w:bCs/>
          <w:sz w:val="24"/>
          <w:szCs w:val="24"/>
        </w:rPr>
        <w:t>理财产品资产估值方法和特殊情形的处理</w:t>
      </w:r>
    </w:p>
    <w:p>
      <w:pPr>
        <w:pStyle w:val="10"/>
        <w:tabs>
          <w:tab w:val="left" w:pos="1582"/>
        </w:tabs>
        <w:spacing w:after="0" w:line="360" w:lineRule="auto"/>
        <w:rPr>
          <w:rFonts w:ascii="宋体" w:hAnsi="宋体" w:eastAsia="宋体" w:cs="宋体"/>
          <w:sz w:val="24"/>
          <w:szCs w:val="24"/>
        </w:rPr>
      </w:pPr>
      <w:r>
        <w:rPr>
          <w:rFonts w:hint="eastAsia" w:ascii="宋体" w:hAnsi="宋体" w:eastAsia="宋体" w:cs="宋体"/>
          <w:sz w:val="24"/>
          <w:szCs w:val="24"/>
          <w:lang w:val="en-US"/>
        </w:rPr>
        <w:t>（一）</w:t>
      </w:r>
      <w:r>
        <w:rPr>
          <w:rFonts w:hint="eastAsia" w:ascii="宋体" w:hAnsi="宋体" w:eastAsia="宋体" w:cs="宋体"/>
          <w:sz w:val="24"/>
          <w:szCs w:val="24"/>
        </w:rPr>
        <w:t>估值日</w:t>
      </w:r>
    </w:p>
    <w:p>
      <w:pPr>
        <w:pStyle w:val="10"/>
        <w:tabs>
          <w:tab w:val="left" w:pos="1582"/>
        </w:tabs>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本理财产品的估值日为本理财产品相关的证券交易场所的交易日以及国家法律法规规定需要对外披露理财产品净值的非交易日。</w:t>
      </w:r>
    </w:p>
    <w:p>
      <w:pPr>
        <w:pStyle w:val="10"/>
        <w:tabs>
          <w:tab w:val="left" w:pos="1582"/>
        </w:tabs>
        <w:spacing w:after="0" w:line="360" w:lineRule="auto"/>
        <w:rPr>
          <w:rFonts w:ascii="宋体" w:hAnsi="宋体" w:eastAsia="宋体" w:cs="宋体"/>
          <w:sz w:val="24"/>
          <w:szCs w:val="24"/>
        </w:rPr>
      </w:pPr>
      <w:r>
        <w:rPr>
          <w:rFonts w:hint="eastAsia" w:ascii="宋体" w:hAnsi="宋体" w:eastAsia="宋体" w:cs="宋体"/>
          <w:sz w:val="24"/>
          <w:szCs w:val="24"/>
          <w:lang w:val="en-US"/>
        </w:rPr>
        <w:t>（二）</w:t>
      </w:r>
      <w:r>
        <w:rPr>
          <w:rFonts w:hint="eastAsia" w:ascii="宋体" w:hAnsi="宋体" w:eastAsia="宋体" w:cs="宋体"/>
          <w:sz w:val="24"/>
          <w:szCs w:val="24"/>
        </w:rPr>
        <w:t>估值对象</w:t>
      </w:r>
    </w:p>
    <w:p>
      <w:pPr>
        <w:pStyle w:val="10"/>
        <w:tabs>
          <w:tab w:val="left" w:pos="1582"/>
        </w:tabs>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理财产品所拥有的有价证券以及银行存款本息和其它资产及负债。</w:t>
      </w:r>
    </w:p>
    <w:p>
      <w:pPr>
        <w:pStyle w:val="10"/>
        <w:tabs>
          <w:tab w:val="left" w:pos="1582"/>
        </w:tabs>
        <w:spacing w:after="0" w:line="360" w:lineRule="auto"/>
        <w:rPr>
          <w:rFonts w:ascii="宋体" w:hAnsi="宋体" w:eastAsia="宋体" w:cs="宋体"/>
          <w:sz w:val="24"/>
          <w:szCs w:val="24"/>
        </w:rPr>
      </w:pPr>
      <w:r>
        <w:rPr>
          <w:rFonts w:hint="eastAsia" w:ascii="宋体" w:hAnsi="宋体" w:eastAsia="宋体" w:cs="宋体"/>
          <w:sz w:val="24"/>
          <w:szCs w:val="24"/>
          <w:lang w:val="en-US"/>
        </w:rPr>
        <w:t>（三）</w:t>
      </w:r>
      <w:r>
        <w:rPr>
          <w:rFonts w:hint="eastAsia" w:ascii="宋体" w:hAnsi="宋体" w:eastAsia="宋体" w:cs="宋体"/>
          <w:sz w:val="24"/>
          <w:szCs w:val="24"/>
        </w:rPr>
        <w:t>估值方法</w:t>
      </w:r>
    </w:p>
    <w:p>
      <w:pPr>
        <w:pStyle w:val="10"/>
        <w:tabs>
          <w:tab w:val="left" w:pos="1582"/>
        </w:tabs>
        <w:spacing w:after="0" w:line="360" w:lineRule="auto"/>
        <w:ind w:left="0" w:leftChars="0" w:firstLine="480" w:firstLineChars="200"/>
        <w:rPr>
          <w:rFonts w:ascii="宋体" w:hAnsi="宋体" w:eastAsia="宋体" w:cs="宋体"/>
          <w:sz w:val="24"/>
          <w:szCs w:val="24"/>
        </w:rPr>
      </w:pPr>
      <w:r>
        <w:rPr>
          <w:rFonts w:hint="eastAsia" w:ascii="宋体" w:hAnsi="宋体" w:eastAsia="宋体" w:cs="宋体"/>
          <w:sz w:val="24"/>
          <w:szCs w:val="24"/>
        </w:rPr>
        <w:t>本协议规定的理财产品资产估值方法如下，具体产品的资产估值方法以产品说明书约定为准。甲方应确保双方约定的估值方法和理财产品信息披露文件一致。</w:t>
      </w:r>
    </w:p>
    <w:p>
      <w:pPr>
        <w:pStyle w:val="48"/>
        <w:numPr>
          <w:ilvl w:val="0"/>
          <w:numId w:val="2"/>
        </w:numPr>
        <w:snapToGrid w:val="0"/>
        <w:spacing w:line="360" w:lineRule="auto"/>
        <w:ind w:firstLineChars="0"/>
        <w:rPr>
          <w:rFonts w:ascii="Arial" w:hAnsi="Arial" w:cs="Arial"/>
          <w:color w:val="0D0D0D"/>
          <w:sz w:val="24"/>
        </w:rPr>
      </w:pPr>
      <w:r>
        <w:rPr>
          <w:rFonts w:hint="eastAsia" w:ascii="Arial" w:hAnsi="Arial" w:cs="Arial"/>
          <w:color w:val="0D0D0D"/>
          <w:sz w:val="24"/>
        </w:rPr>
        <w:t>货币市场工具类资产的估值</w:t>
      </w:r>
    </w:p>
    <w:p>
      <w:pPr>
        <w:pStyle w:val="48"/>
        <w:numPr>
          <w:ilvl w:val="0"/>
          <w:numId w:val="3"/>
        </w:numPr>
        <w:snapToGrid w:val="0"/>
        <w:spacing w:line="360" w:lineRule="auto"/>
        <w:ind w:firstLineChars="0"/>
        <w:rPr>
          <w:rFonts w:ascii="宋体" w:hAnsi="宋体" w:cs="Arial"/>
          <w:color w:val="0D0D0D"/>
          <w:sz w:val="24"/>
        </w:rPr>
      </w:pPr>
      <w:r>
        <w:rPr>
          <w:rFonts w:hint="eastAsia" w:ascii="宋体" w:hAnsi="宋体" w:cs="Arial"/>
          <w:color w:val="0D0D0D"/>
          <w:sz w:val="24"/>
        </w:rPr>
        <w:t>一般性存款按其适用利率逐日计提利息；</w:t>
      </w:r>
    </w:p>
    <w:p>
      <w:pPr>
        <w:pStyle w:val="48"/>
        <w:numPr>
          <w:ilvl w:val="0"/>
          <w:numId w:val="3"/>
        </w:numPr>
        <w:snapToGrid w:val="0"/>
        <w:spacing w:line="360" w:lineRule="auto"/>
        <w:ind w:firstLineChars="0"/>
        <w:rPr>
          <w:rFonts w:ascii="宋体" w:hAnsi="宋体" w:cs="Arial"/>
          <w:color w:val="0D0D0D"/>
          <w:sz w:val="24"/>
        </w:rPr>
      </w:pPr>
      <w:r>
        <w:rPr>
          <w:rFonts w:hint="eastAsia" w:ascii="宋体" w:hAnsi="宋体" w:cs="Arial"/>
          <w:color w:val="000000"/>
          <w:sz w:val="24"/>
        </w:rPr>
        <w:t>债券回购和拆借、同业存款按其约定利率逐日计提利息。</w:t>
      </w:r>
    </w:p>
    <w:p>
      <w:pPr>
        <w:pStyle w:val="48"/>
        <w:numPr>
          <w:ilvl w:val="0"/>
          <w:numId w:val="2"/>
        </w:numPr>
        <w:snapToGrid w:val="0"/>
        <w:spacing w:line="360" w:lineRule="auto"/>
        <w:ind w:firstLineChars="0"/>
        <w:rPr>
          <w:rFonts w:ascii="宋体" w:hAnsi="宋体" w:cs="Arial"/>
          <w:color w:val="0D0D0D"/>
          <w:spacing w:val="4"/>
          <w:sz w:val="24"/>
        </w:rPr>
      </w:pPr>
      <w:r>
        <w:rPr>
          <w:rFonts w:hint="eastAsia" w:ascii="宋体" w:hAnsi="宋体" w:cs="Arial"/>
          <w:color w:val="0D0D0D"/>
          <w:spacing w:val="4"/>
          <w:sz w:val="24"/>
        </w:rPr>
        <w:t>债券类资产的估值</w:t>
      </w:r>
    </w:p>
    <w:p>
      <w:pPr>
        <w:snapToGrid w:val="0"/>
        <w:spacing w:line="360" w:lineRule="auto"/>
        <w:ind w:firstLine="480" w:firstLineChars="200"/>
        <w:rPr>
          <w:rFonts w:ascii="宋体" w:hAnsi="宋体" w:cs="Arial"/>
          <w:color w:val="0D0D0D"/>
          <w:sz w:val="24"/>
          <w:szCs w:val="24"/>
        </w:rPr>
      </w:pPr>
      <w:r>
        <w:rPr>
          <w:rFonts w:ascii="Arial" w:hAnsi="Arial" w:cs="Arial"/>
          <w:color w:val="000000"/>
          <w:sz w:val="24"/>
          <w:szCs w:val="24"/>
        </w:rPr>
        <w:t>1）</w:t>
      </w:r>
      <w:r>
        <w:rPr>
          <w:rFonts w:hint="eastAsia" w:ascii="宋体" w:hAnsi="宋体" w:cs="Arial"/>
          <w:color w:val="0D0D0D"/>
          <w:sz w:val="24"/>
          <w:szCs w:val="24"/>
        </w:rPr>
        <w:t>不含转股权的债券，按第三方估值机构（中债、中证等）提供的估值数据，对本理财产品持有的债券进行估值，具体第三方估值机构及取值方法由管理人和托管人具体协商确定；</w:t>
      </w:r>
    </w:p>
    <w:p>
      <w:pPr>
        <w:snapToGrid w:val="0"/>
        <w:spacing w:line="360" w:lineRule="auto"/>
        <w:ind w:firstLine="480" w:firstLineChars="200"/>
        <w:rPr>
          <w:rFonts w:ascii="Arial" w:hAnsi="Arial" w:cs="Arial"/>
          <w:color w:val="0D0D0D"/>
          <w:sz w:val="24"/>
          <w:szCs w:val="24"/>
        </w:rPr>
      </w:pPr>
      <w:r>
        <w:rPr>
          <w:rFonts w:ascii="Arial" w:hAnsi="Arial" w:cs="Arial"/>
          <w:color w:val="000000"/>
          <w:sz w:val="24"/>
          <w:szCs w:val="24"/>
        </w:rPr>
        <w:t>2）</w:t>
      </w:r>
      <w:r>
        <w:rPr>
          <w:rFonts w:hint="eastAsia" w:ascii="宋体" w:hAnsi="宋体" w:cs="Arial"/>
          <w:color w:val="0D0D0D"/>
          <w:sz w:val="24"/>
          <w:szCs w:val="24"/>
        </w:rPr>
        <w:t>含转股权的债券（如：可转换债券、可交换债券等，下同），实行全价交易的，按照估值日收盘价减去收盘价中所含债券应收利息后得到的净价进行估值；</w:t>
      </w:r>
      <w:r>
        <w:rPr>
          <w:rFonts w:hint="eastAsia" w:ascii="Arial" w:hAnsi="Arial" w:cs="Arial"/>
          <w:color w:val="0D0D0D"/>
          <w:sz w:val="24"/>
          <w:szCs w:val="24"/>
        </w:rPr>
        <w:t>实行净价交易的，采用估值日收盘价估值；</w:t>
      </w:r>
      <w:r>
        <w:rPr>
          <w:rFonts w:ascii="Arial" w:hAnsi="Arial" w:cs="Arial"/>
          <w:color w:val="0D0D0D"/>
          <w:sz w:val="24"/>
          <w:szCs w:val="24"/>
        </w:rPr>
        <w:t xml:space="preserve"> </w:t>
      </w:r>
    </w:p>
    <w:p>
      <w:pPr>
        <w:snapToGrid w:val="0"/>
        <w:spacing w:line="360" w:lineRule="auto"/>
        <w:ind w:firstLine="480" w:firstLineChars="200"/>
        <w:rPr>
          <w:rFonts w:ascii="Arial" w:hAnsi="Arial" w:cs="Arial"/>
          <w:color w:val="0D0D0D"/>
          <w:sz w:val="24"/>
          <w:szCs w:val="24"/>
        </w:rPr>
      </w:pPr>
      <w:r>
        <w:rPr>
          <w:rFonts w:ascii="Arial" w:hAnsi="Arial" w:cs="Arial"/>
          <w:color w:val="0D0D0D"/>
          <w:sz w:val="24"/>
          <w:szCs w:val="24"/>
        </w:rPr>
        <w:t>3</w:t>
      </w:r>
      <w:r>
        <w:rPr>
          <w:rFonts w:hint="eastAsia" w:ascii="Arial" w:hAnsi="Arial" w:cs="Arial"/>
          <w:color w:val="0D0D0D"/>
          <w:sz w:val="24"/>
          <w:szCs w:val="24"/>
        </w:rPr>
        <w:t>）如监管对此另有规定的，按照监管的最新规定进行调整。</w:t>
      </w:r>
    </w:p>
    <w:p>
      <w:pPr>
        <w:pStyle w:val="48"/>
        <w:numPr>
          <w:ilvl w:val="0"/>
          <w:numId w:val="2"/>
        </w:numPr>
        <w:snapToGrid w:val="0"/>
        <w:spacing w:line="360" w:lineRule="auto"/>
        <w:ind w:left="0" w:firstLine="480"/>
        <w:rPr>
          <w:rFonts w:ascii="Arial" w:hAnsi="Arial" w:cs="Arial"/>
          <w:color w:val="0D0D0D"/>
          <w:sz w:val="24"/>
        </w:rPr>
      </w:pPr>
      <w:r>
        <w:rPr>
          <w:rFonts w:hint="eastAsia" w:ascii="Arial" w:hAnsi="Arial" w:cs="Arial"/>
          <w:color w:val="0D0D0D"/>
          <w:sz w:val="24"/>
        </w:rPr>
        <w:t>上市流通的公募基金的估值</w:t>
      </w:r>
    </w:p>
    <w:p>
      <w:pPr>
        <w:snapToGrid w:val="0"/>
        <w:spacing w:line="360" w:lineRule="auto"/>
        <w:ind w:firstLine="480" w:firstLineChars="200"/>
        <w:rPr>
          <w:rFonts w:ascii="Arial" w:hAnsi="Arial" w:cs="Arial"/>
          <w:color w:val="0D0D0D"/>
          <w:sz w:val="24"/>
          <w:szCs w:val="24"/>
        </w:rPr>
      </w:pPr>
      <w:r>
        <w:rPr>
          <w:rFonts w:hint="eastAsia" w:ascii="Arial" w:hAnsi="Arial" w:cs="Arial"/>
          <w:color w:val="000000"/>
          <w:sz w:val="24"/>
          <w:szCs w:val="24"/>
        </w:rPr>
        <w:t>按估值日其所在证券交易所的收盘价估值；估值日无交易的，以最近交易日的收盘价估值。</w:t>
      </w:r>
    </w:p>
    <w:p>
      <w:pPr>
        <w:pStyle w:val="48"/>
        <w:numPr>
          <w:ilvl w:val="0"/>
          <w:numId w:val="2"/>
        </w:numPr>
        <w:snapToGrid w:val="0"/>
        <w:spacing w:line="360" w:lineRule="auto"/>
        <w:ind w:left="0" w:firstLine="480"/>
        <w:rPr>
          <w:rFonts w:ascii="Arial" w:hAnsi="Arial" w:cs="Arial"/>
          <w:color w:val="0D0D0D"/>
          <w:sz w:val="24"/>
        </w:rPr>
      </w:pPr>
      <w:r>
        <w:rPr>
          <w:rFonts w:hint="eastAsia" w:ascii="Arial" w:hAnsi="Arial" w:cs="Arial"/>
          <w:color w:val="0D0D0D"/>
          <w:sz w:val="24"/>
        </w:rPr>
        <w:t>其他资产管理产品的估值</w:t>
      </w:r>
    </w:p>
    <w:p>
      <w:pPr>
        <w:snapToGrid w:val="0"/>
        <w:spacing w:line="360" w:lineRule="auto"/>
        <w:ind w:firstLine="480" w:firstLineChars="200"/>
        <w:rPr>
          <w:rFonts w:ascii="Arial" w:hAnsi="Arial" w:cs="Arial"/>
          <w:color w:val="0D0D0D"/>
          <w:sz w:val="24"/>
          <w:szCs w:val="24"/>
        </w:rPr>
      </w:pPr>
      <w:r>
        <w:rPr>
          <w:rFonts w:ascii="Arial" w:hAnsi="Arial" w:cs="Arial"/>
          <w:color w:val="0D0D0D"/>
          <w:sz w:val="24"/>
          <w:szCs w:val="24"/>
        </w:rPr>
        <w:t>1</w:t>
      </w:r>
      <w:r>
        <w:rPr>
          <w:rFonts w:hint="eastAsia" w:ascii="Arial" w:hAnsi="Arial" w:cs="Arial"/>
          <w:color w:val="0D0D0D"/>
          <w:sz w:val="24"/>
          <w:szCs w:val="24"/>
        </w:rPr>
        <w:t>）以估值日截止时点能够获得的、</w:t>
      </w:r>
      <w:r>
        <w:rPr>
          <w:rFonts w:hint="eastAsia" w:ascii="宋体" w:hAnsi="宋体" w:cs="Arial"/>
          <w:color w:val="000000"/>
          <w:sz w:val="24"/>
          <w:szCs w:val="24"/>
        </w:rPr>
        <w:t>由所投资产产品管理人发送的</w:t>
      </w:r>
      <w:r>
        <w:rPr>
          <w:rFonts w:hint="eastAsia" w:ascii="Arial" w:hAnsi="Arial" w:cs="Arial"/>
          <w:color w:val="0D0D0D"/>
          <w:sz w:val="24"/>
          <w:szCs w:val="24"/>
        </w:rPr>
        <w:t>最新份额净值或投资收益情况进行估值；</w:t>
      </w:r>
    </w:p>
    <w:p>
      <w:pPr>
        <w:snapToGrid w:val="0"/>
        <w:spacing w:line="360" w:lineRule="auto"/>
        <w:ind w:firstLine="480" w:firstLineChars="200"/>
        <w:rPr>
          <w:rFonts w:ascii="Arial" w:hAnsi="Arial" w:cs="Arial"/>
          <w:color w:val="0D0D0D"/>
          <w:sz w:val="24"/>
          <w:szCs w:val="24"/>
        </w:rPr>
      </w:pPr>
      <w:r>
        <w:rPr>
          <w:rFonts w:ascii="Arial" w:hAnsi="Arial" w:cs="Arial"/>
          <w:color w:val="0D0D0D"/>
          <w:sz w:val="24"/>
          <w:szCs w:val="24"/>
        </w:rPr>
        <w:t>2</w:t>
      </w:r>
      <w:r>
        <w:rPr>
          <w:rFonts w:hint="eastAsia" w:ascii="Arial" w:hAnsi="Arial" w:cs="Arial"/>
          <w:color w:val="0D0D0D"/>
          <w:sz w:val="24"/>
          <w:szCs w:val="24"/>
        </w:rPr>
        <w:t>）如所投资产管理产品的产品合同未约定估值方案或其管理人提供的估值数据不公允，由管理人和托管人根据合理判断按反映产品公允价值的计量方案进行估值。</w:t>
      </w:r>
    </w:p>
    <w:p>
      <w:pPr>
        <w:pStyle w:val="48"/>
        <w:numPr>
          <w:ilvl w:val="0"/>
          <w:numId w:val="2"/>
        </w:numPr>
        <w:snapToGrid w:val="0"/>
        <w:spacing w:line="360" w:lineRule="auto"/>
        <w:ind w:left="0" w:firstLine="480"/>
        <w:rPr>
          <w:rFonts w:ascii="Arial" w:hAnsi="Arial" w:cs="Arial"/>
          <w:color w:val="0D0D0D"/>
          <w:sz w:val="24"/>
        </w:rPr>
      </w:pPr>
      <w:r>
        <w:rPr>
          <w:rFonts w:hint="eastAsia" w:ascii="Arial" w:hAnsi="Arial" w:cs="Arial"/>
          <w:color w:val="0D0D0D"/>
          <w:sz w:val="24"/>
        </w:rPr>
        <w:t>衍生品金融工具估值，包括但不限于利率互换等</w:t>
      </w:r>
    </w:p>
    <w:p>
      <w:pPr>
        <w:snapToGrid w:val="0"/>
        <w:spacing w:line="360" w:lineRule="auto"/>
        <w:ind w:firstLine="480" w:firstLineChars="200"/>
        <w:rPr>
          <w:rFonts w:ascii="Arial" w:hAnsi="Arial" w:cs="Arial"/>
          <w:color w:val="0D0D0D"/>
          <w:sz w:val="24"/>
          <w:szCs w:val="24"/>
        </w:rPr>
      </w:pPr>
      <w:r>
        <w:rPr>
          <w:rFonts w:ascii="Arial" w:hAnsi="Arial" w:cs="Arial"/>
          <w:color w:val="0D0D0D"/>
          <w:sz w:val="24"/>
          <w:szCs w:val="24"/>
        </w:rPr>
        <w:t>1</w:t>
      </w:r>
      <w:r>
        <w:rPr>
          <w:rFonts w:hint="eastAsia" w:ascii="Arial" w:hAnsi="Arial" w:cs="Arial"/>
          <w:color w:val="0D0D0D"/>
          <w:sz w:val="24"/>
          <w:szCs w:val="24"/>
        </w:rPr>
        <w:t>）场内交易的衍生品金融工具，以交易所最近交易日结算价或收盘价进行估值；</w:t>
      </w:r>
    </w:p>
    <w:p>
      <w:pPr>
        <w:snapToGrid w:val="0"/>
        <w:spacing w:line="360" w:lineRule="auto"/>
        <w:ind w:firstLine="480" w:firstLineChars="200"/>
        <w:rPr>
          <w:rFonts w:ascii="Arial" w:hAnsi="Arial" w:cs="Arial"/>
          <w:color w:val="0D0D0D"/>
          <w:sz w:val="24"/>
          <w:szCs w:val="24"/>
        </w:rPr>
      </w:pPr>
      <w:r>
        <w:rPr>
          <w:rFonts w:ascii="Arial" w:hAnsi="Arial" w:cs="Arial"/>
          <w:color w:val="0D0D0D"/>
          <w:sz w:val="24"/>
          <w:szCs w:val="24"/>
        </w:rPr>
        <w:t>2</w:t>
      </w:r>
      <w:r>
        <w:rPr>
          <w:rFonts w:hint="eastAsia" w:ascii="Arial" w:hAnsi="Arial" w:cs="Arial"/>
          <w:color w:val="0D0D0D"/>
          <w:sz w:val="24"/>
          <w:szCs w:val="24"/>
        </w:rPr>
        <w:t>）场外交易的衍生品金融工具，采用估值技术确定其公允价值，按照管理人和托管人认可的估值模型或第三方数据进行估值。</w:t>
      </w:r>
    </w:p>
    <w:p>
      <w:pPr>
        <w:pStyle w:val="48"/>
        <w:numPr>
          <w:ilvl w:val="0"/>
          <w:numId w:val="2"/>
        </w:numPr>
        <w:snapToGrid w:val="0"/>
        <w:spacing w:line="360" w:lineRule="auto"/>
        <w:ind w:left="0" w:firstLine="480"/>
        <w:rPr>
          <w:rFonts w:ascii="Arial" w:hAnsi="Arial" w:cs="Arial"/>
          <w:color w:val="0D0D0D"/>
          <w:sz w:val="24"/>
        </w:rPr>
      </w:pPr>
      <w:r>
        <w:rPr>
          <w:rFonts w:hint="eastAsia" w:ascii="Arial" w:hAnsi="Arial" w:cs="Arial"/>
          <w:color w:val="000000"/>
          <w:sz w:val="24"/>
        </w:rPr>
        <w:t>优先股的估值</w:t>
      </w:r>
    </w:p>
    <w:p>
      <w:pPr>
        <w:snapToGrid w:val="0"/>
        <w:spacing w:line="360" w:lineRule="auto"/>
        <w:ind w:firstLine="480" w:firstLineChars="200"/>
        <w:rPr>
          <w:rFonts w:ascii="Arial" w:hAnsi="Arial" w:cs="Arial"/>
          <w:color w:val="0D0D0D"/>
          <w:sz w:val="24"/>
          <w:szCs w:val="24"/>
        </w:rPr>
      </w:pPr>
      <w:r>
        <w:rPr>
          <w:rFonts w:hint="eastAsia" w:ascii="Arial" w:hAnsi="Arial" w:cs="Arial"/>
          <w:color w:val="0D0D0D"/>
          <w:sz w:val="24"/>
          <w:szCs w:val="24"/>
        </w:rPr>
        <w:t>优先股按第三方估值机构（中债、中证等）提供的估值数据进行估值；无第三方估值的，由管理人和托管人根据合理判断按反映产品公允价值的计量方案进行估值。</w:t>
      </w:r>
    </w:p>
    <w:p>
      <w:pPr>
        <w:pStyle w:val="48"/>
        <w:numPr>
          <w:ilvl w:val="0"/>
          <w:numId w:val="2"/>
        </w:numPr>
        <w:snapToGrid w:val="0"/>
        <w:spacing w:line="360" w:lineRule="auto"/>
        <w:ind w:left="0" w:firstLine="496"/>
        <w:rPr>
          <w:rFonts w:ascii="Arial" w:hAnsi="Arial" w:cs="Arial"/>
          <w:color w:val="0D0D0D"/>
          <w:sz w:val="24"/>
        </w:rPr>
      </w:pPr>
      <w:r>
        <w:rPr>
          <w:rFonts w:hint="eastAsia" w:ascii="Arial" w:hAnsi="Arial" w:cs="Arial"/>
          <w:color w:val="000000"/>
          <w:spacing w:val="4"/>
          <w:sz w:val="24"/>
        </w:rPr>
        <w:t>结构性产品的估值</w:t>
      </w:r>
    </w:p>
    <w:p>
      <w:pPr>
        <w:snapToGrid w:val="0"/>
        <w:spacing w:line="360" w:lineRule="auto"/>
        <w:ind w:firstLine="480" w:firstLineChars="200"/>
        <w:rPr>
          <w:rFonts w:ascii="Arial" w:hAnsi="Arial" w:cs="Arial"/>
          <w:color w:val="0D0D0D"/>
          <w:sz w:val="24"/>
          <w:szCs w:val="24"/>
        </w:rPr>
      </w:pPr>
      <w:r>
        <w:rPr>
          <w:rFonts w:hint="eastAsia" w:ascii="Arial" w:hAnsi="Arial" w:cs="Arial"/>
          <w:color w:val="000000"/>
          <w:sz w:val="24"/>
          <w:szCs w:val="24"/>
        </w:rPr>
        <w:t>结构性产品以发行人提供的最新估值价格或管理人与托管人认可的估值技术进行估值。</w:t>
      </w:r>
    </w:p>
    <w:p>
      <w:pPr>
        <w:pStyle w:val="48"/>
        <w:numPr>
          <w:ilvl w:val="0"/>
          <w:numId w:val="2"/>
        </w:numPr>
        <w:snapToGrid w:val="0"/>
        <w:spacing w:line="360" w:lineRule="auto"/>
        <w:ind w:left="0" w:firstLine="480"/>
        <w:rPr>
          <w:rFonts w:ascii="Arial" w:hAnsi="Arial" w:cs="Arial"/>
          <w:color w:val="000000"/>
          <w:sz w:val="24"/>
        </w:rPr>
      </w:pPr>
      <w:r>
        <w:rPr>
          <w:rFonts w:hint="eastAsia" w:ascii="Arial" w:hAnsi="Arial" w:cs="Arial"/>
          <w:color w:val="000000"/>
          <w:sz w:val="24"/>
        </w:rPr>
        <w:t>非标准化债权类资产的估值</w:t>
      </w:r>
    </w:p>
    <w:p>
      <w:pPr>
        <w:snapToGrid w:val="0"/>
        <w:spacing w:line="360" w:lineRule="auto"/>
        <w:ind w:firstLine="480" w:firstLineChars="200"/>
        <w:rPr>
          <w:rFonts w:ascii="Arial" w:hAnsi="Arial" w:cs="Arial"/>
          <w:color w:val="000000"/>
          <w:sz w:val="24"/>
          <w:szCs w:val="24"/>
        </w:rPr>
      </w:pPr>
      <w:r>
        <w:rPr>
          <w:rFonts w:hint="eastAsia" w:ascii="Arial" w:hAnsi="Arial" w:cs="Arial"/>
          <w:color w:val="000000"/>
          <w:sz w:val="24"/>
          <w:szCs w:val="24"/>
        </w:rPr>
        <w:t>非标准化债权类资产按照管理人和托管人认可的估值方式进行估值。</w:t>
      </w:r>
    </w:p>
    <w:p>
      <w:pPr>
        <w:pStyle w:val="48"/>
        <w:numPr>
          <w:ilvl w:val="0"/>
          <w:numId w:val="2"/>
        </w:numPr>
        <w:snapToGrid w:val="0"/>
        <w:spacing w:line="360" w:lineRule="auto"/>
        <w:ind w:left="0" w:firstLine="496"/>
        <w:rPr>
          <w:rFonts w:ascii="Arial" w:hAnsi="Arial" w:cs="Arial"/>
          <w:color w:val="0D0D0D"/>
          <w:spacing w:val="4"/>
          <w:sz w:val="24"/>
        </w:rPr>
      </w:pPr>
      <w:r>
        <w:rPr>
          <w:rFonts w:hint="eastAsia" w:ascii="Arial" w:hAnsi="Arial" w:cs="Arial"/>
          <w:color w:val="000000"/>
          <w:spacing w:val="4"/>
          <w:sz w:val="24"/>
        </w:rPr>
        <w:t>证券交易所上市的权益类有价证券的估值</w:t>
      </w:r>
    </w:p>
    <w:p>
      <w:pPr>
        <w:snapToGrid w:val="0"/>
        <w:spacing w:line="360" w:lineRule="auto"/>
        <w:ind w:firstLine="496" w:firstLineChars="200"/>
        <w:rPr>
          <w:rFonts w:ascii="宋体" w:hAnsi="宋体"/>
          <w:spacing w:val="4"/>
          <w:sz w:val="24"/>
          <w:szCs w:val="24"/>
        </w:rPr>
      </w:pPr>
      <w:r>
        <w:rPr>
          <w:rFonts w:hint="eastAsia" w:ascii="宋体" w:hAnsi="宋体"/>
          <w:spacing w:val="4"/>
          <w:sz w:val="24"/>
          <w:szCs w:val="24"/>
        </w:rPr>
        <w:t>交易所上市的权益类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napToGrid w:val="0"/>
        <w:spacing w:line="360" w:lineRule="auto"/>
        <w:ind w:firstLine="496" w:firstLineChars="200"/>
        <w:rPr>
          <w:rFonts w:ascii="宋体" w:hAnsi="宋体" w:cs="Arial"/>
          <w:color w:val="000000"/>
          <w:sz w:val="24"/>
        </w:rPr>
      </w:pPr>
      <w:r>
        <w:rPr>
          <w:rFonts w:hint="eastAsia" w:ascii="Arial" w:hAnsi="Arial" w:cs="Arial"/>
          <w:color w:val="000000"/>
          <w:spacing w:val="4"/>
          <w:sz w:val="24"/>
          <w:szCs w:val="24"/>
        </w:rPr>
        <w:t>（1</w:t>
      </w:r>
      <w:r>
        <w:rPr>
          <w:rFonts w:ascii="Arial" w:hAnsi="Arial" w:cs="Arial"/>
          <w:color w:val="000000"/>
          <w:spacing w:val="4"/>
          <w:sz w:val="24"/>
          <w:szCs w:val="24"/>
        </w:rPr>
        <w:t>0</w:t>
      </w:r>
      <w:r>
        <w:rPr>
          <w:rFonts w:hint="eastAsia" w:ascii="Arial" w:hAnsi="Arial" w:cs="Arial"/>
          <w:color w:val="000000"/>
          <w:spacing w:val="4"/>
          <w:sz w:val="24"/>
          <w:szCs w:val="24"/>
        </w:rPr>
        <w:t>）</w:t>
      </w:r>
      <w:r>
        <w:rPr>
          <w:rFonts w:hint="eastAsia" w:ascii="宋体" w:hAnsi="宋体" w:cs="Arial"/>
          <w:color w:val="000000"/>
          <w:sz w:val="24"/>
        </w:rPr>
        <w:t>适用摊余成本法估值的产品的资产估值</w:t>
      </w:r>
    </w:p>
    <w:p>
      <w:pPr>
        <w:snapToGrid w:val="0"/>
        <w:spacing w:line="360" w:lineRule="auto"/>
        <w:ind w:firstLine="480" w:firstLineChars="200"/>
        <w:rPr>
          <w:rFonts w:ascii="宋体" w:hAnsi="宋体" w:cs="Arial"/>
          <w:color w:val="000000"/>
          <w:sz w:val="24"/>
        </w:rPr>
      </w:pPr>
      <w:r>
        <w:rPr>
          <w:rFonts w:ascii="宋体" w:hAnsi="宋体"/>
          <w:sz w:val="24"/>
        </w:rPr>
        <w:t>1</w:t>
      </w:r>
      <w:r>
        <w:rPr>
          <w:rFonts w:hint="eastAsia" w:ascii="宋体" w:hAnsi="宋体"/>
          <w:sz w:val="24"/>
        </w:rPr>
        <w:t>）银行存款按其适用利率逐日计提利息。</w:t>
      </w:r>
    </w:p>
    <w:p>
      <w:pPr>
        <w:widowControl/>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）债券回购和同业存款按其约定利率逐日计提利息。</w:t>
      </w:r>
    </w:p>
    <w:p>
      <w:pPr>
        <w:widowControl/>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）债券、</w:t>
      </w:r>
      <w:r>
        <w:rPr>
          <w:rFonts w:ascii="宋体" w:hAnsi="宋体"/>
          <w:sz w:val="24"/>
        </w:rPr>
        <w:t>ABS等标准化固定收益类资产采用溢折价摊销后的摊余成本列示，按票面利率计提应收利息。</w:t>
      </w:r>
    </w:p>
    <w:p>
      <w:pPr>
        <w:widowControl/>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）若理财产品存续期间持有其他投资品种，以理财产品管理人和理财产品托管人共同认可的方法估值。</w:t>
      </w:r>
    </w:p>
    <w:p>
      <w:pPr>
        <w:widowControl/>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）理财产品管理人与理财产品托管人将采用估值技术，对理财产品持有的估值对象进行“影子定价”。当影子定价确定的理财产品资产净值与摊余成本法计算的理财产品资产净值正偏离度绝对值达到</w:t>
      </w:r>
      <w:r>
        <w:rPr>
          <w:rFonts w:ascii="宋体" w:hAnsi="宋体"/>
          <w:sz w:val="24"/>
        </w:rPr>
        <w:t>0.5%时，理财产品管理人应当暂停接受认购并在5个交易日内将正偏离度绝对值调整到0.5%以内。当负偏离度绝对值达到0.25%时，理财产品管理人应当在5个交易日内将负偏离度绝对值调整到0.25%以内。当负偏离度绝对值达到0.5%时，理财产品管理人应当采取相应措施，将负偏离度绝对值控制在0.5%以内。当负偏离度绝对值连续两个交易日超过0.5%时，理财产品管理人应当采用公允价值估值方法对持有投资组合的账面价值进行调整，或者采取暂停接受所有赎回申请并终止产品</w:t>
      </w:r>
      <w:r>
        <w:rPr>
          <w:rFonts w:hint="eastAsia" w:ascii="宋体" w:hAnsi="宋体"/>
          <w:sz w:val="24"/>
        </w:rPr>
        <w:t>协议</w:t>
      </w:r>
      <w:r>
        <w:rPr>
          <w:rFonts w:ascii="宋体" w:hAnsi="宋体"/>
          <w:sz w:val="24"/>
        </w:rPr>
        <w:t>进行财产清算等措施。</w:t>
      </w:r>
    </w:p>
    <w:p>
      <w:pPr>
        <w:pStyle w:val="48"/>
        <w:snapToGrid w:val="0"/>
        <w:spacing w:line="360" w:lineRule="auto"/>
        <w:ind w:left="496" w:firstLine="0" w:firstLineChars="0"/>
        <w:rPr>
          <w:rFonts w:ascii="Arial" w:hAnsi="Arial" w:cs="Arial"/>
          <w:color w:val="000000"/>
          <w:spacing w:val="4"/>
          <w:sz w:val="24"/>
        </w:rPr>
      </w:pPr>
      <w:r>
        <w:rPr>
          <w:rFonts w:hint="eastAsia" w:ascii="Arial" w:hAnsi="Arial" w:cs="Arial"/>
          <w:color w:val="000000"/>
          <w:spacing w:val="4"/>
          <w:sz w:val="24"/>
        </w:rPr>
        <w:t>（1</w:t>
      </w:r>
      <w:r>
        <w:rPr>
          <w:rFonts w:ascii="Arial" w:hAnsi="Arial" w:cs="Arial"/>
          <w:color w:val="000000"/>
          <w:spacing w:val="4"/>
          <w:sz w:val="24"/>
        </w:rPr>
        <w:t>1</w:t>
      </w:r>
      <w:r>
        <w:rPr>
          <w:rFonts w:hint="eastAsia" w:ascii="Arial" w:hAnsi="Arial" w:cs="Arial"/>
          <w:color w:val="000000"/>
          <w:spacing w:val="4"/>
          <w:sz w:val="24"/>
        </w:rPr>
        <w:t>）适用混合估值的产品的估值</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理财产品</w:t>
      </w:r>
      <w:r>
        <w:rPr>
          <w:rFonts w:ascii="宋体" w:hAnsi="宋体" w:cs="宋体"/>
          <w:kern w:val="0"/>
          <w:sz w:val="24"/>
        </w:rPr>
        <w:t>采用摊余成本法和市价</w:t>
      </w:r>
      <w:r>
        <w:rPr>
          <w:rFonts w:hint="eastAsia" w:ascii="宋体" w:hAnsi="宋体" w:cs="宋体"/>
          <w:kern w:val="0"/>
          <w:sz w:val="24"/>
        </w:rPr>
        <w:t>法</w:t>
      </w:r>
      <w:r>
        <w:rPr>
          <w:rFonts w:ascii="宋体" w:hAnsi="宋体" w:cs="宋体"/>
          <w:kern w:val="0"/>
          <w:sz w:val="24"/>
        </w:rPr>
        <w:t>相结合的混</w:t>
      </w:r>
      <w:r>
        <w:rPr>
          <w:rFonts w:hint="eastAsia" w:ascii="宋体" w:hAnsi="宋体" w:cs="宋体"/>
          <w:kern w:val="0"/>
          <w:sz w:val="24"/>
        </w:rPr>
        <w:t>合</w:t>
      </w:r>
      <w:r>
        <w:rPr>
          <w:rFonts w:ascii="宋体" w:hAnsi="宋体" w:cs="宋体"/>
          <w:kern w:val="0"/>
          <w:sz w:val="24"/>
        </w:rPr>
        <w:t>估值原则进行估值</w:t>
      </w:r>
      <w:r>
        <w:rPr>
          <w:rFonts w:hint="eastAsia" w:ascii="宋体" w:hAnsi="宋体" w:cs="宋体"/>
          <w:kern w:val="0"/>
          <w:sz w:val="24"/>
        </w:rPr>
        <w:t>的</w:t>
      </w:r>
      <w:r>
        <w:rPr>
          <w:rFonts w:ascii="宋体" w:hAnsi="宋体" w:cs="宋体"/>
          <w:kern w:val="0"/>
          <w:sz w:val="24"/>
        </w:rPr>
        <w:t>。</w:t>
      </w:r>
      <w:r>
        <w:rPr>
          <w:rFonts w:hint="eastAsia" w:ascii="宋体" w:hAnsi="宋体" w:cs="宋体"/>
          <w:kern w:val="0"/>
          <w:sz w:val="24"/>
        </w:rPr>
        <w:t>对于初始确认的资产，如其业务模式为以收取合同现金流量为目标而持有，且其合同现金流量特征与基本借贷安排相一致，即在特定日期产生的现金流量，仅为对本金和以未偿付本金金额为基础的利息的支付，则分类为以摊余成本计量的资产；对于不分类为以摊余成本计量的资产，则分类为以公允价值计量且其变动计入当期损益的资产。</w:t>
      </w:r>
    </w:p>
    <w:p>
      <w:pPr>
        <w:spacing w:line="360" w:lineRule="auto"/>
        <w:ind w:firstLine="480" w:firstLineChars="200"/>
        <w:rPr>
          <w:rFonts w:ascii="宋体" w:hAnsi="宋体" w:cs="宋体"/>
          <w:kern w:val="0"/>
          <w:sz w:val="24"/>
        </w:rPr>
      </w:pPr>
      <w:r>
        <w:rPr>
          <w:rFonts w:hint="eastAsia" w:ascii="宋体" w:hAnsi="宋体" w:cs="宋体"/>
          <w:kern w:val="0"/>
          <w:sz w:val="24"/>
        </w:rPr>
        <w:t>具体估值方法如下：</w:t>
      </w:r>
    </w:p>
    <w:p>
      <w:pPr>
        <w:spacing w:line="360" w:lineRule="auto"/>
        <w:ind w:firstLine="480" w:firstLineChars="200"/>
        <w:rPr>
          <w:rFonts w:ascii="宋体" w:hAnsi="宋体" w:cs="宋体"/>
          <w:kern w:val="0"/>
          <w:sz w:val="24"/>
        </w:rPr>
      </w:pPr>
      <w:r>
        <w:rPr>
          <w:rFonts w:hint="eastAsia" w:ascii="宋体" w:hAnsi="宋体" w:cs="宋体"/>
          <w:kern w:val="0"/>
          <w:sz w:val="24"/>
        </w:rPr>
        <w:t>1）货币市场工具类资产的估值：</w:t>
      </w:r>
    </w:p>
    <w:p>
      <w:pPr>
        <w:spacing w:line="360" w:lineRule="auto"/>
        <w:ind w:firstLine="480" w:firstLineChars="200"/>
        <w:rPr>
          <w:rFonts w:ascii="宋体" w:hAnsi="宋体" w:cs="宋体"/>
          <w:kern w:val="0"/>
          <w:sz w:val="24"/>
        </w:rPr>
      </w:pPr>
      <w:r>
        <w:rPr>
          <w:rFonts w:hint="eastAsia" w:ascii="宋体" w:hAnsi="宋体" w:cs="宋体"/>
          <w:kern w:val="0"/>
          <w:sz w:val="24"/>
        </w:rPr>
        <w:t>A</w:t>
      </w:r>
      <w:r>
        <w:rPr>
          <w:rFonts w:ascii="宋体" w:hAnsi="宋体" w:cs="宋体"/>
          <w:kern w:val="0"/>
          <w:sz w:val="24"/>
        </w:rPr>
        <w:t>.</w:t>
      </w:r>
      <w:r>
        <w:rPr>
          <w:rFonts w:hint="eastAsia" w:ascii="宋体" w:hAnsi="宋体" w:cs="宋体"/>
          <w:kern w:val="0"/>
          <w:sz w:val="24"/>
        </w:rPr>
        <w:t>一般性存款按其适用利率逐日计提利息；</w:t>
      </w:r>
    </w:p>
    <w:p>
      <w:pPr>
        <w:spacing w:line="360" w:lineRule="auto"/>
        <w:ind w:firstLine="480" w:firstLineChars="200"/>
        <w:rPr>
          <w:rFonts w:ascii="宋体" w:hAnsi="宋体" w:cs="宋体"/>
          <w:kern w:val="0"/>
          <w:sz w:val="24"/>
        </w:rPr>
      </w:pPr>
      <w:r>
        <w:rPr>
          <w:rFonts w:hint="eastAsia" w:ascii="宋体" w:hAnsi="宋体" w:cs="宋体"/>
          <w:kern w:val="0"/>
          <w:sz w:val="24"/>
        </w:rPr>
        <w:t>B</w:t>
      </w:r>
      <w:r>
        <w:rPr>
          <w:rFonts w:ascii="宋体" w:hAnsi="宋体" w:cs="宋体"/>
          <w:kern w:val="0"/>
          <w:sz w:val="24"/>
        </w:rPr>
        <w:t>.</w:t>
      </w:r>
      <w:r>
        <w:rPr>
          <w:rFonts w:hint="eastAsia" w:ascii="宋体" w:hAnsi="宋体" w:cs="宋体"/>
          <w:kern w:val="0"/>
          <w:sz w:val="24"/>
        </w:rPr>
        <w:t>债券回购和拆借、同业存款按其约定利率逐日计提利息。</w:t>
      </w:r>
    </w:p>
    <w:p>
      <w:pPr>
        <w:spacing w:line="360" w:lineRule="auto"/>
        <w:ind w:firstLine="480" w:firstLineChars="200"/>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以摊余成本计量的资产：</w:t>
      </w:r>
    </w:p>
    <w:p>
      <w:pPr>
        <w:spacing w:line="360" w:lineRule="auto"/>
        <w:ind w:firstLine="480" w:firstLineChars="200"/>
        <w:rPr>
          <w:rFonts w:ascii="宋体" w:hAnsi="宋体" w:cs="宋体"/>
          <w:kern w:val="0"/>
          <w:sz w:val="24"/>
        </w:rPr>
      </w:pPr>
      <w:r>
        <w:rPr>
          <w:rFonts w:ascii="宋体" w:hAnsi="宋体" w:cs="宋体"/>
          <w:kern w:val="0"/>
          <w:sz w:val="24"/>
        </w:rPr>
        <w:t>A.</w:t>
      </w:r>
      <w:r>
        <w:rPr>
          <w:rFonts w:hint="eastAsia" w:ascii="宋体" w:hAnsi="宋体" w:cs="宋体"/>
          <w:kern w:val="0"/>
          <w:sz w:val="24"/>
        </w:rPr>
        <w:t>对于合同现金流量与基本借贷安排相一致且以收取合同现金流量为目标而持有的债券资产/非标准化债权资产</w:t>
      </w:r>
      <w:r>
        <w:rPr>
          <w:rFonts w:ascii="宋体" w:hAnsi="宋体" w:cs="宋体"/>
          <w:kern w:val="0"/>
          <w:sz w:val="24"/>
        </w:rPr>
        <w:t>，本理财产品估值采用摊余成</w:t>
      </w:r>
      <w:r>
        <w:rPr>
          <w:rFonts w:hint="eastAsia" w:ascii="宋体" w:hAnsi="宋体" w:cs="宋体"/>
          <w:kern w:val="0"/>
          <w:sz w:val="24"/>
        </w:rPr>
        <w:t>本</w:t>
      </w:r>
      <w:r>
        <w:rPr>
          <w:rFonts w:ascii="宋体" w:hAnsi="宋体" w:cs="宋体"/>
          <w:kern w:val="0"/>
          <w:sz w:val="24"/>
        </w:rPr>
        <w:t>法</w:t>
      </w:r>
      <w:r>
        <w:rPr>
          <w:rFonts w:hint="eastAsia" w:ascii="宋体" w:hAnsi="宋体" w:cs="宋体"/>
          <w:kern w:val="0"/>
          <w:sz w:val="24"/>
        </w:rPr>
        <w:t>，</w:t>
      </w:r>
      <w:r>
        <w:rPr>
          <w:rFonts w:ascii="宋体" w:hAnsi="宋体" w:cs="宋体"/>
          <w:kern w:val="0"/>
          <w:sz w:val="24"/>
        </w:rPr>
        <w:t>即</w:t>
      </w:r>
      <w:r>
        <w:rPr>
          <w:rFonts w:hint="eastAsia" w:ascii="宋体" w:hAnsi="宋体" w:cs="宋体"/>
          <w:kern w:val="0"/>
          <w:sz w:val="24"/>
        </w:rPr>
        <w:t>估值对象以买入成本列示，按票面利率或协议利率并考虑其买入时的溢价与折价，在其剩余存续期内按实际利率法进行摊销，确认利息收入并评估减值准备；</w:t>
      </w:r>
    </w:p>
    <w:p>
      <w:pPr>
        <w:spacing w:line="360" w:lineRule="auto"/>
        <w:ind w:firstLine="480" w:firstLineChars="200"/>
        <w:rPr>
          <w:rFonts w:ascii="宋体" w:hAnsi="宋体" w:cs="宋体"/>
          <w:kern w:val="0"/>
          <w:sz w:val="24"/>
        </w:rPr>
      </w:pPr>
      <w:r>
        <w:rPr>
          <w:rFonts w:ascii="宋体" w:hAnsi="宋体" w:cs="宋体"/>
          <w:kern w:val="0"/>
          <w:sz w:val="24"/>
        </w:rPr>
        <w:t>B.如有确凿证据表明本理财产品部分资产在封闭期内因投资策略发生变化或其他原因，导致按原有摊余成本法估值不能客观反映上述资产或负债的公允价值的，管理人可根据具体情况与托管人商定后，按最能反映上述资产或负债的公允价值的方法估值。为最大限度保护持有人利益，管理人可采用的风险控制手段包括但不限于：处置信用风险显著增加的固定收益品种、及时评估和计提固定收益品种减值损失、</w:t>
      </w:r>
      <w:r>
        <w:rPr>
          <w:rFonts w:hint="eastAsia" w:ascii="宋体" w:hAnsi="宋体" w:cs="宋体"/>
          <w:kern w:val="0"/>
          <w:sz w:val="24"/>
        </w:rPr>
        <w:t>调整估值方法为</w:t>
      </w:r>
      <w:r>
        <w:rPr>
          <w:rFonts w:ascii="宋体" w:hAnsi="宋体" w:cs="宋体"/>
          <w:kern w:val="0"/>
          <w:sz w:val="24"/>
        </w:rPr>
        <w:t>按公允价值计算</w:t>
      </w:r>
      <w:r>
        <w:rPr>
          <w:rFonts w:hint="eastAsia" w:ascii="宋体" w:hAnsi="宋体" w:cs="宋体"/>
          <w:kern w:val="0"/>
          <w:sz w:val="24"/>
        </w:rPr>
        <w:t>理财产品</w:t>
      </w:r>
      <w:r>
        <w:rPr>
          <w:rFonts w:ascii="宋体" w:hAnsi="宋体" w:cs="宋体"/>
          <w:kern w:val="0"/>
          <w:sz w:val="24"/>
        </w:rPr>
        <w:t>份额净值等。</w:t>
      </w:r>
    </w:p>
    <w:p>
      <w:pPr>
        <w:spacing w:line="360" w:lineRule="auto"/>
        <w:ind w:firstLine="480" w:firstLineChars="200"/>
        <w:rPr>
          <w:rFonts w:ascii="宋体" w:hAnsi="宋体" w:cs="宋体"/>
          <w:kern w:val="0"/>
          <w:sz w:val="24"/>
        </w:rPr>
      </w:pPr>
      <w:r>
        <w:rPr>
          <w:rFonts w:hint="eastAsia" w:ascii="宋体" w:hAnsi="宋体" w:cs="宋体"/>
          <w:kern w:val="0"/>
          <w:sz w:val="24"/>
        </w:rPr>
        <w:t>3）以公允价值计量且其变动计入当期损益的资产：</w:t>
      </w:r>
    </w:p>
    <w:p>
      <w:pPr>
        <w:spacing w:line="360" w:lineRule="auto"/>
        <w:ind w:firstLine="480" w:firstLineChars="200"/>
        <w:rPr>
          <w:rFonts w:ascii="宋体" w:hAnsi="宋体" w:cs="宋体"/>
          <w:kern w:val="0"/>
          <w:sz w:val="24"/>
        </w:rPr>
      </w:pPr>
      <w:r>
        <w:rPr>
          <w:rFonts w:hint="eastAsia" w:ascii="宋体" w:hAnsi="宋体" w:cs="宋体"/>
          <w:kern w:val="0"/>
          <w:sz w:val="24"/>
        </w:rPr>
        <w:t>A</w:t>
      </w:r>
      <w:r>
        <w:rPr>
          <w:rFonts w:ascii="宋体" w:hAnsi="宋体" w:cs="宋体"/>
          <w:kern w:val="0"/>
          <w:sz w:val="24"/>
        </w:rPr>
        <w:t>.</w:t>
      </w:r>
      <w:r>
        <w:rPr>
          <w:rFonts w:hint="eastAsia" w:ascii="宋体" w:hAnsi="宋体" w:cs="宋体"/>
          <w:kern w:val="0"/>
          <w:sz w:val="24"/>
        </w:rPr>
        <w:t>在证券交易所和全国银行间市场交易的</w:t>
      </w:r>
      <w:r>
        <w:rPr>
          <w:rFonts w:ascii="宋体" w:hAnsi="宋体" w:cs="宋体"/>
          <w:kern w:val="0"/>
          <w:sz w:val="24"/>
        </w:rPr>
        <w:t>债券类资产的估值</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a</w:t>
      </w:r>
      <w:r>
        <w:rPr>
          <w:rFonts w:ascii="宋体" w:hAnsi="宋体" w:cs="宋体"/>
          <w:kern w:val="0"/>
          <w:sz w:val="24"/>
        </w:rPr>
        <w:t>.不含转股权的债券，按第三方估值机构（中债、中证等）提供的估值数据，对本理财产品持有的债券进行估值，具体第三方估值机构及取值方法由管理人和托管人具体协商确定；</w:t>
      </w:r>
    </w:p>
    <w:p>
      <w:pPr>
        <w:spacing w:line="360" w:lineRule="auto"/>
        <w:ind w:firstLine="480" w:firstLineChars="200"/>
        <w:rPr>
          <w:rFonts w:ascii="宋体" w:hAnsi="宋体" w:cs="宋体"/>
          <w:kern w:val="0"/>
          <w:sz w:val="24"/>
        </w:rPr>
      </w:pPr>
      <w:r>
        <w:rPr>
          <w:rFonts w:ascii="宋体" w:hAnsi="宋体" w:cs="宋体"/>
          <w:kern w:val="0"/>
          <w:sz w:val="24"/>
        </w:rPr>
        <w:t xml:space="preserve">b.含转股权的债券（如可转换债券、可交换债券等），实行全价交易的，按照估值日收盘价减去收盘价中所含债券应收利息后得到的净价进行估值；实行净价交易的，采用估值日收盘价估值； </w:t>
      </w:r>
    </w:p>
    <w:p>
      <w:pPr>
        <w:spacing w:line="360" w:lineRule="auto"/>
        <w:ind w:left="420" w:leftChars="200"/>
        <w:rPr>
          <w:rFonts w:ascii="宋体" w:hAnsi="宋体" w:cs="宋体"/>
          <w:kern w:val="0"/>
          <w:sz w:val="24"/>
        </w:rPr>
      </w:pPr>
      <w:r>
        <w:rPr>
          <w:rFonts w:ascii="宋体" w:hAnsi="宋体" w:cs="宋体"/>
          <w:kern w:val="0"/>
          <w:sz w:val="24"/>
        </w:rPr>
        <w:t>c.</w:t>
      </w:r>
      <w:r>
        <w:rPr>
          <w:rFonts w:hint="eastAsia" w:ascii="宋体" w:hAnsi="宋体" w:cs="Arial"/>
          <w:color w:val="000000"/>
          <w:sz w:val="24"/>
        </w:rPr>
        <w:t>同一债券同时在两个或两个以上市场交易的，按债券所处的市场分别估值。</w:t>
      </w:r>
      <w:r>
        <w:rPr>
          <w:rFonts w:ascii="宋体" w:hAnsi="宋体" w:cs="Arial"/>
          <w:color w:val="000000"/>
          <w:sz w:val="24"/>
        </w:rPr>
        <w:t>d.</w:t>
      </w:r>
      <w:r>
        <w:rPr>
          <w:rFonts w:ascii="宋体" w:hAnsi="宋体" w:cs="宋体"/>
          <w:kern w:val="0"/>
          <w:sz w:val="24"/>
        </w:rPr>
        <w:t>如监管对此另有规定的，按照监管的最新规定进行调整。</w:t>
      </w:r>
    </w:p>
    <w:p>
      <w:pPr>
        <w:spacing w:line="360" w:lineRule="auto"/>
        <w:ind w:firstLine="480" w:firstLineChars="200"/>
        <w:rPr>
          <w:rFonts w:ascii="宋体" w:hAnsi="宋体" w:cs="宋体"/>
          <w:kern w:val="0"/>
          <w:sz w:val="24"/>
        </w:rPr>
      </w:pPr>
      <w:r>
        <w:rPr>
          <w:rFonts w:hint="eastAsia" w:ascii="宋体" w:hAnsi="宋体" w:cs="宋体"/>
          <w:kern w:val="0"/>
          <w:sz w:val="24"/>
        </w:rPr>
        <w:t>B</w:t>
      </w:r>
      <w:r>
        <w:rPr>
          <w:rFonts w:ascii="宋体" w:hAnsi="宋体" w:cs="宋体"/>
          <w:kern w:val="0"/>
          <w:sz w:val="24"/>
        </w:rPr>
        <w:t>.</w:t>
      </w:r>
      <w:r>
        <w:rPr>
          <w:rFonts w:hint="eastAsia" w:ascii="宋体" w:hAnsi="宋体" w:cs="宋体"/>
          <w:kern w:val="0"/>
          <w:sz w:val="24"/>
        </w:rPr>
        <w:t>上市流通的公募基金的估值：</w:t>
      </w:r>
    </w:p>
    <w:p>
      <w:pPr>
        <w:spacing w:line="360" w:lineRule="auto"/>
        <w:rPr>
          <w:rFonts w:ascii="宋体" w:hAnsi="宋体" w:cs="宋体"/>
          <w:kern w:val="0"/>
          <w:sz w:val="24"/>
        </w:rPr>
      </w:pPr>
      <w:r>
        <w:rPr>
          <w:rFonts w:hint="eastAsia" w:ascii="宋体" w:hAnsi="宋体" w:cs="宋体"/>
          <w:kern w:val="0"/>
          <w:sz w:val="24"/>
        </w:rPr>
        <w:t>按估值日其所在证券交易所的收盘价估值；估值日无交易的，以最近交易日的收盘价估值。</w:t>
      </w:r>
    </w:p>
    <w:p>
      <w:pPr>
        <w:spacing w:line="360" w:lineRule="auto"/>
        <w:ind w:firstLine="480" w:firstLineChars="200"/>
        <w:rPr>
          <w:rFonts w:ascii="宋体" w:hAnsi="宋体" w:cs="宋体"/>
          <w:kern w:val="0"/>
          <w:sz w:val="24"/>
        </w:rPr>
      </w:pPr>
      <w:r>
        <w:rPr>
          <w:rFonts w:hint="eastAsia" w:ascii="宋体" w:hAnsi="宋体" w:cs="宋体"/>
          <w:kern w:val="0"/>
          <w:sz w:val="24"/>
        </w:rPr>
        <w:t>4）其他资产管理产品的估值：</w:t>
      </w:r>
    </w:p>
    <w:p>
      <w:pPr>
        <w:spacing w:line="360" w:lineRule="auto"/>
        <w:ind w:firstLine="480" w:firstLineChars="200"/>
        <w:rPr>
          <w:rFonts w:ascii="宋体" w:hAnsi="宋体" w:cs="宋体"/>
          <w:kern w:val="0"/>
          <w:sz w:val="24"/>
        </w:rPr>
      </w:pPr>
      <w:r>
        <w:rPr>
          <w:rFonts w:ascii="宋体" w:hAnsi="宋体" w:cs="宋体"/>
          <w:kern w:val="0"/>
          <w:sz w:val="24"/>
        </w:rPr>
        <w:t>A.以估值日截止时点能够获得的、由所投资产管理产品的管理人和资产托管人共同确认的最新份额净值或投资收益情况进行估值；</w:t>
      </w:r>
    </w:p>
    <w:p>
      <w:pPr>
        <w:spacing w:line="360" w:lineRule="auto"/>
        <w:ind w:firstLine="480" w:firstLineChars="200"/>
        <w:rPr>
          <w:rFonts w:ascii="宋体" w:hAnsi="宋体" w:cs="宋体"/>
          <w:kern w:val="0"/>
          <w:sz w:val="24"/>
        </w:rPr>
      </w:pPr>
      <w:r>
        <w:rPr>
          <w:rFonts w:ascii="宋体" w:hAnsi="宋体" w:cs="宋体"/>
          <w:kern w:val="0"/>
          <w:sz w:val="24"/>
        </w:rPr>
        <w:t>B.如所投资产管理产品的产品合同未约定估值方案或其管理人提供的估值数据不公允，由管理人和托管人根据合理判断按反映产品公允价值的计量方案进行估值。</w:t>
      </w:r>
    </w:p>
    <w:p>
      <w:pPr>
        <w:spacing w:line="360" w:lineRule="auto"/>
        <w:ind w:firstLine="480" w:firstLineChars="200"/>
        <w:rPr>
          <w:rFonts w:ascii="宋体" w:hAnsi="宋体" w:cs="宋体"/>
          <w:kern w:val="0"/>
          <w:sz w:val="24"/>
        </w:rPr>
      </w:pPr>
      <w:r>
        <w:rPr>
          <w:rFonts w:hint="eastAsia" w:ascii="宋体" w:hAnsi="宋体" w:cs="宋体"/>
          <w:kern w:val="0"/>
          <w:sz w:val="24"/>
        </w:rPr>
        <w:t>5）衍生品金融工具估值，包括但不限于利率互换等：</w:t>
      </w:r>
    </w:p>
    <w:p>
      <w:pPr>
        <w:spacing w:line="360" w:lineRule="auto"/>
        <w:ind w:firstLine="480" w:firstLineChars="200"/>
        <w:rPr>
          <w:rFonts w:ascii="宋体" w:hAnsi="宋体" w:cs="宋体"/>
          <w:kern w:val="0"/>
          <w:sz w:val="24"/>
        </w:rPr>
      </w:pPr>
      <w:r>
        <w:rPr>
          <w:rFonts w:hint="eastAsia" w:ascii="宋体" w:hAnsi="宋体" w:cs="宋体"/>
          <w:kern w:val="0"/>
          <w:sz w:val="24"/>
        </w:rPr>
        <w:t>A</w:t>
      </w:r>
      <w:r>
        <w:rPr>
          <w:rFonts w:ascii="宋体" w:hAnsi="宋体" w:cs="宋体"/>
          <w:kern w:val="0"/>
          <w:sz w:val="24"/>
        </w:rPr>
        <w:t>.场内交易的衍生品金融工具，以交易所最近交易日结算价或收盘价进行估值；</w:t>
      </w:r>
    </w:p>
    <w:p>
      <w:pPr>
        <w:spacing w:line="360" w:lineRule="auto"/>
        <w:ind w:firstLine="480" w:firstLineChars="200"/>
        <w:rPr>
          <w:rFonts w:ascii="宋体" w:hAnsi="宋体" w:cs="宋体"/>
          <w:kern w:val="0"/>
          <w:sz w:val="24"/>
        </w:rPr>
      </w:pPr>
      <w:r>
        <w:rPr>
          <w:rFonts w:hint="eastAsia" w:ascii="宋体" w:hAnsi="宋体" w:cs="宋体"/>
          <w:kern w:val="0"/>
          <w:sz w:val="24"/>
        </w:rPr>
        <w:t>B</w:t>
      </w:r>
      <w:r>
        <w:rPr>
          <w:rFonts w:ascii="宋体" w:hAnsi="宋体" w:cs="宋体"/>
          <w:kern w:val="0"/>
          <w:sz w:val="24"/>
        </w:rPr>
        <w:t>.场外交易的衍生品金融工具，采用估值技术确定其公允价值，按照管理人和托管人认可的估值模型或第三方数据进行估值。</w:t>
      </w:r>
    </w:p>
    <w:p>
      <w:pPr>
        <w:spacing w:line="360" w:lineRule="auto"/>
        <w:ind w:firstLine="480" w:firstLineChars="200"/>
        <w:rPr>
          <w:rFonts w:ascii="宋体" w:hAnsi="宋体" w:cs="宋体"/>
          <w:kern w:val="0"/>
          <w:sz w:val="24"/>
        </w:rPr>
      </w:pPr>
      <w:r>
        <w:rPr>
          <w:rFonts w:hint="eastAsia" w:ascii="宋体" w:hAnsi="宋体" w:cs="宋体"/>
          <w:kern w:val="0"/>
          <w:sz w:val="24"/>
        </w:rPr>
        <w:t>6）优先股的估值：</w:t>
      </w:r>
    </w:p>
    <w:p>
      <w:pPr>
        <w:spacing w:line="360" w:lineRule="auto"/>
        <w:ind w:firstLine="480" w:firstLineChars="200"/>
        <w:rPr>
          <w:rFonts w:ascii="宋体" w:hAnsi="宋体" w:cs="宋体"/>
          <w:kern w:val="0"/>
          <w:sz w:val="24"/>
        </w:rPr>
      </w:pPr>
      <w:r>
        <w:rPr>
          <w:rFonts w:hint="eastAsia" w:ascii="宋体" w:hAnsi="宋体" w:cs="宋体"/>
          <w:kern w:val="0"/>
          <w:sz w:val="24"/>
        </w:rPr>
        <w:t>优先股按第三方估值机构（中债、中证等）提供的估值数据进行估值；无第三方估值的，由管理人和托管人根据合理判断按反映产品公允价值的计量方案进行估值。</w:t>
      </w:r>
    </w:p>
    <w:p>
      <w:pPr>
        <w:spacing w:line="360" w:lineRule="auto"/>
        <w:ind w:firstLine="480" w:firstLineChars="200"/>
        <w:rPr>
          <w:rFonts w:ascii="宋体" w:hAnsi="宋体" w:cs="宋体"/>
          <w:kern w:val="0"/>
          <w:sz w:val="24"/>
        </w:rPr>
      </w:pPr>
      <w:r>
        <w:rPr>
          <w:rFonts w:hint="eastAsia" w:ascii="宋体" w:hAnsi="宋体" w:cs="宋体"/>
          <w:kern w:val="0"/>
          <w:sz w:val="24"/>
        </w:rPr>
        <w:t>7）结构性产品的估值：</w:t>
      </w:r>
    </w:p>
    <w:p>
      <w:pPr>
        <w:spacing w:line="360" w:lineRule="auto"/>
        <w:ind w:firstLine="480" w:firstLineChars="200"/>
        <w:rPr>
          <w:rFonts w:ascii="宋体" w:hAnsi="宋体" w:cs="宋体"/>
          <w:kern w:val="0"/>
          <w:sz w:val="24"/>
        </w:rPr>
      </w:pPr>
      <w:r>
        <w:rPr>
          <w:rFonts w:hint="eastAsia" w:ascii="宋体" w:hAnsi="宋体" w:cs="宋体"/>
          <w:kern w:val="0"/>
          <w:sz w:val="24"/>
        </w:rPr>
        <w:t>结构性产品以发行人提供的最新估值价格或管理人与托管人认可的估值技术进行估值。</w:t>
      </w:r>
    </w:p>
    <w:p>
      <w:pPr>
        <w:spacing w:line="360" w:lineRule="auto"/>
        <w:ind w:firstLine="480" w:firstLineChars="200"/>
        <w:rPr>
          <w:rFonts w:ascii="宋体" w:hAnsi="宋体" w:cs="宋体"/>
          <w:kern w:val="0"/>
          <w:sz w:val="24"/>
        </w:rPr>
      </w:pPr>
      <w:r>
        <w:rPr>
          <w:rFonts w:hint="eastAsia" w:ascii="宋体" w:hAnsi="宋体" w:cs="宋体"/>
          <w:kern w:val="0"/>
          <w:sz w:val="24"/>
        </w:rPr>
        <w:t>8）</w:t>
      </w:r>
      <w:r>
        <w:rPr>
          <w:rFonts w:ascii="宋体" w:hAnsi="宋体" w:cs="宋体"/>
          <w:kern w:val="0"/>
          <w:sz w:val="24"/>
        </w:rPr>
        <w:t>非标准化债权类资产的估值</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ascii="宋体" w:hAnsi="宋体" w:cs="宋体"/>
          <w:kern w:val="0"/>
          <w:sz w:val="24"/>
        </w:rPr>
        <w:t>非标准化债权类资产</w:t>
      </w:r>
      <w:r>
        <w:rPr>
          <w:rFonts w:hint="eastAsia" w:ascii="宋体" w:hAnsi="宋体" w:cs="宋体"/>
          <w:kern w:val="0"/>
          <w:sz w:val="24"/>
        </w:rPr>
        <w:t>按照管理人和托管人认可的估值方式进行估值。</w:t>
      </w:r>
    </w:p>
    <w:p>
      <w:pPr>
        <w:spacing w:line="360" w:lineRule="auto"/>
        <w:ind w:firstLine="480" w:firstLineChars="200"/>
        <w:rPr>
          <w:rFonts w:ascii="宋体" w:hAnsi="宋体" w:cs="宋体"/>
          <w:kern w:val="0"/>
          <w:sz w:val="24"/>
        </w:rPr>
      </w:pPr>
      <w:r>
        <w:rPr>
          <w:rFonts w:hint="eastAsia" w:ascii="宋体" w:hAnsi="宋体" w:cs="宋体"/>
          <w:kern w:val="0"/>
          <w:sz w:val="24"/>
        </w:rPr>
        <w:t>9）证券交易所上市的权益类有价证券的估值：</w:t>
      </w:r>
    </w:p>
    <w:p>
      <w:pPr>
        <w:spacing w:line="360" w:lineRule="auto"/>
        <w:ind w:firstLine="480" w:firstLineChars="200"/>
        <w:rPr>
          <w:rFonts w:ascii="宋体" w:hAnsi="宋体" w:cs="宋体"/>
          <w:kern w:val="0"/>
          <w:sz w:val="24"/>
        </w:rPr>
      </w:pPr>
      <w:r>
        <w:rPr>
          <w:rFonts w:hint="eastAsia" w:ascii="宋体" w:hAnsi="宋体" w:cs="宋体"/>
          <w:kern w:val="0"/>
          <w:sz w:val="24"/>
        </w:rPr>
        <w:t>交易所上市的权益类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ascii="宋体" w:hAnsi="宋体"/>
          <w:spacing w:val="4"/>
          <w:sz w:val="24"/>
        </w:rPr>
        <w:t>港股通投资持有外币证券资产估值涉及到港币对人民币汇率的，可参考当日中国人民银行或其授权机构公布的人民币汇率中间价，或其他可以反映公允价值的汇率进行估值。</w:t>
      </w:r>
    </w:p>
    <w:p>
      <w:pPr>
        <w:pStyle w:val="48"/>
        <w:snapToGrid w:val="0"/>
        <w:spacing w:line="360" w:lineRule="auto"/>
        <w:ind w:left="496" w:firstLine="0" w:firstLineChars="0"/>
        <w:rPr>
          <w:rFonts w:ascii="Arial" w:hAnsi="Arial" w:cs="Arial"/>
          <w:color w:val="000000"/>
          <w:spacing w:val="4"/>
          <w:sz w:val="24"/>
        </w:rPr>
      </w:pPr>
      <w:r>
        <w:rPr>
          <w:rFonts w:hint="eastAsia" w:ascii="Arial" w:hAnsi="Arial" w:cs="Arial"/>
          <w:color w:val="000000"/>
          <w:spacing w:val="4"/>
          <w:sz w:val="24"/>
        </w:rPr>
        <w:t>（1</w:t>
      </w:r>
      <w:r>
        <w:rPr>
          <w:rFonts w:ascii="Arial" w:hAnsi="Arial" w:cs="Arial"/>
          <w:color w:val="000000"/>
          <w:spacing w:val="4"/>
          <w:sz w:val="24"/>
        </w:rPr>
        <w:t>2</w:t>
      </w:r>
      <w:r>
        <w:rPr>
          <w:rFonts w:hint="eastAsia" w:ascii="Arial" w:hAnsi="Arial" w:cs="Arial"/>
          <w:color w:val="000000"/>
          <w:spacing w:val="4"/>
          <w:sz w:val="24"/>
        </w:rPr>
        <w:t>）其他类资产的估值</w:t>
      </w:r>
    </w:p>
    <w:p>
      <w:pPr>
        <w:snapToGrid w:val="0"/>
        <w:spacing w:line="360" w:lineRule="auto"/>
        <w:ind w:firstLine="480" w:firstLineChars="200"/>
        <w:rPr>
          <w:rFonts w:ascii="Arial" w:hAnsi="Arial" w:cs="Arial"/>
          <w:color w:val="0D0D0D"/>
          <w:sz w:val="24"/>
          <w:szCs w:val="24"/>
        </w:rPr>
      </w:pPr>
      <w:r>
        <w:rPr>
          <w:rFonts w:hint="eastAsia" w:ascii="Arial" w:hAnsi="Arial" w:cs="Arial"/>
          <w:color w:val="000000"/>
          <w:sz w:val="24"/>
          <w:szCs w:val="24"/>
        </w:rPr>
        <w:t>若本理财产品存续期间持有其他投资品种，以管理人和托管人共同认可的方法估值。</w:t>
      </w:r>
    </w:p>
    <w:p>
      <w:pPr>
        <w:snapToGrid w:val="0"/>
        <w:spacing w:line="360" w:lineRule="auto"/>
        <w:ind w:firstLine="480" w:firstLineChars="200"/>
        <w:rPr>
          <w:rFonts w:ascii="Arial" w:hAnsi="Arial" w:cs="Arial"/>
          <w:sz w:val="24"/>
          <w:szCs w:val="24"/>
        </w:rPr>
      </w:pPr>
      <w:r>
        <w:rPr>
          <w:rFonts w:hint="eastAsia" w:ascii="Arial" w:hAnsi="Arial" w:cs="Arial"/>
          <w:color w:val="000000"/>
          <w:sz w:val="24"/>
          <w:szCs w:val="24"/>
        </w:rPr>
        <w:t>在任何情况下，如采用以上规定的方法对资产进行估值，均应被认为采用了适当的估值方法。如管理人有证据表明按上述规定不能客观反映本理财产品资产公允价值的，管理人</w:t>
      </w:r>
      <w:r>
        <w:rPr>
          <w:rFonts w:hint="eastAsia" w:ascii="宋体" w:hAnsi="宋体" w:cs="仿宋_GB2312"/>
          <w:sz w:val="24"/>
          <w:szCs w:val="24"/>
        </w:rPr>
        <w:t>经与托管人协商一致，</w:t>
      </w:r>
      <w:r>
        <w:rPr>
          <w:rFonts w:hint="eastAsia" w:ascii="Arial" w:hAnsi="Arial" w:cs="Arial"/>
          <w:color w:val="000000"/>
          <w:sz w:val="24"/>
          <w:szCs w:val="24"/>
        </w:rPr>
        <w:t>可根据具体情况，在综合考虑市场成交价、市场报价、流动性、收益率曲线、标的信用风险等多种因素基础上，按最能反映本理财产品资产公允价值的方法估值。</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（四）估值错误的处理</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甲方和乙方将采取必要、适当、合理的措施确保理财产品资产估值的准确性、及时性。当理财产品份额净值小数点后4位以内(含第4位)发生估值错误时，视为理财产品份额净值错误。</w:t>
      </w:r>
      <w:r>
        <w:rPr>
          <w:rFonts w:hint="eastAsia" w:ascii="宋体" w:hAnsi="宋体" w:eastAsia="宋体" w:cs="宋体"/>
          <w:sz w:val="24"/>
          <w:szCs w:val="24"/>
        </w:rPr>
        <w:t>以万份收益表示产品份额价值的，</w:t>
      </w:r>
      <w:r>
        <w:rPr>
          <w:rFonts w:hint="eastAsia" w:ascii="宋体" w:hAnsi="宋体" w:eastAsia="宋体" w:cs="Arial"/>
          <w:color w:val="000000"/>
          <w:sz w:val="24"/>
          <w:szCs w:val="24"/>
        </w:rPr>
        <w:t>当理财产品万份收益小数点后</w:t>
      </w:r>
      <w:r>
        <w:rPr>
          <w:rFonts w:ascii="宋体" w:hAnsi="宋体" w:eastAsia="宋体" w:cs="Arial"/>
          <w:color w:val="000000"/>
          <w:sz w:val="24"/>
          <w:szCs w:val="24"/>
        </w:rPr>
        <w:t>4</w:t>
      </w:r>
      <w:r>
        <w:rPr>
          <w:rFonts w:hint="eastAsia" w:ascii="宋体" w:hAnsi="宋体" w:eastAsia="宋体" w:cs="Arial"/>
          <w:color w:val="000000"/>
          <w:sz w:val="24"/>
          <w:szCs w:val="24"/>
        </w:rPr>
        <w:t>位以内</w:t>
      </w:r>
      <w:r>
        <w:rPr>
          <w:rFonts w:ascii="宋体" w:hAnsi="宋体" w:eastAsia="宋体" w:cs="Arial"/>
          <w:color w:val="000000"/>
          <w:sz w:val="24"/>
          <w:szCs w:val="24"/>
        </w:rPr>
        <w:t>(</w:t>
      </w:r>
      <w:r>
        <w:rPr>
          <w:rFonts w:hint="eastAsia" w:ascii="宋体" w:hAnsi="宋体" w:eastAsia="宋体" w:cs="Arial"/>
          <w:color w:val="000000"/>
          <w:sz w:val="24"/>
          <w:szCs w:val="24"/>
        </w:rPr>
        <w:t>含第</w:t>
      </w:r>
      <w:r>
        <w:rPr>
          <w:rFonts w:ascii="宋体" w:hAnsi="宋体" w:eastAsia="宋体" w:cs="Arial"/>
          <w:color w:val="000000"/>
          <w:sz w:val="24"/>
          <w:szCs w:val="24"/>
        </w:rPr>
        <w:t>4</w:t>
      </w:r>
      <w:r>
        <w:rPr>
          <w:rFonts w:hint="eastAsia" w:ascii="宋体" w:hAnsi="宋体" w:eastAsia="宋体" w:cs="Arial"/>
          <w:color w:val="000000"/>
          <w:sz w:val="24"/>
          <w:szCs w:val="24"/>
        </w:rPr>
        <w:t>位</w:t>
      </w:r>
      <w:r>
        <w:rPr>
          <w:rFonts w:ascii="宋体" w:hAnsi="宋体" w:eastAsia="宋体" w:cs="Arial"/>
          <w:color w:val="000000"/>
          <w:sz w:val="24"/>
          <w:szCs w:val="24"/>
        </w:rPr>
        <w:t>)</w:t>
      </w:r>
      <w:r>
        <w:rPr>
          <w:rFonts w:hint="eastAsia" w:ascii="宋体" w:hAnsi="宋体" w:eastAsia="宋体" w:cs="Arial"/>
          <w:color w:val="000000"/>
          <w:sz w:val="24"/>
          <w:szCs w:val="24"/>
        </w:rPr>
        <w:t>发生估值错误时，视为理财产品万份收益错误。</w:t>
      </w:r>
      <w:r>
        <w:rPr>
          <w:rFonts w:hint="eastAsia" w:ascii="宋体" w:hAnsi="宋体" w:eastAsia="宋体" w:cs="宋体"/>
          <w:sz w:val="24"/>
          <w:szCs w:val="24"/>
          <w:lang w:val="en-US"/>
        </w:rPr>
        <w:t>甲乙双方应按照以下约定处理：</w:t>
      </w:r>
    </w:p>
    <w:p>
      <w:pPr>
        <w:pStyle w:val="10"/>
        <w:tabs>
          <w:tab w:val="left" w:pos="1582"/>
        </w:tabs>
        <w:spacing w:line="360" w:lineRule="auto"/>
        <w:rPr>
          <w:rFonts w:ascii="宋体" w:hAnsi="宋体" w:eastAsia="宋体" w:cs="宋体"/>
          <w:sz w:val="24"/>
          <w:szCs w:val="24"/>
          <w:lang w:val="en-US"/>
        </w:rPr>
      </w:pPr>
      <w:r>
        <w:rPr>
          <w:rFonts w:hint="eastAsia" w:ascii="宋体" w:hAnsi="宋体" w:eastAsia="宋体" w:cs="宋体"/>
          <w:sz w:val="24"/>
          <w:szCs w:val="24"/>
          <w:lang w:val="en-US"/>
        </w:rPr>
        <w:t>1、估值错误类型</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本理财产品运作过程中，如果由于甲方或乙方、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上述估值错误的主要类型包括但不限于：资料申报差错、数据传输差错、数据计算差错、系统故障差错、下达指令差错等。</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对于按照约定的估值方法进行估值所产生的误差，不属于估值错误的范围。</w:t>
      </w:r>
    </w:p>
    <w:p>
      <w:pPr>
        <w:pStyle w:val="10"/>
        <w:tabs>
          <w:tab w:val="left" w:pos="1582"/>
        </w:tabs>
        <w:spacing w:line="360" w:lineRule="auto"/>
        <w:jc w:val="left"/>
        <w:rPr>
          <w:rFonts w:ascii="宋体" w:hAnsi="宋体" w:eastAsia="宋体" w:cs="宋体"/>
          <w:sz w:val="24"/>
          <w:szCs w:val="24"/>
          <w:lang w:val="en-US"/>
        </w:rPr>
      </w:pPr>
      <w:r>
        <w:rPr>
          <w:rFonts w:hint="eastAsia" w:ascii="宋体" w:hAnsi="宋体" w:eastAsia="宋体" w:cs="宋体"/>
          <w:sz w:val="24"/>
          <w:szCs w:val="24"/>
          <w:lang w:val="en-US"/>
        </w:rPr>
        <w:t>2、估值错误处理原则</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由于理财产品管理人或理财产品托管人自身的过错造成估值错误，导致投资者遭受损失的，由估值错误责任方按照各自过错程度对该估值错误导致投资者遭受的直接损失给予赔偿，承担赔偿责任。</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sz w:val="24"/>
        </w:rPr>
        <w:t>因理财产品托管人估值错误造成财产损失，管理人先行赔付的，管理人有权向托管人追偿。</w:t>
      </w:r>
      <w:r>
        <w:rPr>
          <w:rFonts w:hint="eastAsia" w:ascii="宋体" w:hAnsi="宋体" w:cs="宋体"/>
          <w:kern w:val="0"/>
          <w:sz w:val="24"/>
        </w:rPr>
        <w:t>若理财产品管理人和理财产品托管人之外的第三方估值差错造成财产的损失，并拒绝进行赔偿时，由理财产品管理人负责向差错方追偿；追偿过程中产生的有关费用，应列入理财产品费用，由理财产品承担。</w:t>
      </w:r>
    </w:p>
    <w:p>
      <w:pPr>
        <w:spacing w:line="360" w:lineRule="auto"/>
        <w:ind w:firstLine="480" w:firstLineChars="200"/>
        <w:rPr>
          <w:rFonts w:ascii="宋体" w:hAnsi="宋体" w:cs="宋体"/>
          <w:kern w:val="0"/>
          <w:sz w:val="24"/>
        </w:rPr>
      </w:pPr>
      <w:r>
        <w:rPr>
          <w:rFonts w:hint="eastAsia" w:ascii="宋体" w:hAnsi="宋体" w:cs="宋体"/>
          <w:kern w:val="0"/>
          <w:sz w:val="24"/>
        </w:rPr>
        <w:t>（4）当估值出现错误时，因估值错误而获得不当得利的投资者负有及时返还不当得利的义务。</w:t>
      </w:r>
    </w:p>
    <w:p>
      <w:pPr>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）按法律法规规定的其他原则处理估值错误。</w:t>
      </w:r>
    </w:p>
    <w:p>
      <w:pPr>
        <w:pStyle w:val="10"/>
        <w:tabs>
          <w:tab w:val="left" w:pos="1582"/>
        </w:tabs>
        <w:spacing w:line="360" w:lineRule="auto"/>
        <w:jc w:val="left"/>
        <w:rPr>
          <w:rFonts w:ascii="宋体" w:hAnsi="宋体" w:eastAsia="宋体" w:cs="宋体"/>
          <w:sz w:val="24"/>
          <w:szCs w:val="24"/>
          <w:lang w:val="en-US"/>
        </w:rPr>
      </w:pPr>
      <w:r>
        <w:rPr>
          <w:rFonts w:hint="eastAsia" w:ascii="宋体" w:hAnsi="宋体" w:eastAsia="宋体" w:cs="宋体"/>
          <w:sz w:val="24"/>
          <w:szCs w:val="24"/>
          <w:lang w:val="en-US"/>
        </w:rPr>
        <w:t>3、估值错误处理程序</w:t>
      </w:r>
    </w:p>
    <w:p>
      <w:pPr>
        <w:pStyle w:val="10"/>
        <w:tabs>
          <w:tab w:val="left" w:pos="1582"/>
        </w:tabs>
        <w:spacing w:line="360" w:lineRule="auto"/>
        <w:jc w:val="left"/>
        <w:rPr>
          <w:rFonts w:ascii="宋体" w:hAnsi="宋体" w:eastAsia="宋体" w:cs="宋体"/>
          <w:sz w:val="24"/>
          <w:szCs w:val="24"/>
          <w:lang w:val="en-US"/>
        </w:rPr>
      </w:pPr>
      <w:r>
        <w:rPr>
          <w:rFonts w:hint="eastAsia" w:ascii="宋体" w:hAnsi="宋体" w:eastAsia="宋体" w:cs="宋体"/>
          <w:sz w:val="24"/>
          <w:szCs w:val="24"/>
          <w:lang w:val="en-US"/>
        </w:rPr>
        <w:t>估值错误被发现后，有关的当事人应当及时进行处理，处理的程序如下：</w:t>
      </w:r>
    </w:p>
    <w:p>
      <w:pPr>
        <w:pStyle w:val="10"/>
        <w:tabs>
          <w:tab w:val="left" w:pos="1582"/>
        </w:tabs>
        <w:spacing w:line="360" w:lineRule="auto"/>
        <w:ind w:left="0" w:leftChars="0" w:firstLine="480" w:firstLineChars="200"/>
        <w:jc w:val="left"/>
        <w:rPr>
          <w:rFonts w:ascii="宋体" w:hAnsi="宋体" w:eastAsia="宋体" w:cs="宋体"/>
          <w:sz w:val="24"/>
          <w:szCs w:val="24"/>
          <w:lang w:val="en-US"/>
        </w:rPr>
      </w:pPr>
      <w:r>
        <w:rPr>
          <w:rFonts w:hint="eastAsia" w:ascii="宋体" w:hAnsi="宋体" w:eastAsia="宋体" w:cs="宋体"/>
          <w:sz w:val="24"/>
          <w:szCs w:val="24"/>
          <w:lang w:val="en-US"/>
        </w:rPr>
        <w:t>（1）查明估值错误发生的原因，列明所有的当事人，并根据估值错误发生的原因确定估值错误的责任方；</w:t>
      </w:r>
    </w:p>
    <w:p>
      <w:pPr>
        <w:pStyle w:val="10"/>
        <w:tabs>
          <w:tab w:val="left" w:pos="1582"/>
        </w:tabs>
        <w:spacing w:line="360" w:lineRule="auto"/>
        <w:ind w:left="0" w:leftChars="0" w:firstLine="480" w:firstLineChars="200"/>
        <w:jc w:val="left"/>
        <w:rPr>
          <w:rFonts w:ascii="宋体" w:hAnsi="宋体" w:eastAsia="宋体" w:cs="宋体"/>
          <w:sz w:val="24"/>
          <w:szCs w:val="24"/>
          <w:lang w:val="en-US"/>
        </w:rPr>
      </w:pPr>
      <w:r>
        <w:rPr>
          <w:rFonts w:hint="eastAsia" w:ascii="宋体" w:hAnsi="宋体" w:eastAsia="宋体" w:cs="宋体"/>
          <w:sz w:val="24"/>
          <w:szCs w:val="24"/>
          <w:lang w:val="en-US"/>
        </w:rPr>
        <w:t>（2）根据估值错误处理原则或当事人协商的方法对因估值错误造成的损失进行评估；</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（3）根据估值错误处理原则或当事人协商的方法由估值错误的责任方进行更正和赔偿损失；</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（4）根据估值错误处理的方法，需要修改登记机构交易数据的，由管理人进行更正，并就估值错误的更正向有关当事人进行确认。</w:t>
      </w:r>
    </w:p>
    <w:p>
      <w:pPr>
        <w:pStyle w:val="10"/>
        <w:tabs>
          <w:tab w:val="left" w:pos="1582"/>
        </w:tabs>
        <w:spacing w:line="360" w:lineRule="auto"/>
        <w:rPr>
          <w:rFonts w:ascii="宋体" w:hAnsi="宋体" w:eastAsia="宋体" w:cs="宋体"/>
          <w:sz w:val="24"/>
          <w:szCs w:val="24"/>
          <w:lang w:val="en-US"/>
        </w:rPr>
      </w:pPr>
      <w:r>
        <w:rPr>
          <w:rFonts w:hint="eastAsia" w:ascii="宋体" w:hAnsi="宋体" w:eastAsia="宋体" w:cs="宋体"/>
          <w:sz w:val="24"/>
          <w:szCs w:val="24"/>
          <w:lang w:val="en-US"/>
        </w:rPr>
        <w:t>4、理财产品份额净值估值错误处理的方法如下：</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（1）理财产品份额净值计算出现错误时，甲方应当立即予以纠正，通报乙方，并采取合理的措施防止损失进一步扩大。</w:t>
      </w:r>
    </w:p>
    <w:p>
      <w:pPr>
        <w:pStyle w:val="10"/>
        <w:tabs>
          <w:tab w:val="left" w:pos="1582"/>
        </w:tabs>
        <w:spacing w:after="0"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（2）前述内容如法律法规或监管机关另有规定的，从其规定处理。</w:t>
      </w:r>
    </w:p>
    <w:p>
      <w:pPr>
        <w:pStyle w:val="10"/>
        <w:tabs>
          <w:tab w:val="left" w:pos="1582"/>
        </w:tabs>
        <w:spacing w:after="0" w:line="360" w:lineRule="auto"/>
        <w:rPr>
          <w:rFonts w:ascii="宋体" w:hAnsi="宋体" w:eastAsia="宋体" w:cs="宋体"/>
          <w:sz w:val="24"/>
          <w:szCs w:val="24"/>
          <w:lang w:val="en-US"/>
        </w:rPr>
      </w:pPr>
      <w:r>
        <w:rPr>
          <w:rFonts w:hint="eastAsia" w:ascii="宋体" w:hAnsi="宋体" w:eastAsia="宋体" w:cs="宋体"/>
          <w:sz w:val="24"/>
          <w:szCs w:val="24"/>
          <w:lang w:val="en-US"/>
        </w:rPr>
        <w:t>（五）暂停估值的情形</w:t>
      </w:r>
    </w:p>
    <w:p>
      <w:pPr>
        <w:pStyle w:val="10"/>
        <w:tabs>
          <w:tab w:val="left" w:pos="1582"/>
        </w:tabs>
        <w:spacing w:after="0"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1、理财产品投资所涉及的证券交易市场遇法定节假日或因其他原因暂停营业时；</w:t>
      </w:r>
    </w:p>
    <w:p>
      <w:pPr>
        <w:pStyle w:val="10"/>
        <w:tabs>
          <w:tab w:val="left" w:pos="1582"/>
        </w:tabs>
        <w:spacing w:after="0"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2、因其他任何不可抗力致使管理人（或其授权人）、托管人无法准确评估本理财产品所投资产价值时；</w:t>
      </w:r>
    </w:p>
    <w:p>
      <w:pPr>
        <w:pStyle w:val="10"/>
        <w:tabs>
          <w:tab w:val="left" w:pos="1582"/>
        </w:tabs>
        <w:spacing w:after="0"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3、占本理财产品所投资产相当比例的投资品种的估值出现重大转变，而产品管理人（或其授权人）为保障</w:t>
      </w:r>
      <w:r>
        <w:rPr>
          <w:rFonts w:hint="eastAsia" w:ascii="宋体" w:hAnsi="宋体" w:eastAsia="宋体" w:cs="仿宋_GB2312"/>
          <w:sz w:val="24"/>
          <w:szCs w:val="24"/>
        </w:rPr>
        <w:t>投资者</w:t>
      </w:r>
      <w:r>
        <w:rPr>
          <w:rFonts w:hint="eastAsia" w:ascii="宋体" w:hAnsi="宋体" w:eastAsia="宋体" w:cs="宋体"/>
          <w:sz w:val="24"/>
          <w:szCs w:val="24"/>
          <w:lang w:val="en-US"/>
        </w:rPr>
        <w:t>的利益，决定延迟估值并征得托管人同意的；</w:t>
      </w:r>
    </w:p>
    <w:p>
      <w:pPr>
        <w:pStyle w:val="10"/>
        <w:tabs>
          <w:tab w:val="left" w:pos="1582"/>
        </w:tabs>
        <w:spacing w:after="0" w:line="360" w:lineRule="auto"/>
        <w:jc w:val="left"/>
        <w:rPr>
          <w:rFonts w:ascii="宋体" w:hAnsi="宋体" w:eastAsia="宋体" w:cs="宋体"/>
          <w:sz w:val="24"/>
          <w:szCs w:val="24"/>
          <w:lang w:val="en-US"/>
        </w:rPr>
      </w:pPr>
      <w:r>
        <w:rPr>
          <w:rFonts w:hint="eastAsia" w:ascii="宋体" w:hAnsi="宋体" w:eastAsia="宋体" w:cs="宋体"/>
          <w:sz w:val="24"/>
          <w:szCs w:val="24"/>
          <w:lang w:val="en-US"/>
        </w:rPr>
        <w:t>4、监管部门认定的其它情形。</w:t>
      </w:r>
    </w:p>
    <w:p>
      <w:pPr>
        <w:pStyle w:val="10"/>
        <w:tabs>
          <w:tab w:val="left" w:pos="1582"/>
        </w:tabs>
        <w:spacing w:after="0" w:line="360" w:lineRule="auto"/>
        <w:rPr>
          <w:rFonts w:ascii="宋体" w:hAnsi="宋体" w:eastAsia="宋体" w:cs="宋体"/>
          <w:sz w:val="24"/>
          <w:szCs w:val="24"/>
          <w:lang w:val="en-US"/>
        </w:rPr>
      </w:pPr>
      <w:r>
        <w:rPr>
          <w:rFonts w:hint="eastAsia" w:ascii="宋体" w:hAnsi="宋体" w:eastAsia="宋体" w:cs="宋体"/>
          <w:sz w:val="24"/>
          <w:szCs w:val="24"/>
          <w:lang w:val="en-US"/>
        </w:rPr>
        <w:t>（六）理财产品净值的确认</w:t>
      </w:r>
    </w:p>
    <w:p>
      <w:pPr>
        <w:pStyle w:val="10"/>
        <w:tabs>
          <w:tab w:val="left" w:pos="1582"/>
        </w:tabs>
        <w:spacing w:after="0"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用于理财产品信息披露的理财产品资产净值、理财产品份额净值和理财产品累计份额净值由甲方负责计算，乙方负责进行复核。甲方在净值核对日将估值基准日的理财产品资产净值、理财产品份额净值和理财产品累计份额净值发送给乙方（各理财产品净值核对日、估值日在各理财产品对应的《理财产品说明书》中予以约定），乙方对净值计算结果复核确认后发送给甲方。甲乙双方应通过电子对账/电话/邮件/传真或其他双方约定的方式进行净值核对确认，由甲方按照法律法规和对《理财产品协议书》、《理财产品说明书》规定将理财产品净值予以公布。</w:t>
      </w:r>
    </w:p>
    <w:p>
      <w:pPr>
        <w:pStyle w:val="10"/>
        <w:tabs>
          <w:tab w:val="left" w:pos="1582"/>
        </w:tabs>
        <w:spacing w:line="360" w:lineRule="auto"/>
        <w:ind w:left="0" w:leftChars="0" w:firstLine="360" w:firstLineChars="150"/>
        <w:rPr>
          <w:rFonts w:ascii="宋体" w:hAnsi="宋体" w:eastAsia="宋体" w:cs="宋体"/>
          <w:sz w:val="24"/>
          <w:szCs w:val="24"/>
          <w:lang w:val="en-US"/>
        </w:rPr>
      </w:pPr>
      <w:r>
        <w:rPr>
          <w:rFonts w:hint="eastAsia" w:ascii="宋体" w:hAnsi="宋体" w:eastAsia="宋体" w:cs="宋体"/>
          <w:sz w:val="24"/>
          <w:szCs w:val="24"/>
          <w:lang w:val="en-US"/>
        </w:rPr>
        <w:t>（七）特殊情况的处理</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1、如有确凿证据表明按上述方法进行估值不能客观反映其公允价值的，甲方可根据具体情况与乙方商定后，按最能反映公允价值的价格估值的，所造成的误差不作为理财产品资产估值错误处理。</w:t>
      </w:r>
    </w:p>
    <w:p>
      <w:pPr>
        <w:pStyle w:val="10"/>
        <w:tabs>
          <w:tab w:val="left" w:pos="1582"/>
        </w:tabs>
        <w:spacing w:line="360" w:lineRule="auto"/>
        <w:ind w:left="0" w:leftChars="0" w:firstLine="480" w:firstLineChars="200"/>
        <w:rPr>
          <w:rFonts w:ascii="宋体" w:hAnsi="宋体" w:eastAsia="宋体" w:cs="宋体"/>
          <w:sz w:val="24"/>
          <w:szCs w:val="24"/>
          <w:lang w:val="en-US"/>
        </w:rPr>
      </w:pPr>
      <w:r>
        <w:rPr>
          <w:rFonts w:hint="eastAsia" w:ascii="宋体" w:hAnsi="宋体" w:eastAsia="宋体" w:cs="宋体"/>
          <w:sz w:val="24"/>
          <w:szCs w:val="24"/>
          <w:lang w:val="en-US"/>
        </w:rPr>
        <w:t>2、由于证券交易所、登记结算公司发送的数据错误或由于其他不可抗力原因，甲方和乙方虽然已经采取必要、适当、合理的措施进行检查，但是未能发现该错误而造成的理财产品资产估值错误，甲方、乙方应免除赔偿责任。但甲方、乙方应积极采取必要的措施消除或减轻由此造成的影响。</w:t>
      </w:r>
    </w:p>
    <w:p>
      <w:pPr>
        <w:pStyle w:val="10"/>
        <w:tabs>
          <w:tab w:val="left" w:pos="1582"/>
        </w:tabs>
        <w:spacing w:line="360" w:lineRule="auto"/>
        <w:jc w:val="left"/>
        <w:rPr>
          <w:rFonts w:ascii="宋体" w:hAnsi="宋体" w:eastAsia="宋体" w:cs="宋体"/>
          <w:b/>
          <w:bCs/>
          <w:sz w:val="24"/>
          <w:szCs w:val="24"/>
          <w:lang w:val="en-US"/>
        </w:rPr>
      </w:pPr>
      <w:r>
        <w:rPr>
          <w:rFonts w:hint="eastAsia" w:ascii="宋体" w:hAnsi="宋体" w:eastAsia="宋体" w:cs="宋体"/>
          <w:b/>
          <w:bCs/>
          <w:sz w:val="24"/>
          <w:szCs w:val="24"/>
          <w:lang w:val="en-US"/>
        </w:rPr>
        <w:t>三、理财产品资产的会计核算</w:t>
      </w:r>
    </w:p>
    <w:p>
      <w:pPr>
        <w:spacing w:line="360" w:lineRule="auto"/>
        <w:ind w:firstLine="480" w:firstLineChars="200"/>
        <w:rPr>
          <w:rFonts w:ascii="宋体" w:hAnsi="宋体" w:cs="宋体"/>
          <w:sz w:val="24"/>
          <w:szCs w:val="24"/>
        </w:rPr>
      </w:pPr>
      <w:r>
        <w:rPr>
          <w:rFonts w:hint="eastAsia" w:ascii="宋体" w:hAnsi="宋体" w:cs="宋体"/>
          <w:sz w:val="24"/>
          <w:szCs w:val="24"/>
        </w:rPr>
        <w:t>1、甲方进行理财产品会计核算并编制理财产品财务会计报告。甲方、乙方分别独立地设置、记录和保管本理财产品的全套账册。若甲方和乙方对会计处理方法存在分歧，如经相关各方在平等基础上充分讨论后，仍无法达成一致意见，应以甲方的处理方法为准，因此产生的一切责任由甲方承担。若当日核对不符，暂时无法查找到错账的原因而影响到理财产品资产净值的计算和公告的，以甲方的账册为准，因此产生的一切责任由甲方承担。法律法规或监管部门要求对甲方会计报告进行审计的，由甲方提交审计机构进行审计。</w:t>
      </w:r>
    </w:p>
    <w:p>
      <w:pPr>
        <w:spacing w:line="360" w:lineRule="auto"/>
        <w:ind w:firstLine="480" w:firstLineChars="200"/>
        <w:rPr>
          <w:rFonts w:ascii="宋体" w:hAnsi="宋体" w:cs="宋体"/>
          <w:sz w:val="24"/>
          <w:szCs w:val="24"/>
        </w:rPr>
      </w:pPr>
      <w:r>
        <w:rPr>
          <w:rFonts w:hint="eastAsia" w:ascii="宋体" w:hAnsi="宋体" w:cs="宋体"/>
          <w:sz w:val="24"/>
          <w:szCs w:val="24"/>
        </w:rPr>
        <w:t>2、理财产品财产的会计年度为公历年的1月1日至12月31日；</w:t>
      </w:r>
    </w:p>
    <w:p>
      <w:pPr>
        <w:spacing w:line="360" w:lineRule="auto"/>
        <w:ind w:firstLine="480" w:firstLineChars="200"/>
        <w:rPr>
          <w:rFonts w:ascii="宋体" w:hAnsi="宋体" w:cs="宋体"/>
          <w:sz w:val="24"/>
          <w:szCs w:val="24"/>
        </w:rPr>
      </w:pPr>
      <w:r>
        <w:rPr>
          <w:rFonts w:hint="eastAsia" w:ascii="宋体" w:hAnsi="宋体" w:cs="宋体"/>
          <w:sz w:val="24"/>
          <w:szCs w:val="24"/>
        </w:rPr>
        <w:t>3、理财产品财产的会计核算以人民币为记账本位币，以人民币元为记账单位；</w:t>
      </w:r>
    </w:p>
    <w:p>
      <w:pPr>
        <w:spacing w:line="360" w:lineRule="auto"/>
        <w:ind w:firstLine="480" w:firstLineChars="200"/>
        <w:rPr>
          <w:rFonts w:ascii="宋体" w:hAnsi="宋体" w:cs="宋体"/>
          <w:sz w:val="24"/>
          <w:szCs w:val="24"/>
        </w:rPr>
      </w:pPr>
      <w:r>
        <w:rPr>
          <w:rFonts w:hint="eastAsia" w:ascii="宋体" w:hAnsi="宋体" w:cs="宋体"/>
          <w:sz w:val="24"/>
          <w:szCs w:val="24"/>
        </w:rPr>
        <w:t>4、会计制度执行国家有关的会计制度；</w:t>
      </w:r>
    </w:p>
    <w:p>
      <w:pPr>
        <w:spacing w:line="360" w:lineRule="auto"/>
        <w:ind w:firstLine="480" w:firstLineChars="200"/>
        <w:rPr>
          <w:rFonts w:ascii="宋体" w:hAnsi="宋体" w:cs="宋体"/>
          <w:sz w:val="24"/>
          <w:szCs w:val="24"/>
        </w:rPr>
      </w:pPr>
      <w:r>
        <w:rPr>
          <w:rFonts w:hint="eastAsia" w:ascii="宋体" w:hAnsi="宋体" w:cs="宋体"/>
          <w:sz w:val="24"/>
          <w:szCs w:val="24"/>
        </w:rPr>
        <w:t>5、甲方保留完整的会计账目、凭证并进行日常的会计核算，按照有关规定编制理财产品财产会计报表。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6、甲方应定期与乙方就理财产品财产的会计核算、报表编制等进行核对。</w:t>
      </w:r>
    </w:p>
    <w:p>
      <w:pPr>
        <w:keepNext/>
        <w:keepLines/>
        <w:adjustRightInd w:val="0"/>
        <w:snapToGrid w:val="0"/>
        <w:spacing w:before="340" w:after="330" w:line="360" w:lineRule="auto"/>
        <w:jc w:val="center"/>
        <w:textAlignment w:val="baseline"/>
        <w:outlineLvl w:val="0"/>
        <w:rPr>
          <w:rFonts w:ascii="宋体" w:hAnsi="宋体" w:cs="宋体"/>
          <w:b/>
          <w:bCs/>
          <w:kern w:val="44"/>
          <w:sz w:val="24"/>
          <w:szCs w:val="24"/>
        </w:rPr>
      </w:pPr>
      <w:bookmarkStart w:id="101" w:name="_Toc18057239"/>
      <w:bookmarkStart w:id="102" w:name="_Toc18057341"/>
      <w:bookmarkStart w:id="103" w:name="_Toc18057715"/>
      <w:bookmarkStart w:id="104" w:name="_Toc2673259"/>
      <w:bookmarkStart w:id="105" w:name="_Toc12308"/>
      <w:bookmarkStart w:id="106" w:name="_Toc1656556"/>
      <w:bookmarkStart w:id="107" w:name="_Toc18057166"/>
      <w:bookmarkStart w:id="108" w:name="_Toc11800"/>
      <w:bookmarkStart w:id="109" w:name="_Toc22802423"/>
      <w:bookmarkStart w:id="110" w:name="_Toc19177204"/>
      <w:bookmarkStart w:id="111" w:name="_Toc3708"/>
      <w:bookmarkStart w:id="112" w:name="_Toc20494"/>
      <w:bookmarkStart w:id="113" w:name="_Toc23002"/>
      <w:bookmarkStart w:id="114" w:name="_Toc22657"/>
      <w:r>
        <w:rPr>
          <w:rFonts w:hint="eastAsia" w:ascii="宋体" w:hAnsi="宋体" w:cs="宋体"/>
          <w:b/>
          <w:bCs/>
          <w:kern w:val="44"/>
          <w:sz w:val="24"/>
          <w:szCs w:val="24"/>
        </w:rPr>
        <w:t xml:space="preserve">第八章  </w:t>
      </w:r>
      <w:bookmarkEnd w:id="101"/>
      <w:bookmarkEnd w:id="102"/>
      <w:bookmarkEnd w:id="103"/>
      <w:bookmarkEnd w:id="104"/>
      <w:bookmarkEnd w:id="105"/>
      <w:bookmarkEnd w:id="106"/>
      <w:bookmarkEnd w:id="107"/>
      <w:r>
        <w:rPr>
          <w:rFonts w:hint="eastAsia" w:ascii="宋体" w:hAnsi="宋体" w:cs="宋体"/>
          <w:b/>
          <w:bCs/>
          <w:kern w:val="44"/>
          <w:sz w:val="24"/>
          <w:szCs w:val="24"/>
        </w:rPr>
        <w:t>托管人对管理人的业务监督与核查</w:t>
      </w:r>
      <w:bookmarkEnd w:id="108"/>
      <w:bookmarkEnd w:id="109"/>
      <w:bookmarkEnd w:id="110"/>
      <w:bookmarkEnd w:id="111"/>
      <w:bookmarkEnd w:id="112"/>
      <w:bookmarkEnd w:id="113"/>
      <w:bookmarkEnd w:id="114"/>
    </w:p>
    <w:p>
      <w:pPr>
        <w:spacing w:line="360" w:lineRule="auto"/>
        <w:ind w:firstLine="480" w:firstLineChars="200"/>
        <w:rPr>
          <w:rFonts w:ascii="宋体" w:hAnsi="宋体" w:cs="宋体"/>
          <w:sz w:val="24"/>
          <w:szCs w:val="24"/>
        </w:rPr>
      </w:pPr>
      <w:r>
        <w:rPr>
          <w:rFonts w:hint="eastAsia" w:ascii="宋体" w:hAnsi="宋体" w:cs="宋体"/>
          <w:sz w:val="24"/>
          <w:szCs w:val="24"/>
        </w:rPr>
        <w:t>一、甲方应确保各理财产品的合法合规性，保证对理财产品资产的管理运用严格遵守</w:t>
      </w:r>
      <w:r>
        <w:rPr>
          <w:rFonts w:hint="eastAsia" w:ascii="宋体" w:hAnsi="宋体" w:cs="仿宋_GB2312"/>
          <w:sz w:val="24"/>
          <w:szCs w:val="24"/>
        </w:rPr>
        <w:t>国家金融监督管理总局</w:t>
      </w:r>
      <w:r>
        <w:rPr>
          <w:rFonts w:hint="eastAsia" w:ascii="宋体" w:hAnsi="宋体" w:cs="宋体"/>
          <w:sz w:val="24"/>
          <w:szCs w:val="24"/>
        </w:rPr>
        <w:t>关于商业银行理财业务的各项监管规定。</w:t>
      </w:r>
    </w:p>
    <w:p>
      <w:pPr>
        <w:pStyle w:val="5"/>
        <w:spacing w:line="360" w:lineRule="auto"/>
        <w:ind w:firstLine="480" w:firstLineChars="200"/>
        <w:rPr>
          <w:rFonts w:hint="eastAsia"/>
          <w:sz w:val="24"/>
        </w:rPr>
      </w:pPr>
      <w:r>
        <w:rPr>
          <w:rFonts w:hint="eastAsia" w:ascii="宋体" w:hAnsi="宋体" w:cs="宋体"/>
          <w:sz w:val="24"/>
          <w:szCs w:val="24"/>
        </w:rPr>
        <w:t>二、</w:t>
      </w:r>
      <w:r>
        <w:rPr>
          <w:rFonts w:hint="eastAsia"/>
          <w:sz w:val="24"/>
          <w:szCs w:val="24"/>
        </w:rPr>
        <w:t>乙方根据法律法规、产品说明书及本协议的约定，监督理财产品投资运作。如上述监督事项中包括法律法规以外的特殊监督事项，则需由甲方在理财产品</w:t>
      </w:r>
      <w:r>
        <w:rPr>
          <w:rFonts w:hint="eastAsia" w:ascii="宋体" w:hAnsi="宋体" w:cs="宋体"/>
          <w:sz w:val="24"/>
          <w:szCs w:val="24"/>
        </w:rPr>
        <w:t>《适用确认书》中的的《投资监督事项表》另行明确说明，并由乙方书面确认后，纳入产品投资监督事项。</w:t>
      </w:r>
      <w:r>
        <w:rPr>
          <w:rFonts w:hint="eastAsia"/>
          <w:sz w:val="24"/>
        </w:rPr>
        <w:t>对于托管人不掌握相关底层数据，无法穿透计算和有效监控的，托管人不进行穿透监督。</w:t>
      </w:r>
      <w:r>
        <w:rPr>
          <w:rFonts w:hint="eastAsia" w:ascii="宋体" w:hAnsi="宋体" w:cs="宋体"/>
          <w:sz w:val="24"/>
        </w:rPr>
        <w:t>不做穿透监督所指就乙方对所托管的理财产品直接投资的资产是否符合其投资范围、投资比例和限制进行监督，不对理财产品所投资的最终底层资产是否符合其投资范围、投资比例和限制进行监督，法律法规另有规定的，从其规定。如因甲方穿透后实际的投资比例或限制违反本合同和法律法规而造成本理财产品损失的</w:t>
      </w:r>
      <w:r>
        <w:rPr>
          <w:rFonts w:ascii="宋体" w:hAnsi="宋体" w:cs="宋体"/>
          <w:sz w:val="24"/>
        </w:rPr>
        <w:t>,乙方不承担责任。</w:t>
      </w:r>
    </w:p>
    <w:p>
      <w:pPr>
        <w:spacing w:line="360" w:lineRule="auto"/>
        <w:ind w:firstLine="480" w:firstLineChars="200"/>
        <w:rPr>
          <w:rFonts w:ascii="宋体" w:hAnsi="宋体" w:cs="宋体"/>
          <w:sz w:val="24"/>
          <w:szCs w:val="24"/>
        </w:rPr>
      </w:pPr>
      <w:r>
        <w:rPr>
          <w:rFonts w:hint="eastAsia" w:ascii="宋体" w:hAnsi="宋体" w:cs="宋体"/>
          <w:sz w:val="24"/>
          <w:szCs w:val="24"/>
        </w:rPr>
        <w:t>三、乙方发现产品投资运作违反法律法规及本协议有关约定的，应及时以电话、邮件等形式提示甲方，甲方应在规定期限内进行调整。甲方如对乙方的提示有异议，应当及时反馈乙方，双方沟通一致。托管人有权根据有关法律法规或监管机构要求将监督情况报告国家金融监督管理总局。</w:t>
      </w:r>
    </w:p>
    <w:p>
      <w:pPr>
        <w:spacing w:line="360" w:lineRule="auto"/>
        <w:ind w:firstLine="480" w:firstLineChars="200"/>
        <w:rPr>
          <w:rFonts w:ascii="宋体" w:hAnsi="宋体" w:cs="宋体"/>
          <w:sz w:val="24"/>
          <w:szCs w:val="24"/>
        </w:rPr>
      </w:pPr>
      <w:r>
        <w:rPr>
          <w:rFonts w:hint="eastAsia" w:ascii="宋体" w:hAnsi="宋体" w:cs="宋体"/>
          <w:sz w:val="24"/>
          <w:szCs w:val="24"/>
        </w:rPr>
        <w:t>四、甲乙双方应事先约定发送信息和沟通的联系人（附件六），如果联系人发生变更，应当及时通知对方。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szCs w:val="24"/>
        </w:rPr>
      </w:pPr>
      <w:r>
        <w:rPr>
          <w:rFonts w:hint="eastAsia" w:ascii="宋体" w:hAnsi="宋体" w:cs="宋体"/>
          <w:sz w:val="24"/>
          <w:szCs w:val="24"/>
        </w:rPr>
        <w:t>五、甲方应保证其所提供的上述与投资相关的各项法律文件的</w:t>
      </w:r>
      <w:r>
        <w:rPr>
          <w:rFonts w:hint="eastAsia" w:ascii="宋体" w:hAnsi="宋体" w:cs="仿宋_GB2312"/>
          <w:sz w:val="24"/>
          <w:szCs w:val="32"/>
        </w:rPr>
        <w:t>准确性、真实性、完整性、合法性</w:t>
      </w:r>
      <w:r>
        <w:rPr>
          <w:rFonts w:hint="eastAsia" w:ascii="宋体" w:hAnsi="宋体" w:cs="宋体"/>
          <w:sz w:val="24"/>
          <w:szCs w:val="24"/>
        </w:rPr>
        <w:t>，如因甲方提供的上述文件不准确、不真实、不完整、不合法而影响乙方按照本协议履行监督职责而对其他方造成的损失，乙方不承担责任。</w:t>
      </w:r>
    </w:p>
    <w:p>
      <w:pPr>
        <w:spacing w:line="360" w:lineRule="auto"/>
        <w:ind w:firstLine="480" w:firstLineChars="200"/>
        <w:rPr>
          <w:rFonts w:ascii="宋体" w:hAnsi="宋体" w:cs="宋体"/>
          <w:sz w:val="24"/>
          <w:szCs w:val="24"/>
        </w:rPr>
      </w:pPr>
      <w:r>
        <w:rPr>
          <w:rFonts w:hint="eastAsia" w:ascii="宋体" w:hAnsi="宋体" w:cs="宋体"/>
          <w:sz w:val="24"/>
          <w:szCs w:val="24"/>
        </w:rPr>
        <w:t>六、理财产品投资监督事项变更的，甲方应将变更后的理财产品文件及时提交乙方，并为乙方调整和实施新的投资监督标准预留充足时间。</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宋体"/>
          <w:sz w:val="24"/>
          <w:szCs w:val="24"/>
        </w:rPr>
      </w:pPr>
      <w:r>
        <w:rPr>
          <w:rFonts w:hint="eastAsia" w:ascii="宋体" w:hAnsi="宋体" w:cs="宋体"/>
          <w:sz w:val="24"/>
          <w:szCs w:val="24"/>
        </w:rPr>
        <w:t>七、甲方未按约定及时与乙方对账，导致乙方无法及时履行投资监督职责，乙方不承担由此造成的损失。</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szCs w:val="24"/>
        </w:rPr>
      </w:pPr>
      <w:r>
        <w:rPr>
          <w:rFonts w:hint="eastAsia" w:ascii="宋体" w:hAnsi="宋体" w:cs="宋体"/>
          <w:sz w:val="24"/>
          <w:szCs w:val="24"/>
        </w:rPr>
        <w:t>八、在投资监督过程中，管理人应当配合托管人提供投资监督所需数据和信息，并认可托管人采用投资交易、估值核算数据及第三方机构提供的数据和信息进行辅助以完成投</w:t>
      </w:r>
      <w:r>
        <w:rPr>
          <w:rFonts w:hint="eastAsia"/>
          <w:sz w:val="24"/>
          <w:szCs w:val="24"/>
        </w:rPr>
        <w:t>资监督义务。托管人对管理人及第三方机构提供信息的及时性、真实性、准确性和完整性不作任何担保、暗示或表示，并对由此所引起的损失不承担责任。</w:t>
      </w:r>
    </w:p>
    <w:p>
      <w:pPr>
        <w:spacing w:line="360" w:lineRule="auto"/>
        <w:ind w:firstLine="480" w:firstLineChars="200"/>
        <w:rPr>
          <w:rFonts w:ascii="宋体" w:hAnsi="宋体" w:cs="宋体"/>
          <w:sz w:val="24"/>
          <w:szCs w:val="24"/>
        </w:rPr>
      </w:pPr>
    </w:p>
    <w:p>
      <w:pPr>
        <w:spacing w:line="360" w:lineRule="auto"/>
        <w:ind w:firstLine="3253" w:firstLineChars="1350"/>
        <w:jc w:val="left"/>
        <w:outlineLvl w:val="0"/>
        <w:rPr>
          <w:rFonts w:ascii="宋体" w:hAnsi="宋体" w:cs="宋体"/>
          <w:b/>
          <w:bCs/>
          <w:sz w:val="24"/>
          <w:szCs w:val="24"/>
        </w:rPr>
      </w:pPr>
      <w:bookmarkStart w:id="115" w:name="_Toc31174"/>
      <w:bookmarkStart w:id="116" w:name="_Toc25588"/>
      <w:bookmarkStart w:id="117" w:name="_Toc22802424"/>
      <w:bookmarkStart w:id="118" w:name="_Toc30452"/>
      <w:bookmarkStart w:id="119" w:name="_Toc7921"/>
      <w:bookmarkStart w:id="120" w:name="_Toc28072"/>
      <w:bookmarkStart w:id="121" w:name="_Toc19177205"/>
      <w:r>
        <w:rPr>
          <w:rFonts w:hint="eastAsia" w:ascii="宋体" w:hAnsi="宋体" w:cs="宋体"/>
          <w:b/>
          <w:bCs/>
          <w:sz w:val="24"/>
          <w:szCs w:val="24"/>
        </w:rPr>
        <w:t>第九章  信息披露</w:t>
      </w:r>
      <w:bookmarkEnd w:id="115"/>
      <w:bookmarkEnd w:id="116"/>
      <w:bookmarkEnd w:id="117"/>
      <w:bookmarkEnd w:id="118"/>
      <w:bookmarkEnd w:id="119"/>
      <w:bookmarkEnd w:id="120"/>
      <w:bookmarkEnd w:id="121"/>
    </w:p>
    <w:p>
      <w:pPr>
        <w:spacing w:line="360" w:lineRule="auto"/>
        <w:rPr>
          <w:rFonts w:ascii="宋体" w:hAnsi="宋体" w:cs="宋体"/>
          <w:b/>
          <w:bCs/>
          <w:kern w:val="0"/>
          <w:sz w:val="24"/>
          <w:szCs w:val="24"/>
          <w:lang w:val="zh-CN"/>
        </w:rPr>
      </w:pPr>
    </w:p>
    <w:p>
      <w:pPr>
        <w:spacing w:line="360" w:lineRule="auto"/>
        <w:ind w:firstLine="482" w:firstLineChars="200"/>
        <w:rPr>
          <w:rFonts w:ascii="宋体" w:hAnsi="宋体" w:cs="宋体"/>
          <w:b/>
          <w:bCs/>
          <w:sz w:val="24"/>
          <w:szCs w:val="24"/>
        </w:rPr>
      </w:pPr>
      <w:bookmarkStart w:id="122" w:name="_Toc100022951"/>
      <w:bookmarkStart w:id="123" w:name="_Toc214935800"/>
      <w:bookmarkStart w:id="124" w:name="_Toc104113846"/>
      <w:bookmarkStart w:id="125" w:name="_Toc77680136"/>
      <w:bookmarkStart w:id="126" w:name="_Toc214935842"/>
      <w:r>
        <w:rPr>
          <w:rFonts w:hint="eastAsia" w:ascii="宋体" w:hAnsi="宋体" w:cs="宋体"/>
          <w:b/>
          <w:bCs/>
          <w:sz w:val="24"/>
          <w:szCs w:val="24"/>
        </w:rPr>
        <w:t>一、信息披露的内容</w:t>
      </w:r>
    </w:p>
    <w:p>
      <w:pPr>
        <w:spacing w:line="360" w:lineRule="auto"/>
        <w:ind w:firstLine="480" w:firstLineChars="200"/>
        <w:rPr>
          <w:rFonts w:ascii="宋体" w:hAnsi="宋体" w:cs="宋体"/>
          <w:sz w:val="24"/>
          <w:szCs w:val="24"/>
        </w:rPr>
      </w:pPr>
      <w:r>
        <w:rPr>
          <w:rFonts w:hint="eastAsia" w:ascii="宋体" w:hAnsi="宋体" w:cs="宋体"/>
          <w:sz w:val="24"/>
          <w:szCs w:val="24"/>
        </w:rPr>
        <w:t>理财产品的信息披露内容主要包括但不限于理财产品文件、发行公告、理财产品资产净值、理财产品份额净值、定期报告、重大事项公告、临时性信息披露等。</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二、信息披露的原则与职责</w:t>
      </w:r>
    </w:p>
    <w:p>
      <w:pPr>
        <w:spacing w:line="360" w:lineRule="auto"/>
        <w:ind w:firstLine="480" w:firstLineChars="200"/>
        <w:rPr>
          <w:rFonts w:ascii="宋体" w:hAnsi="宋体" w:cs="宋体"/>
          <w:sz w:val="24"/>
          <w:szCs w:val="24"/>
        </w:rPr>
      </w:pPr>
      <w:r>
        <w:rPr>
          <w:rFonts w:hint="eastAsia" w:ascii="宋体" w:hAnsi="宋体" w:cs="宋体"/>
          <w:kern w:val="0"/>
          <w:sz w:val="24"/>
          <w:szCs w:val="24"/>
        </w:rPr>
        <w:t>1、</w:t>
      </w:r>
      <w:r>
        <w:rPr>
          <w:rFonts w:hint="eastAsia" w:ascii="宋体" w:hAnsi="宋体" w:cs="宋体"/>
          <w:kern w:val="0"/>
          <w:sz w:val="24"/>
          <w:szCs w:val="24"/>
          <w:lang w:val="zh-CN"/>
        </w:rPr>
        <w:t>甲乙双方应按照《</w:t>
      </w:r>
      <w:r>
        <w:rPr>
          <w:rFonts w:hint="eastAsia" w:ascii="宋体" w:hAnsi="宋体" w:cs="宋体"/>
          <w:kern w:val="36"/>
          <w:sz w:val="24"/>
          <w:szCs w:val="24"/>
        </w:rPr>
        <w:t>商业银行理财业务监督管理办法》以及其他监管规定进行理财产品业务相关的信息披露。</w:t>
      </w:r>
    </w:p>
    <w:p>
      <w:pPr>
        <w:spacing w:line="360" w:lineRule="auto"/>
        <w:ind w:firstLine="480" w:firstLineChars="200"/>
        <w:rPr>
          <w:rFonts w:ascii="宋体" w:hAnsi="宋体" w:cs="宋体"/>
          <w:sz w:val="24"/>
          <w:szCs w:val="24"/>
        </w:rPr>
      </w:pPr>
      <w:r>
        <w:rPr>
          <w:rFonts w:hint="eastAsia" w:ascii="宋体" w:hAnsi="宋体" w:cs="宋体"/>
          <w:sz w:val="24"/>
          <w:szCs w:val="24"/>
        </w:rPr>
        <w:t>2、甲、乙双方应积极配合、互相监督，依法、按时履行信息披露的义务。</w:t>
      </w:r>
    </w:p>
    <w:p>
      <w:pPr>
        <w:spacing w:line="360" w:lineRule="auto"/>
        <w:ind w:firstLine="480" w:firstLineChars="200"/>
        <w:rPr>
          <w:rFonts w:ascii="宋体" w:hAnsi="宋体" w:cs="宋体"/>
          <w:sz w:val="24"/>
          <w:szCs w:val="24"/>
        </w:rPr>
      </w:pPr>
      <w:r>
        <w:rPr>
          <w:rFonts w:hint="eastAsia" w:ascii="宋体" w:hAnsi="宋体" w:cs="宋体"/>
          <w:sz w:val="24"/>
          <w:szCs w:val="24"/>
        </w:rPr>
        <w:t>3、甲方应当在监管机构规定的时间内，按照监管规定将应予披露的理财产品信息通过甲方营业网点、网站或甲方认为适当的其他方式、地点进行披露。</w:t>
      </w:r>
    </w:p>
    <w:p>
      <w:pPr>
        <w:spacing w:line="360" w:lineRule="auto"/>
        <w:ind w:firstLine="480" w:firstLineChars="200"/>
        <w:rPr>
          <w:rFonts w:ascii="宋体" w:hAnsi="宋体" w:cs="宋体"/>
          <w:kern w:val="0"/>
          <w:sz w:val="24"/>
          <w:szCs w:val="24"/>
        </w:rPr>
      </w:pPr>
      <w:r>
        <w:rPr>
          <w:rFonts w:hint="eastAsia" w:ascii="宋体" w:hAnsi="宋体" w:cs="宋体"/>
          <w:sz w:val="24"/>
          <w:szCs w:val="24"/>
        </w:rPr>
        <w:t>4、乙方应按照监管相关规定，</w:t>
      </w:r>
      <w:r>
        <w:rPr>
          <w:rFonts w:hint="eastAsia" w:ascii="宋体" w:hAnsi="宋体" w:cs="宋体"/>
          <w:kern w:val="0"/>
          <w:sz w:val="24"/>
          <w:szCs w:val="24"/>
        </w:rPr>
        <w:t>办理与理财产品托管业务活动相关的信息披露事项，包括披露公募理财产品托管协议、对理财产品信息披露文件中的理财产品财务会计报告等出具意见，以及在公募理财产品半年度和年度报告中出具理财托管机构报告等。</w:t>
      </w:r>
      <w:bookmarkEnd w:id="122"/>
      <w:bookmarkEnd w:id="123"/>
      <w:bookmarkEnd w:id="124"/>
      <w:bookmarkEnd w:id="125"/>
      <w:bookmarkEnd w:id="126"/>
    </w:p>
    <w:p>
      <w:pPr>
        <w:spacing w:line="360" w:lineRule="auto"/>
        <w:ind w:firstLine="480" w:firstLineChars="200"/>
        <w:rPr>
          <w:rFonts w:ascii="宋体" w:hAnsi="宋体" w:cs="宋体"/>
          <w:kern w:val="0"/>
          <w:sz w:val="24"/>
          <w:szCs w:val="24"/>
          <w:lang w:val="zh-CN"/>
        </w:rPr>
      </w:pPr>
    </w:p>
    <w:p>
      <w:pPr>
        <w:spacing w:line="360" w:lineRule="auto"/>
        <w:ind w:firstLine="2409" w:firstLineChars="1000"/>
        <w:jc w:val="left"/>
        <w:outlineLvl w:val="0"/>
        <w:rPr>
          <w:rFonts w:ascii="宋体" w:hAnsi="宋体" w:cs="宋体"/>
          <w:b/>
          <w:bCs/>
          <w:sz w:val="24"/>
          <w:szCs w:val="24"/>
        </w:rPr>
      </w:pPr>
      <w:bookmarkStart w:id="127" w:name="_Toc23130"/>
      <w:bookmarkStart w:id="128" w:name="_Toc18057716"/>
      <w:bookmarkStart w:id="129" w:name="_Toc28687"/>
      <w:bookmarkStart w:id="130" w:name="_Toc17464"/>
      <w:bookmarkStart w:id="131" w:name="_Toc23352"/>
      <w:bookmarkStart w:id="132" w:name="_Toc18057240"/>
      <w:bookmarkStart w:id="133" w:name="_Toc18057342"/>
      <w:bookmarkStart w:id="134" w:name="_Toc26489"/>
      <w:bookmarkStart w:id="135" w:name="_Toc18057167"/>
      <w:bookmarkStart w:id="136" w:name="_Toc324856513"/>
      <w:bookmarkStart w:id="137" w:name="_Toc22802425"/>
      <w:bookmarkStart w:id="138" w:name="_Toc19177206"/>
      <w:r>
        <w:rPr>
          <w:rFonts w:hint="eastAsia" w:ascii="宋体" w:hAnsi="宋体" w:cs="宋体"/>
          <w:b/>
          <w:bCs/>
          <w:sz w:val="24"/>
          <w:szCs w:val="24"/>
        </w:rPr>
        <w:t>第十章  理财产品的档案保管</w:t>
      </w:r>
      <w:bookmarkEnd w:id="127"/>
      <w:bookmarkEnd w:id="128"/>
      <w:bookmarkEnd w:id="129"/>
      <w:bookmarkEnd w:id="130"/>
      <w:bookmarkEnd w:id="131"/>
      <w:bookmarkEnd w:id="132"/>
      <w:bookmarkEnd w:id="133"/>
      <w:bookmarkEnd w:id="134"/>
      <w:bookmarkEnd w:id="135"/>
      <w:bookmarkEnd w:id="136"/>
      <w:bookmarkEnd w:id="137"/>
      <w:bookmarkEnd w:id="138"/>
    </w:p>
    <w:p>
      <w:pPr>
        <w:spacing w:line="360" w:lineRule="auto"/>
        <w:rPr>
          <w:rFonts w:ascii="宋体" w:hAnsi="宋体" w:cs="宋体"/>
          <w:b/>
          <w:bCs/>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一、甲方和乙方应完整保存各自记录本托管协议项下理财产品财产经济活动的原始凭证、重要合同原件或传真件、复印件等文件档案，保存期限不少于法律法规规定的最低期限。</w:t>
      </w:r>
    </w:p>
    <w:p>
      <w:pPr>
        <w:spacing w:line="360" w:lineRule="auto"/>
        <w:ind w:firstLine="480" w:firstLineChars="200"/>
        <w:rPr>
          <w:rFonts w:ascii="宋体" w:hAnsi="宋体" w:cs="宋体"/>
          <w:sz w:val="24"/>
          <w:szCs w:val="24"/>
        </w:rPr>
      </w:pPr>
      <w:r>
        <w:rPr>
          <w:rFonts w:hint="eastAsia" w:ascii="宋体" w:hAnsi="宋体" w:cs="宋体"/>
          <w:sz w:val="24"/>
          <w:szCs w:val="24"/>
        </w:rPr>
        <w:t>二、乙方应当根据法规要求，记录理财资金划拨情况，保存甲方提供的资金用途说明。</w:t>
      </w:r>
    </w:p>
    <w:p>
      <w:pPr>
        <w:spacing w:line="360" w:lineRule="auto"/>
        <w:ind w:firstLine="480" w:firstLineChars="200"/>
        <w:rPr>
          <w:rFonts w:ascii="宋体" w:hAnsi="宋体" w:cs="宋体"/>
          <w:sz w:val="24"/>
          <w:szCs w:val="24"/>
        </w:rPr>
      </w:pPr>
      <w:r>
        <w:rPr>
          <w:rFonts w:hint="eastAsia" w:ascii="宋体" w:hAnsi="宋体" w:cs="宋体"/>
          <w:sz w:val="24"/>
          <w:szCs w:val="24"/>
        </w:rPr>
        <w:t>三、如果乙方保管的文件资料及档案是由甲方提供的，甲方应当加盖甲方公章。</w:t>
      </w:r>
    </w:p>
    <w:p>
      <w:pPr>
        <w:spacing w:line="360" w:lineRule="auto"/>
        <w:ind w:firstLine="480" w:firstLineChars="200"/>
        <w:rPr>
          <w:rFonts w:ascii="宋体" w:hAnsi="宋体" w:cs="宋体"/>
          <w:sz w:val="24"/>
          <w:szCs w:val="24"/>
        </w:rPr>
      </w:pPr>
    </w:p>
    <w:p>
      <w:pPr>
        <w:spacing w:line="360" w:lineRule="auto"/>
        <w:ind w:firstLine="2650" w:firstLineChars="1100"/>
        <w:outlineLvl w:val="0"/>
        <w:rPr>
          <w:rFonts w:ascii="宋体" w:hAnsi="宋体" w:cs="宋体"/>
          <w:b/>
          <w:bCs/>
          <w:sz w:val="24"/>
          <w:szCs w:val="24"/>
        </w:rPr>
      </w:pPr>
      <w:bookmarkStart w:id="139" w:name="_Toc11894"/>
      <w:bookmarkStart w:id="140" w:name="_Toc16599"/>
      <w:bookmarkStart w:id="141" w:name="_Toc4350"/>
      <w:bookmarkStart w:id="142" w:name="_Toc25321"/>
      <w:bookmarkStart w:id="143" w:name="_Toc7361"/>
      <w:bookmarkStart w:id="144" w:name="_Toc22802426"/>
      <w:bookmarkStart w:id="145" w:name="_Toc19177207"/>
      <w:bookmarkStart w:id="146" w:name="_Toc18057717"/>
      <w:r>
        <w:rPr>
          <w:rFonts w:hint="eastAsia" w:ascii="宋体" w:hAnsi="宋体" w:cs="宋体"/>
          <w:b/>
          <w:bCs/>
          <w:sz w:val="24"/>
          <w:szCs w:val="24"/>
        </w:rPr>
        <w:t>第十一章  费用</w:t>
      </w:r>
      <w:bookmarkEnd w:id="139"/>
      <w:bookmarkEnd w:id="140"/>
      <w:bookmarkEnd w:id="141"/>
      <w:bookmarkEnd w:id="142"/>
      <w:bookmarkEnd w:id="143"/>
      <w:bookmarkEnd w:id="144"/>
      <w:bookmarkEnd w:id="145"/>
    </w:p>
    <w:bookmarkEnd w:id="146"/>
    <w:p>
      <w:pPr>
        <w:spacing w:line="360" w:lineRule="auto"/>
        <w:ind w:firstLine="2650" w:firstLineChars="11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一、产品费用</w:t>
      </w:r>
    </w:p>
    <w:p>
      <w:pPr>
        <w:spacing w:line="360" w:lineRule="auto"/>
        <w:ind w:firstLine="480" w:firstLineChars="200"/>
        <w:rPr>
          <w:rFonts w:ascii="宋体" w:hAnsi="宋体" w:cs="宋体"/>
          <w:sz w:val="24"/>
          <w:szCs w:val="24"/>
        </w:rPr>
      </w:pPr>
      <w:r>
        <w:rPr>
          <w:rFonts w:hint="eastAsia" w:ascii="宋体" w:hAnsi="宋体" w:cs="宋体"/>
          <w:sz w:val="24"/>
          <w:szCs w:val="24"/>
        </w:rPr>
        <w:t>（一）管理费</w:t>
      </w:r>
    </w:p>
    <w:p>
      <w:pPr>
        <w:spacing w:line="360" w:lineRule="auto"/>
        <w:ind w:firstLine="480" w:firstLineChars="200"/>
        <w:rPr>
          <w:rFonts w:ascii="宋体" w:hAnsi="宋体" w:cs="宋体"/>
          <w:sz w:val="24"/>
          <w:szCs w:val="24"/>
        </w:rPr>
      </w:pPr>
      <w:r>
        <w:rPr>
          <w:rFonts w:hint="eastAsia" w:ascii="宋体" w:hAnsi="宋体" w:cs="宋体"/>
          <w:sz w:val="24"/>
          <w:szCs w:val="24"/>
        </w:rPr>
        <w:t>甲方依照各理财产品对应的《适用确认书》约定的费率计提和收取管理费。涉及变更的，以管理人公告为准。</w:t>
      </w:r>
    </w:p>
    <w:p>
      <w:pPr>
        <w:spacing w:line="360" w:lineRule="auto"/>
        <w:ind w:firstLine="480" w:firstLineChars="200"/>
        <w:rPr>
          <w:rFonts w:ascii="宋体" w:hAnsi="宋体" w:cs="宋体"/>
          <w:sz w:val="24"/>
          <w:szCs w:val="24"/>
        </w:rPr>
      </w:pPr>
      <w:r>
        <w:rPr>
          <w:rFonts w:hint="eastAsia" w:ascii="宋体" w:hAnsi="宋体" w:cs="宋体"/>
          <w:sz w:val="24"/>
          <w:szCs w:val="24"/>
        </w:rPr>
        <w:t>（二）托管费</w:t>
      </w:r>
    </w:p>
    <w:p>
      <w:pPr>
        <w:spacing w:line="360" w:lineRule="auto"/>
        <w:ind w:firstLine="480" w:firstLineChars="200"/>
        <w:rPr>
          <w:rFonts w:ascii="宋体" w:hAnsi="宋体" w:cs="宋体"/>
          <w:sz w:val="24"/>
          <w:szCs w:val="24"/>
        </w:rPr>
      </w:pPr>
      <w:r>
        <w:rPr>
          <w:rFonts w:hint="eastAsia" w:ascii="宋体" w:hAnsi="宋体" w:cs="宋体"/>
          <w:sz w:val="24"/>
          <w:szCs w:val="24"/>
        </w:rPr>
        <w:t>乙方依照各理财产品对应的《适用确认书》约定的费率计提和收取托管费。涉及变更的，以管理人公告为准。</w:t>
      </w:r>
    </w:p>
    <w:p>
      <w:pPr>
        <w:spacing w:line="360" w:lineRule="auto"/>
        <w:ind w:firstLine="480" w:firstLineChars="200"/>
        <w:rPr>
          <w:rFonts w:ascii="宋体" w:hAnsi="宋体" w:cs="宋体"/>
          <w:sz w:val="24"/>
          <w:szCs w:val="24"/>
        </w:rPr>
      </w:pPr>
      <w:r>
        <w:rPr>
          <w:rFonts w:hint="eastAsia" w:ascii="宋体" w:hAnsi="宋体" w:cs="宋体"/>
          <w:sz w:val="24"/>
          <w:szCs w:val="24"/>
        </w:rPr>
        <w:t>（三）其他费用</w:t>
      </w:r>
    </w:p>
    <w:p>
      <w:pPr>
        <w:spacing w:line="360" w:lineRule="auto"/>
        <w:ind w:firstLine="480" w:firstLineChars="200"/>
        <w:rPr>
          <w:rFonts w:ascii="宋体" w:hAnsi="宋体" w:cs="宋体"/>
          <w:sz w:val="24"/>
          <w:szCs w:val="24"/>
        </w:rPr>
      </w:pPr>
      <w:r>
        <w:rPr>
          <w:rFonts w:hint="eastAsia" w:ascii="宋体" w:hAnsi="宋体" w:cs="宋体"/>
          <w:sz w:val="24"/>
          <w:szCs w:val="24"/>
        </w:rPr>
        <w:t>从理财产品支出的其他费用由各理财产品对应的《适用确认书》约定。涉及变更的，以管理人公告为准。</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二、费用支付方式</w:t>
      </w:r>
    </w:p>
    <w:p>
      <w:pPr>
        <w:spacing w:line="360" w:lineRule="auto"/>
        <w:ind w:firstLine="480" w:firstLineChars="200"/>
        <w:rPr>
          <w:rFonts w:ascii="宋体" w:hAnsi="宋体" w:cs="宋体"/>
          <w:sz w:val="24"/>
          <w:szCs w:val="24"/>
        </w:rPr>
      </w:pPr>
      <w:r>
        <w:rPr>
          <w:rFonts w:hint="eastAsia" w:ascii="宋体" w:hAnsi="宋体" w:cs="宋体"/>
          <w:sz w:val="24"/>
          <w:szCs w:val="24"/>
        </w:rPr>
        <w:t>产品费用的支付时间以及支付方式在各理财产品对应的《适用确认书》中约定，</w:t>
      </w:r>
      <w:r>
        <w:rPr>
          <w:rFonts w:hint="eastAsia" w:ascii="宋体" w:hAnsi="宋体" w:cs="Arial"/>
          <w:color w:val="000000"/>
          <w:sz w:val="24"/>
        </w:rPr>
        <w:t>管理人有权调整管理费等费用的支付时间及支付方式，并以双方认可的方式通知托管人</w:t>
      </w:r>
      <w:r>
        <w:rPr>
          <w:rFonts w:hint="eastAsia" w:ascii="宋体" w:hAnsi="宋体" w:cs="宋体"/>
          <w:sz w:val="24"/>
          <w:szCs w:val="24"/>
        </w:rPr>
        <w:t>。如遇非工作日或不可抗力导致无法按时支付的，顺延至下一个可支付日支付。</w:t>
      </w:r>
    </w:p>
    <w:p>
      <w:pPr>
        <w:spacing w:line="360" w:lineRule="auto"/>
        <w:ind w:firstLine="482" w:firstLineChars="200"/>
        <w:rPr>
          <w:rFonts w:ascii="宋体" w:hAnsi="宋体" w:cs="宋体"/>
          <w:sz w:val="24"/>
          <w:szCs w:val="24"/>
        </w:rPr>
      </w:pPr>
      <w:r>
        <w:rPr>
          <w:rFonts w:hint="eastAsia" w:ascii="宋体" w:hAnsi="宋体" w:cs="宋体"/>
          <w:b/>
          <w:bCs/>
          <w:sz w:val="24"/>
          <w:szCs w:val="24"/>
        </w:rPr>
        <w:t>三、</w:t>
      </w:r>
      <w:r>
        <w:rPr>
          <w:rFonts w:hint="eastAsia" w:ascii="宋体" w:hAnsi="宋体" w:cs="宋体"/>
          <w:sz w:val="24"/>
          <w:szCs w:val="24"/>
        </w:rPr>
        <w:t>甲、乙双方可通过协商，对各理财产品《适用确认书》中约定的费用事项进行重新约定，并达成书面一致意见。</w:t>
      </w:r>
    </w:p>
    <w:p>
      <w:pPr>
        <w:pStyle w:val="9"/>
        <w:adjustRightInd w:val="0"/>
        <w:snapToGrid w:val="0"/>
        <w:spacing w:before="156" w:beforeLines="50" w:after="156" w:afterLines="50" w:line="360" w:lineRule="auto"/>
        <w:ind w:firstLine="480" w:firstLineChars="200"/>
        <w:rPr>
          <w:rFonts w:hAnsi="宋体"/>
          <w:sz w:val="24"/>
          <w:szCs w:val="24"/>
          <w:lang w:val="en-US"/>
        </w:rPr>
      </w:pPr>
      <w:r>
        <w:rPr>
          <w:rFonts w:hint="eastAsia" w:hAnsi="宋体"/>
          <w:bCs/>
          <w:sz w:val="24"/>
          <w:szCs w:val="24"/>
        </w:rPr>
        <w:t>四、</w:t>
      </w:r>
      <w:r>
        <w:rPr>
          <w:rFonts w:hint="eastAsia" w:hAnsi="宋体"/>
          <w:sz w:val="24"/>
          <w:szCs w:val="24"/>
        </w:rPr>
        <w:t>除银行汇划费和其他银行手续费等可按实际发生额从理财产品资产中直接扣除的费用外，其他费用的支付均需由甲方向乙方发送划款指令，乙方复核无误后在规定时间内支付，双方另行约定扣除方式的，以约定的扣除方式为准。</w:t>
      </w:r>
    </w:p>
    <w:p>
      <w:pPr>
        <w:pStyle w:val="3"/>
        <w:spacing w:before="100" w:beforeAutospacing="1" w:after="100" w:afterAutospacing="1" w:line="360" w:lineRule="auto"/>
        <w:ind w:firstLine="1079" w:firstLineChars="448"/>
        <w:rPr>
          <w:rFonts w:ascii="宋体" w:hAnsi="宋体" w:cs="宋体"/>
          <w:sz w:val="24"/>
          <w:szCs w:val="24"/>
        </w:rPr>
      </w:pPr>
      <w:bookmarkStart w:id="147" w:name="_Toc18057343"/>
      <w:bookmarkStart w:id="148" w:name="_Toc432511756"/>
      <w:bookmarkStart w:id="149" w:name="_Toc18057168"/>
      <w:bookmarkStart w:id="150" w:name="_Toc14656"/>
      <w:bookmarkStart w:id="151" w:name="_Toc22802427"/>
      <w:bookmarkStart w:id="152" w:name="_Toc31346"/>
      <w:bookmarkStart w:id="153" w:name="_Toc18057241"/>
      <w:bookmarkStart w:id="154" w:name="_Toc25659"/>
      <w:bookmarkStart w:id="155" w:name="_Toc20172"/>
      <w:bookmarkStart w:id="156" w:name="_Toc18057718"/>
      <w:bookmarkStart w:id="157" w:name="_Toc531184729"/>
      <w:bookmarkStart w:id="158" w:name="_Toc19177208"/>
      <w:bookmarkStart w:id="159" w:name="_Toc9127"/>
      <w:r>
        <w:rPr>
          <w:rFonts w:hint="eastAsia" w:ascii="宋体" w:hAnsi="宋体" w:cs="宋体"/>
          <w:sz w:val="24"/>
          <w:szCs w:val="24"/>
        </w:rPr>
        <w:t>第十二章  理财产品变更、终止、清算与分配</w:t>
      </w:r>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一、理财产品的变更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理财产品发生变更时，甲方应提前通知并向乙方提供发生变更的相关文件，作为乙方进行托管运作的书面依据。 </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 xml:space="preserve">二、理财产品的终止、清算与分配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1、根据法律法规规定及理财产品的约定，理财产品终止的情形出现时，甲方应向乙方提交理财产品的清算及分配报告（包括但不限于理财产品终止日期、可分配理财本金及收益等），以便乙方配合甲方办理理财产品清算分配事宜。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 乙方收到甲方发出的分配理财利益的托管账户划款指令，与清算及分配报告进行核对并确认托管账户中单只理财产品对应的账户有足额资金后应立即执行划款指令。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3、乙方执行甲方用于分配理财利益的托管账户划款指令职责仅限于将托管理财产品以现金方式分配的利益划往甲方指定的利益分配账户为止。甲方应以书面形式向乙方提供利益分配账户的户名、账号及开户行。 </w:t>
      </w:r>
    </w:p>
    <w:p>
      <w:pPr>
        <w:spacing w:line="360" w:lineRule="auto"/>
        <w:ind w:firstLine="480" w:firstLineChars="200"/>
        <w:rPr>
          <w:rFonts w:ascii="宋体" w:hAnsi="宋体" w:cs="宋体"/>
          <w:sz w:val="24"/>
          <w:szCs w:val="24"/>
        </w:rPr>
      </w:pPr>
      <w:r>
        <w:rPr>
          <w:rFonts w:hint="eastAsia" w:ascii="宋体" w:hAnsi="宋体" w:cs="宋体"/>
          <w:sz w:val="24"/>
          <w:szCs w:val="24"/>
        </w:rPr>
        <w:t>4、在理财产品终止清算结束，乙方执行完毕甲方所有资金划付的划款指令后，乙方不再对该理财产品负有托管职责，乙方应负责由指定人员办理托管账户等账户的销户事宜，甲方应予以协助。</w:t>
      </w:r>
    </w:p>
    <w:p>
      <w:pPr>
        <w:pStyle w:val="3"/>
        <w:adjustRightInd w:val="0"/>
        <w:snapToGrid w:val="0"/>
        <w:spacing w:before="100" w:beforeAutospacing="1" w:after="100" w:afterAutospacing="1" w:line="360" w:lineRule="auto"/>
        <w:ind w:firstLine="2385" w:firstLineChars="990"/>
        <w:rPr>
          <w:rFonts w:ascii="宋体" w:hAnsi="宋体" w:cs="宋体"/>
          <w:sz w:val="24"/>
          <w:szCs w:val="24"/>
        </w:rPr>
      </w:pPr>
      <w:bookmarkStart w:id="160" w:name="_Toc17223"/>
      <w:bookmarkStart w:id="161" w:name="_Toc18057344"/>
      <w:bookmarkStart w:id="162" w:name="_Toc18057169"/>
      <w:bookmarkStart w:id="163" w:name="_Toc19177209"/>
      <w:bookmarkStart w:id="164" w:name="_Toc18057242"/>
      <w:bookmarkStart w:id="165" w:name="_Toc18057719"/>
      <w:bookmarkStart w:id="166" w:name="_Toc144659037"/>
      <w:bookmarkStart w:id="167" w:name="_Toc8"/>
      <w:bookmarkStart w:id="168" w:name="_Toc22802428"/>
      <w:bookmarkStart w:id="169" w:name="_Toc31662"/>
      <w:bookmarkStart w:id="170" w:name="_Toc8129"/>
      <w:bookmarkStart w:id="171" w:name="_Toc24837"/>
      <w:r>
        <w:rPr>
          <w:rFonts w:hint="eastAsia" w:ascii="宋体" w:hAnsi="宋体" w:cs="宋体"/>
          <w:sz w:val="24"/>
          <w:szCs w:val="24"/>
        </w:rPr>
        <w:t>第十三章</w:t>
      </w:r>
      <w:bookmarkEnd w:id="160"/>
      <w:bookmarkEnd w:id="161"/>
      <w:bookmarkEnd w:id="162"/>
      <w:bookmarkEnd w:id="163"/>
      <w:bookmarkEnd w:id="164"/>
      <w:bookmarkEnd w:id="165"/>
      <w:bookmarkEnd w:id="166"/>
      <w:bookmarkStart w:id="172" w:name="_Toc18057345"/>
      <w:bookmarkStart w:id="173" w:name="_Toc7937"/>
      <w:bookmarkStart w:id="174" w:name="_Toc18057720"/>
      <w:bookmarkStart w:id="175" w:name="_Toc19177210"/>
      <w:bookmarkStart w:id="176" w:name="_Toc425952830"/>
      <w:bookmarkStart w:id="177" w:name="_Toc18057170"/>
      <w:bookmarkStart w:id="178" w:name="_Toc2746"/>
      <w:bookmarkStart w:id="179" w:name="_Toc18057243"/>
      <w:r>
        <w:rPr>
          <w:rFonts w:hint="eastAsia" w:ascii="宋体" w:hAnsi="宋体" w:cs="宋体"/>
          <w:sz w:val="24"/>
          <w:szCs w:val="24"/>
        </w:rPr>
        <w:t xml:space="preserve">  违约责任</w:t>
      </w:r>
      <w:bookmarkEnd w:id="167"/>
      <w:bookmarkEnd w:id="168"/>
      <w:bookmarkEnd w:id="169"/>
      <w:bookmarkEnd w:id="170"/>
      <w:bookmarkEnd w:id="171"/>
      <w:bookmarkEnd w:id="172"/>
      <w:bookmarkEnd w:id="173"/>
      <w:bookmarkEnd w:id="174"/>
      <w:bookmarkEnd w:id="175"/>
      <w:bookmarkEnd w:id="176"/>
      <w:bookmarkEnd w:id="177"/>
      <w:bookmarkEnd w:id="178"/>
      <w:bookmarkEnd w:id="179"/>
    </w:p>
    <w:p>
      <w:pPr>
        <w:spacing w:line="360" w:lineRule="auto"/>
        <w:ind w:firstLine="480" w:firstLineChars="200"/>
        <w:rPr>
          <w:rFonts w:ascii="宋体" w:hAnsi="宋体" w:cs="宋体"/>
          <w:sz w:val="24"/>
          <w:szCs w:val="24"/>
        </w:rPr>
      </w:pPr>
      <w:r>
        <w:rPr>
          <w:rFonts w:hint="eastAsia" w:ascii="宋体" w:hAnsi="宋体" w:cs="宋体"/>
          <w:sz w:val="24"/>
          <w:szCs w:val="24"/>
        </w:rPr>
        <w:t>一、本托管协议当事人不履行或不完全履行本协议，由违约方承担违约责任；如各方均有违约行为，根据实际情况，由各方分别承担各自应负的违约责任。</w:t>
      </w:r>
    </w:p>
    <w:p>
      <w:pPr>
        <w:spacing w:line="360" w:lineRule="auto"/>
        <w:ind w:firstLine="480" w:firstLineChars="200"/>
        <w:rPr>
          <w:rFonts w:ascii="宋体" w:hAnsi="宋体" w:cs="宋体"/>
          <w:sz w:val="24"/>
          <w:szCs w:val="24"/>
        </w:rPr>
      </w:pPr>
      <w:r>
        <w:rPr>
          <w:rFonts w:hint="eastAsia" w:ascii="宋体" w:hAnsi="宋体" w:cs="宋体"/>
          <w:sz w:val="24"/>
          <w:szCs w:val="24"/>
        </w:rPr>
        <w:t>二、本协议任何一方当事人的违约行为给另外一方或托管理财产品财产造成实际损失的，应承担相应的赔偿责任。</w:t>
      </w:r>
    </w:p>
    <w:p>
      <w:pPr>
        <w:spacing w:line="360" w:lineRule="auto"/>
        <w:ind w:firstLine="480" w:firstLineChars="200"/>
        <w:rPr>
          <w:rFonts w:ascii="宋体" w:hAnsi="宋体" w:cs="宋体"/>
          <w:sz w:val="24"/>
          <w:szCs w:val="24"/>
        </w:rPr>
      </w:pPr>
      <w:r>
        <w:rPr>
          <w:rFonts w:hint="eastAsia" w:ascii="宋体" w:hAnsi="宋体" w:cs="宋体"/>
          <w:sz w:val="24"/>
          <w:szCs w:val="24"/>
        </w:rPr>
        <w:t>三、违约行为已经发生，但本协议仍能够继续履行的，在保护甲方理财产品投资者合法权利的前提下，各方当事人应当继续履行本协议约定的各项义务。</w:t>
      </w:r>
    </w:p>
    <w:p>
      <w:pPr>
        <w:spacing w:line="360" w:lineRule="auto"/>
        <w:ind w:firstLine="480" w:firstLineChars="200"/>
        <w:rPr>
          <w:rFonts w:ascii="宋体" w:hAnsi="宋体" w:cs="宋体"/>
          <w:sz w:val="24"/>
          <w:szCs w:val="24"/>
        </w:rPr>
      </w:pPr>
      <w:r>
        <w:rPr>
          <w:rFonts w:hint="eastAsia" w:ascii="宋体" w:hAnsi="宋体" w:cs="宋体"/>
          <w:sz w:val="24"/>
          <w:szCs w:val="24"/>
        </w:rPr>
        <w:t>四、一方当事人违约，经另一方书面通知后仍未能按通知要求及时纠正的，如违约方不能提供通知方认可的原因的，通知方有权解除本协议，并有权要求违约方赔偿由此给通知方造成的损失。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五、甲方、乙方在履行各自职责的过程中，违反法律法规规定或者本协议约定，给理财产品财产造成损失的，应当分别对各自的行为依法承担赔偿责任，不因各自职责以外的事由与其他当事人承担连带赔偿责任。但是发生下列情况的，当事人应当免责：</w:t>
      </w:r>
    </w:p>
    <w:p>
      <w:pPr>
        <w:spacing w:line="360" w:lineRule="auto"/>
        <w:ind w:firstLine="480" w:firstLineChars="200"/>
        <w:rPr>
          <w:rFonts w:ascii="宋体" w:hAnsi="宋体" w:cs="宋体"/>
          <w:sz w:val="24"/>
          <w:szCs w:val="24"/>
        </w:rPr>
      </w:pPr>
      <w:r>
        <w:rPr>
          <w:rFonts w:hint="eastAsia" w:ascii="宋体" w:hAnsi="宋体" w:cs="宋体"/>
          <w:sz w:val="24"/>
          <w:szCs w:val="24"/>
        </w:rPr>
        <w:t>1、不可抗力；</w:t>
      </w:r>
    </w:p>
    <w:p>
      <w:pPr>
        <w:spacing w:line="360" w:lineRule="auto"/>
        <w:ind w:firstLine="480" w:firstLineChars="200"/>
        <w:rPr>
          <w:rFonts w:ascii="宋体" w:hAnsi="宋体" w:cs="宋体"/>
          <w:sz w:val="24"/>
          <w:szCs w:val="24"/>
        </w:rPr>
      </w:pPr>
      <w:r>
        <w:rPr>
          <w:rFonts w:hint="eastAsia" w:ascii="宋体" w:hAnsi="宋体" w:cs="宋体"/>
          <w:sz w:val="24"/>
          <w:szCs w:val="24"/>
        </w:rPr>
        <w:t>2、甲方或乙方按照届时有效的法律法规或</w:t>
      </w:r>
      <w:r>
        <w:rPr>
          <w:rFonts w:hint="eastAsia" w:ascii="宋体" w:hAnsi="宋体" w:cs="仿宋_GB2312"/>
          <w:sz w:val="24"/>
          <w:szCs w:val="24"/>
        </w:rPr>
        <w:t>国家金融监督管理总局</w:t>
      </w:r>
      <w:r>
        <w:rPr>
          <w:rFonts w:hint="eastAsia" w:ascii="宋体" w:hAnsi="宋体" w:cs="宋体"/>
          <w:sz w:val="24"/>
          <w:szCs w:val="24"/>
        </w:rPr>
        <w:t>的规定作为或不作为而造成的损失等；</w:t>
      </w:r>
    </w:p>
    <w:p>
      <w:pPr>
        <w:spacing w:line="360" w:lineRule="auto"/>
        <w:ind w:firstLine="480" w:firstLineChars="200"/>
        <w:rPr>
          <w:rFonts w:ascii="宋体" w:hAnsi="宋体" w:cs="宋体"/>
          <w:sz w:val="24"/>
          <w:szCs w:val="24"/>
        </w:rPr>
      </w:pPr>
      <w:r>
        <w:rPr>
          <w:rFonts w:hint="eastAsia" w:ascii="宋体" w:hAnsi="宋体" w:cs="宋体"/>
          <w:sz w:val="24"/>
          <w:szCs w:val="24"/>
        </w:rPr>
        <w:t>3、乙方对于不在其能控制范围内的理财产品财产中债券、证券等有价证券等实物的毁损造成的损失。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六、本协议所指的损失仅限于直接损失。</w:t>
      </w:r>
    </w:p>
    <w:p>
      <w:pPr>
        <w:pStyle w:val="3"/>
        <w:adjustRightInd w:val="0"/>
        <w:snapToGrid w:val="0"/>
        <w:spacing w:before="100" w:beforeAutospacing="1" w:after="100" w:afterAutospacing="1" w:line="360" w:lineRule="auto"/>
        <w:ind w:firstLine="2385" w:firstLineChars="990"/>
        <w:rPr>
          <w:rFonts w:ascii="宋体" w:hAnsi="宋体" w:cs="宋体"/>
          <w:bCs w:val="0"/>
          <w:sz w:val="24"/>
          <w:szCs w:val="24"/>
        </w:rPr>
      </w:pPr>
      <w:bookmarkStart w:id="180" w:name="_Toc32708"/>
      <w:bookmarkStart w:id="181" w:name="_Toc22802429"/>
      <w:bookmarkStart w:id="182" w:name="_Toc8074"/>
      <w:r>
        <w:rPr>
          <w:rFonts w:hint="eastAsia" w:ascii="宋体" w:hAnsi="宋体" w:cs="宋体"/>
          <w:sz w:val="24"/>
          <w:szCs w:val="24"/>
        </w:rPr>
        <w:t>第十四章  反洗钱条款</w:t>
      </w:r>
      <w:bookmarkEnd w:id="180"/>
      <w:bookmarkEnd w:id="181"/>
      <w:bookmarkEnd w:id="182"/>
      <w:r>
        <w:rPr>
          <w:rFonts w:hint="eastAsia" w:ascii="宋体" w:hAnsi="宋体" w:cs="宋体"/>
          <w:sz w:val="24"/>
          <w:szCs w:val="24"/>
        </w:rPr>
        <w:t xml:space="preserve"> </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一、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规经营工作，做好跨境业务的洗钱风险、制裁风险和恐怖融资风险防控，制定反洗钱和反恐怖融资培训制度，开展反洗钱和反恐怖融资宣传，并对可疑客户及可疑交易及时采取有效的风险管控措施。</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二、双方应在符合相关法律法规和监管要求的前提下，共同推进反洗钱和反恐怖融资的合作，为调查涉嫌洗钱、恐怖融资或其他违法犯罪活动提供必要协助。双方应为其自对方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三、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bookmarkStart w:id="183" w:name="_Toc425952831"/>
      <w:bookmarkStart w:id="184" w:name="_Toc1963"/>
      <w:bookmarkStart w:id="185" w:name="_Toc19177211"/>
      <w:bookmarkStart w:id="186" w:name="_Toc18057721"/>
      <w:bookmarkStart w:id="187" w:name="_Toc32543"/>
      <w:bookmarkStart w:id="188" w:name="_Toc18057244"/>
      <w:bookmarkStart w:id="189" w:name="_Toc21906"/>
      <w:bookmarkStart w:id="190" w:name="_Toc18057171"/>
      <w:bookmarkStart w:id="191" w:name="_Toc23151"/>
      <w:bookmarkStart w:id="192" w:name="_Toc18057346"/>
      <w:bookmarkStart w:id="193" w:name="_Toc22802430"/>
    </w:p>
    <w:p>
      <w:pPr>
        <w:pStyle w:val="3"/>
        <w:spacing w:before="40" w:after="0" w:line="360" w:lineRule="auto"/>
        <w:ind w:left="584" w:leftChars="278" w:firstLine="2024" w:firstLineChars="840"/>
        <w:rPr>
          <w:rFonts w:ascii="宋体" w:hAnsi="宋体" w:cs="宋体"/>
          <w:sz w:val="24"/>
          <w:szCs w:val="24"/>
        </w:rPr>
      </w:pPr>
      <w:bookmarkStart w:id="194" w:name="_Toc9217"/>
      <w:r>
        <w:rPr>
          <w:rFonts w:hint="eastAsia" w:ascii="宋体" w:hAnsi="宋体" w:cs="宋体"/>
          <w:sz w:val="24"/>
          <w:szCs w:val="24"/>
        </w:rPr>
        <w:t>第十五章</w:t>
      </w:r>
      <w:bookmarkEnd w:id="183"/>
      <w:r>
        <w:rPr>
          <w:rFonts w:hint="eastAsia" w:ascii="宋体" w:hAnsi="宋体" w:cs="宋体"/>
          <w:sz w:val="24"/>
          <w:szCs w:val="24"/>
        </w:rPr>
        <w:t xml:space="preserve">  其他事项</w:t>
      </w:r>
      <w:bookmarkEnd w:id="184"/>
      <w:bookmarkEnd w:id="185"/>
      <w:bookmarkEnd w:id="186"/>
      <w:bookmarkEnd w:id="187"/>
      <w:bookmarkEnd w:id="188"/>
      <w:bookmarkEnd w:id="189"/>
      <w:bookmarkEnd w:id="190"/>
      <w:bookmarkEnd w:id="191"/>
      <w:bookmarkEnd w:id="192"/>
      <w:bookmarkEnd w:id="193"/>
      <w:bookmarkEnd w:id="194"/>
    </w:p>
    <w:p>
      <w:pPr>
        <w:spacing w:line="360" w:lineRule="auto"/>
        <w:rPr>
          <w:rFonts w:ascii="宋体" w:hAnsi="宋体" w:cs="宋体"/>
          <w:sz w:val="24"/>
          <w:szCs w:val="24"/>
        </w:rPr>
      </w:pPr>
    </w:p>
    <w:p>
      <w:pPr>
        <w:tabs>
          <w:tab w:val="left" w:pos="870"/>
        </w:tabs>
        <w:spacing w:line="360" w:lineRule="auto"/>
        <w:ind w:firstLine="482" w:firstLineChars="200"/>
        <w:rPr>
          <w:rFonts w:ascii="宋体" w:hAnsi="宋体" w:cs="宋体"/>
          <w:b/>
          <w:bCs/>
          <w:sz w:val="24"/>
          <w:szCs w:val="24"/>
        </w:rPr>
      </w:pPr>
      <w:r>
        <w:rPr>
          <w:rFonts w:hint="eastAsia" w:ascii="宋体" w:hAnsi="宋体" w:cs="宋体"/>
          <w:b/>
          <w:bCs/>
          <w:sz w:val="24"/>
          <w:szCs w:val="24"/>
        </w:rPr>
        <w:t>一、不可抗力</w:t>
      </w:r>
    </w:p>
    <w:p>
      <w:pPr>
        <w:tabs>
          <w:tab w:val="left" w:pos="870"/>
        </w:tabs>
        <w:spacing w:line="360" w:lineRule="auto"/>
        <w:ind w:firstLine="420"/>
        <w:rPr>
          <w:rFonts w:ascii="宋体" w:hAnsi="宋体" w:cs="宋体"/>
          <w:spacing w:val="6"/>
          <w:sz w:val="24"/>
          <w:szCs w:val="24"/>
        </w:rPr>
      </w:pPr>
      <w:r>
        <w:rPr>
          <w:rFonts w:hint="eastAsia" w:ascii="宋体" w:hAnsi="宋体" w:cs="宋体"/>
          <w:spacing w:val="6"/>
          <w:sz w:val="24"/>
          <w:szCs w:val="24"/>
        </w:rPr>
        <w:t>不可抗力是指指本协议当事人不能预见、不能避免且不能克服的客观事件，包括战争、火灾、地震、暴雨、飓风、雷击等自然灾害和有关交易所或登记结算公司的系统发生故障、停止运作或瘫痪、国家重大政策调整等突发性公共事件等。</w:t>
      </w:r>
    </w:p>
    <w:p>
      <w:pPr>
        <w:tabs>
          <w:tab w:val="left" w:pos="870"/>
        </w:tabs>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如果甲、乙双方因不可抗力不能履行本协议时，不承担违约责任。协议一方因不可抗力不能履行本协议时，应及时通知对方并在合理期限内提供受到不可抗力影响的证明，并应采取适当措施防止托管理财产品财产损失的扩大。</w:t>
      </w:r>
    </w:p>
    <w:p>
      <w:pPr>
        <w:tabs>
          <w:tab w:val="left" w:pos="870"/>
        </w:tabs>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二、保密条款</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 xml:space="preserve">本协议的任何一方兹承诺对关于各方的业务和事务（包括对于双方而言，任何投资或潜在投资）的任何及所有信息保密，除法律和本协议另有约定的，不披露任何该等信息。任何一方进一步承诺不为本协议以外的目的利用该等保密信息，但前提是该方可向由其任命或雇佣的雇员、董事、受托人员、顾问、代理人或其他人员在为实现本协议目的所必需的范围内披露该等信息，在该等情况下，该方应确保其雇员、董事、受托人员、顾问、代理人或其他人员被告知本协议项下的保密义务并遵守该等义务。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如违反上述约定，给对方造成或者可能造成经济利益或者商业信誉损失的，应依法承担民事责任。</w:t>
      </w:r>
    </w:p>
    <w:p>
      <w:pPr>
        <w:tabs>
          <w:tab w:val="left" w:pos="870"/>
        </w:tabs>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二、文件的发送与接收</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甲乙双方须通过双方认可的安全、恰当的方式，以书面形式向对方发送所有与本协议有关的指令、通知或其他业务文书。</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除本协议另有约定外，以人工传递或挂号信方式送出的通知或指令，以对方签收之日为送达日；以传真或电子邮件方式发送的通知或指令，以传真或电子邮件发出方电话通知接收方确认后视为送达。如接收需要原件的，另一方应配合提供。</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甲乙双方均应将详细的联系方式（包括联系人姓名、联系电话、邮件、通信地址、录音电话、传真等）送对方备案。联系方式发生变更前应向对方发送变更通知。</w:t>
      </w:r>
    </w:p>
    <w:p>
      <w:pPr>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 xml:space="preserve">三、争议的处理 </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任何因本协议而产生的或与本协议有关的争议，各方首先应通过友好协商予以解决；若协商不成，任何一方均可向各自住所地的法院提起诉讼。 </w:t>
      </w:r>
    </w:p>
    <w:p>
      <w:pPr>
        <w:tabs>
          <w:tab w:val="left" w:pos="870"/>
        </w:tabs>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四、协议的适用范围</w:t>
      </w:r>
    </w:p>
    <w:p>
      <w:pPr>
        <w:spacing w:line="360" w:lineRule="auto"/>
        <w:ind w:firstLine="480" w:firstLineChars="200"/>
        <w:rPr>
          <w:rFonts w:ascii="宋体" w:hAnsi="宋体" w:cs="宋体"/>
          <w:sz w:val="24"/>
          <w:szCs w:val="24"/>
        </w:rPr>
      </w:pPr>
      <w:r>
        <w:rPr>
          <w:rFonts w:hint="eastAsia" w:ascii="宋体" w:hAnsi="宋体" w:cs="宋体"/>
          <w:sz w:val="24"/>
          <w:szCs w:val="24"/>
        </w:rPr>
        <w:t>1、本协议适用于有效期内甲方发行的所有理财产品，双方不再就单一或单一系列理财产品签订托管协议，甲方在单一或单一系列理财产品托管前向乙方提交《适用确认书》。</w:t>
      </w:r>
    </w:p>
    <w:p>
      <w:pPr>
        <w:spacing w:line="360" w:lineRule="auto"/>
        <w:ind w:firstLine="480" w:firstLineChars="200"/>
        <w:rPr>
          <w:rFonts w:ascii="宋体" w:hAnsi="宋体" w:cs="宋体"/>
          <w:sz w:val="24"/>
          <w:szCs w:val="24"/>
        </w:rPr>
      </w:pPr>
      <w:r>
        <w:rPr>
          <w:rFonts w:hint="eastAsia" w:ascii="宋体" w:hAnsi="宋体" w:cs="宋体"/>
          <w:sz w:val="24"/>
          <w:szCs w:val="24"/>
        </w:rPr>
        <w:t>2、本协议项下某一或某系列理财产品通过《适用确认书》就本协议已约定事项单独做出与本协议不一致约定的，以该单独约定为准，但其他理财产品未单独做出不一致约定的事项仍然以本协议约定为准。</w:t>
      </w:r>
    </w:p>
    <w:p>
      <w:pPr>
        <w:tabs>
          <w:tab w:val="left" w:pos="870"/>
        </w:tabs>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五、协议的效力及其他</w:t>
      </w:r>
    </w:p>
    <w:p>
      <w:pPr>
        <w:numPr>
          <w:ilvl w:val="0"/>
          <w:numId w:val="4"/>
        </w:numPr>
        <w:spacing w:line="360" w:lineRule="auto"/>
        <w:ind w:firstLine="480" w:firstLineChars="200"/>
        <w:rPr>
          <w:rFonts w:ascii="宋体" w:hAnsi="宋体" w:cs="宋体"/>
          <w:sz w:val="24"/>
          <w:szCs w:val="24"/>
        </w:rPr>
      </w:pPr>
      <w:r>
        <w:rPr>
          <w:rFonts w:hint="eastAsia" w:ascii="宋体" w:hAnsi="宋体" w:cs="宋体"/>
          <w:sz w:val="24"/>
          <w:szCs w:val="24"/>
        </w:rPr>
        <w:t>本协议自双方法定代表人或授权代表人签字（或签章）并加盖公章或业务专用章之日起生效，除非另行约定终止，本协议长期有效。单只理财产品的托管关系自甲方收到乙方关于“理财产品成立通知书/理财产品起始运作通知书”的回执且单只理财产品项下全部资金划至理财产品托管账户后生效。</w:t>
      </w:r>
    </w:p>
    <w:p>
      <w:pPr>
        <w:spacing w:line="360" w:lineRule="auto"/>
        <w:ind w:firstLine="480" w:firstLineChars="200"/>
        <w:rPr>
          <w:rFonts w:ascii="宋体" w:hAnsi="宋体" w:cs="宋体"/>
          <w:sz w:val="24"/>
          <w:szCs w:val="24"/>
        </w:rPr>
      </w:pPr>
      <w:r>
        <w:rPr>
          <w:rFonts w:hint="eastAsia" w:ascii="宋体" w:hAnsi="宋体" w:cs="宋体"/>
          <w:sz w:val="24"/>
          <w:szCs w:val="24"/>
        </w:rPr>
        <w:t>2、本协议未经双方协商书面同意，不得予以修改。</w:t>
      </w:r>
    </w:p>
    <w:p>
      <w:pPr>
        <w:spacing w:line="360" w:lineRule="auto"/>
        <w:ind w:firstLine="480" w:firstLineChars="200"/>
        <w:rPr>
          <w:rFonts w:ascii="宋体" w:hAnsi="宋体" w:cs="宋体"/>
          <w:sz w:val="24"/>
          <w:szCs w:val="24"/>
        </w:rPr>
      </w:pPr>
      <w:r>
        <w:rPr>
          <w:rFonts w:hint="eastAsia" w:ascii="宋体" w:hAnsi="宋体" w:cs="宋体"/>
          <w:sz w:val="24"/>
          <w:szCs w:val="24"/>
        </w:rPr>
        <w:t>3、本协议未尽事宜，双方可另行签订书面补充协议，所有为执行本协议而签署的补充协议，与本协议具有同等法律效力。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4、双方在执行本协议过程中形成的通知、报告、函件等书面文件，均构成本协议的一部分，与本协议具有同等的法律效力。</w:t>
      </w:r>
    </w:p>
    <w:p>
      <w:pPr>
        <w:tabs>
          <w:tab w:val="left" w:pos="870"/>
        </w:tabs>
        <w:spacing w:line="360" w:lineRule="auto"/>
        <w:ind w:firstLine="482" w:firstLineChars="200"/>
        <w:rPr>
          <w:rFonts w:ascii="宋体" w:hAnsi="宋体" w:cs="宋体"/>
          <w:spacing w:val="6"/>
          <w:sz w:val="24"/>
          <w:szCs w:val="24"/>
        </w:rPr>
      </w:pPr>
      <w:r>
        <w:rPr>
          <w:rFonts w:hint="eastAsia" w:ascii="宋体" w:hAnsi="宋体" w:cs="宋体"/>
          <w:b/>
          <w:bCs/>
          <w:kern w:val="0"/>
          <w:sz w:val="24"/>
          <w:szCs w:val="24"/>
        </w:rPr>
        <w:t>六、</w:t>
      </w:r>
      <w:r>
        <w:rPr>
          <w:rFonts w:hint="eastAsia" w:ascii="宋体" w:hAnsi="宋体" w:cs="宋体"/>
          <w:spacing w:val="6"/>
          <w:sz w:val="24"/>
          <w:szCs w:val="24"/>
        </w:rPr>
        <w:t>如本协议终止时，尚有部分理财产品未到期，则按以下约定处理：</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（1）乙方应按照本协议约定对上述理财产品继续履行托管职责，并享有相关权利，直至产品终止；</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2）如乙方丧失托管资质或拒绝继续托管相关产品，甲方有权单方终止本协议，甲方有权在本协议终止之日起15日内变更托管人，在办理托管业务的移交手续前，乙方按照本协议内容继续履行托管责任，享有本协议项下权利。</w:t>
      </w:r>
    </w:p>
    <w:p>
      <w:pPr>
        <w:spacing w:line="360" w:lineRule="auto"/>
        <w:rPr>
          <w:rFonts w:ascii="宋体" w:hAnsi="宋体" w:cs="宋体"/>
          <w:sz w:val="24"/>
          <w:szCs w:val="24"/>
        </w:rPr>
      </w:pPr>
      <w:r>
        <w:rPr>
          <w:rFonts w:hint="eastAsia" w:ascii="宋体" w:hAnsi="宋体" w:cs="宋体"/>
          <w:b/>
          <w:bCs/>
          <w:kern w:val="0"/>
          <w:sz w:val="24"/>
          <w:szCs w:val="24"/>
        </w:rPr>
        <w:t>六、</w:t>
      </w:r>
      <w:r>
        <w:rPr>
          <w:rFonts w:hint="eastAsia" w:ascii="宋体" w:hAnsi="宋体" w:cs="宋体"/>
          <w:sz w:val="24"/>
          <w:szCs w:val="24"/>
        </w:rPr>
        <w:t>本协议一式肆份，甲、乙双方各执贰份，均为正本，具有同等的法律效力。</w:t>
      </w:r>
      <w:bookmarkStart w:id="195" w:name="_Toc31041"/>
      <w:bookmarkStart w:id="196" w:name="_Toc25387"/>
      <w:bookmarkStart w:id="197" w:name="_Toc22802431"/>
      <w:bookmarkStart w:id="198" w:name="_Toc13147"/>
      <w:bookmarkStart w:id="199" w:name="_Toc21208"/>
    </w:p>
    <w:p>
      <w:pPr>
        <w:rPr>
          <w:rFonts w:ascii="宋体" w:hAnsi="宋体" w:cs="宋体"/>
          <w:b/>
          <w:bCs/>
          <w:kern w:val="0"/>
          <w:sz w:val="24"/>
          <w:szCs w:val="24"/>
        </w:rPr>
      </w:pPr>
    </w:p>
    <w:p>
      <w:pPr>
        <w:rPr>
          <w:rFonts w:ascii="宋体" w:hAnsi="宋体" w:cs="宋体"/>
          <w:b/>
          <w:bCs/>
          <w:kern w:val="0"/>
          <w:sz w:val="24"/>
          <w:szCs w:val="24"/>
        </w:rPr>
      </w:pPr>
      <w:r>
        <w:rPr>
          <w:rFonts w:hint="eastAsia" w:ascii="宋体" w:hAnsi="宋体" w:cs="宋体"/>
          <w:bCs/>
          <w:kern w:val="0"/>
          <w:sz w:val="24"/>
          <w:szCs w:val="24"/>
        </w:rPr>
        <w:t>（以下无正文，</w:t>
      </w:r>
      <w:r>
        <w:rPr>
          <w:rFonts w:hint="eastAsia" w:ascii="宋体" w:hAnsi="宋体" w:cs="宋体"/>
          <w:spacing w:val="6"/>
          <w:sz w:val="24"/>
          <w:szCs w:val="24"/>
        </w:rPr>
        <w:t>为《平安理财有限责任公司理财产品托管协议》签署页</w:t>
      </w:r>
      <w:r>
        <w:rPr>
          <w:rFonts w:hint="eastAsia" w:ascii="宋体" w:hAnsi="宋体" w:cs="宋体"/>
          <w:b/>
          <w:bCs/>
          <w:kern w:val="0"/>
          <w:sz w:val="24"/>
          <w:szCs w:val="24"/>
        </w:rPr>
        <w:t>）</w:t>
      </w:r>
    </w:p>
    <w:p>
      <w:pPr>
        <w:pStyle w:val="2"/>
      </w:pPr>
    </w:p>
    <w:p/>
    <w:p>
      <w:pPr>
        <w:spacing w:line="360" w:lineRule="auto"/>
        <w:rPr>
          <w:rFonts w:ascii="宋体" w:hAnsi="宋体" w:cs="宋体"/>
          <w:spacing w:val="6"/>
          <w:sz w:val="24"/>
          <w:szCs w:val="24"/>
        </w:rPr>
      </w:pPr>
    </w:p>
    <w:p>
      <w:pPr>
        <w:spacing w:line="360" w:lineRule="auto"/>
        <w:rPr>
          <w:rFonts w:ascii="宋体" w:hAnsi="宋体" w:cs="宋体"/>
          <w:spacing w:val="6"/>
          <w:sz w:val="24"/>
          <w:szCs w:val="24"/>
        </w:rPr>
      </w:pPr>
      <w:bookmarkStart w:id="200" w:name="_Toc1514"/>
      <w:bookmarkStart w:id="201" w:name="_Toc21696"/>
      <w:bookmarkStart w:id="202" w:name="_Toc15324"/>
      <w:bookmarkStart w:id="203" w:name="_Toc23488"/>
      <w:bookmarkStart w:id="204" w:name="_Toc22802432"/>
      <w:r>
        <w:rPr>
          <w:rFonts w:hint="eastAsia" w:ascii="宋体" w:hAnsi="宋体" w:cs="宋体"/>
          <w:spacing w:val="6"/>
          <w:sz w:val="24"/>
          <w:szCs w:val="24"/>
        </w:rPr>
        <w:t>甲方（公章或业务专用章）：</w:t>
      </w:r>
      <w:bookmarkEnd w:id="200"/>
      <w:bookmarkEnd w:id="201"/>
      <w:bookmarkEnd w:id="202"/>
      <w:bookmarkEnd w:id="203"/>
      <w:bookmarkEnd w:id="204"/>
      <w:r>
        <w:rPr>
          <w:rFonts w:hint="eastAsia" w:ascii="宋体" w:hAnsi="宋体" w:cs="宋体"/>
          <w:spacing w:val="6"/>
          <w:sz w:val="24"/>
          <w:szCs w:val="24"/>
        </w:rPr>
        <w:t>平安理财有限责任公司</w:t>
      </w:r>
    </w:p>
    <w:p>
      <w:pPr>
        <w:spacing w:line="360" w:lineRule="auto"/>
        <w:rPr>
          <w:rFonts w:ascii="宋体" w:hAnsi="宋体" w:cs="宋体"/>
          <w:spacing w:val="6"/>
          <w:sz w:val="24"/>
          <w:szCs w:val="24"/>
        </w:rPr>
      </w:pPr>
      <w:bookmarkStart w:id="205" w:name="_Toc23631"/>
      <w:bookmarkStart w:id="206" w:name="_Toc632"/>
      <w:bookmarkStart w:id="207" w:name="_Toc22802433"/>
      <w:bookmarkStart w:id="208" w:name="_Toc21301"/>
      <w:bookmarkStart w:id="209" w:name="_Toc30534"/>
      <w:r>
        <w:rPr>
          <w:rFonts w:hint="eastAsia" w:ascii="宋体" w:hAnsi="宋体" w:cs="宋体"/>
          <w:spacing w:val="6"/>
          <w:sz w:val="24"/>
          <w:szCs w:val="24"/>
        </w:rPr>
        <w:t>法定代表人或授权代表人签字或盖章：</w:t>
      </w:r>
      <w:bookmarkEnd w:id="205"/>
      <w:bookmarkEnd w:id="206"/>
      <w:bookmarkEnd w:id="207"/>
      <w:bookmarkEnd w:id="208"/>
      <w:bookmarkEnd w:id="209"/>
    </w:p>
    <w:p>
      <w:pPr>
        <w:spacing w:line="360" w:lineRule="auto"/>
        <w:rPr>
          <w:rFonts w:ascii="宋体" w:hAnsi="宋体" w:cs="宋体"/>
          <w:spacing w:val="6"/>
          <w:sz w:val="24"/>
          <w:szCs w:val="24"/>
        </w:rPr>
      </w:pPr>
      <w:bookmarkStart w:id="210" w:name="_Toc22802434"/>
      <w:bookmarkStart w:id="211" w:name="_Toc796"/>
      <w:bookmarkStart w:id="212" w:name="_Toc9263"/>
      <w:bookmarkStart w:id="213" w:name="_Toc28786"/>
      <w:bookmarkStart w:id="214" w:name="_Toc6662"/>
      <w:r>
        <w:rPr>
          <w:rFonts w:hint="eastAsia" w:ascii="宋体" w:hAnsi="宋体" w:cs="宋体"/>
          <w:spacing w:val="6"/>
          <w:sz w:val="24"/>
          <w:szCs w:val="24"/>
        </w:rPr>
        <w:t>年   月   日</w:t>
      </w:r>
      <w:bookmarkEnd w:id="210"/>
      <w:bookmarkEnd w:id="211"/>
      <w:bookmarkEnd w:id="212"/>
      <w:bookmarkEnd w:id="213"/>
      <w:bookmarkEnd w:id="214"/>
      <w:bookmarkStart w:id="215" w:name="_Toc14198"/>
      <w:bookmarkStart w:id="216" w:name="_Toc30593"/>
    </w:p>
    <w:bookmarkEnd w:id="215"/>
    <w:bookmarkEnd w:id="216"/>
    <w:p>
      <w:pPr>
        <w:spacing w:line="360" w:lineRule="auto"/>
        <w:rPr>
          <w:rFonts w:ascii="宋体" w:hAnsi="宋体" w:cs="宋体"/>
          <w:spacing w:val="6"/>
          <w:sz w:val="24"/>
          <w:szCs w:val="24"/>
        </w:rPr>
      </w:pPr>
    </w:p>
    <w:p/>
    <w:p>
      <w:pPr>
        <w:pStyle w:val="2"/>
      </w:pPr>
    </w:p>
    <w:p>
      <w:pPr>
        <w:pStyle w:val="2"/>
      </w:pPr>
    </w:p>
    <w:p/>
    <w:p/>
    <w:p>
      <w:pPr>
        <w:spacing w:line="360" w:lineRule="auto"/>
        <w:rPr>
          <w:rFonts w:ascii="宋体" w:hAnsi="宋体" w:cs="宋体"/>
          <w:spacing w:val="6"/>
          <w:sz w:val="24"/>
          <w:szCs w:val="24"/>
        </w:rPr>
      </w:pPr>
      <w:bookmarkStart w:id="217" w:name="_Toc14948"/>
      <w:bookmarkStart w:id="218" w:name="_Toc2248"/>
      <w:r>
        <w:rPr>
          <w:rFonts w:hint="eastAsia" w:ascii="宋体" w:hAnsi="宋体" w:cs="宋体"/>
          <w:spacing w:val="6"/>
          <w:sz w:val="24"/>
          <w:szCs w:val="24"/>
        </w:rPr>
        <w:t>乙方（公章或业务专用章）：</w:t>
      </w:r>
      <w:bookmarkEnd w:id="217"/>
      <w:bookmarkEnd w:id="218"/>
      <w:r>
        <w:rPr>
          <w:rFonts w:hint="eastAsia" w:ascii="宋体" w:hAnsi="宋体" w:cs="宋体"/>
          <w:spacing w:val="6"/>
          <w:sz w:val="24"/>
          <w:szCs w:val="24"/>
        </w:rPr>
        <w:t xml:space="preserve">中国民生银行股份有限公司 </w:t>
      </w:r>
    </w:p>
    <w:p>
      <w:pPr>
        <w:spacing w:line="360" w:lineRule="auto"/>
        <w:rPr>
          <w:rFonts w:ascii="宋体" w:hAnsi="宋体" w:cs="宋体"/>
          <w:spacing w:val="6"/>
          <w:sz w:val="24"/>
          <w:szCs w:val="24"/>
        </w:rPr>
      </w:pPr>
      <w:bookmarkStart w:id="219" w:name="_Toc7306"/>
      <w:bookmarkStart w:id="220" w:name="_Toc16117"/>
      <w:bookmarkStart w:id="221" w:name="_Toc22802435"/>
      <w:bookmarkStart w:id="222" w:name="_Toc329"/>
      <w:bookmarkStart w:id="223" w:name="_Toc8142"/>
      <w:r>
        <w:rPr>
          <w:rFonts w:hint="eastAsia" w:ascii="宋体" w:hAnsi="宋体" w:cs="宋体"/>
          <w:spacing w:val="6"/>
          <w:sz w:val="24"/>
          <w:szCs w:val="24"/>
        </w:rPr>
        <w:t>法定代表人或授权代表人签字或盖章：</w:t>
      </w:r>
      <w:bookmarkEnd w:id="219"/>
      <w:bookmarkEnd w:id="220"/>
      <w:bookmarkEnd w:id="221"/>
      <w:bookmarkEnd w:id="222"/>
      <w:bookmarkEnd w:id="223"/>
    </w:p>
    <w:p>
      <w:pPr>
        <w:spacing w:line="360" w:lineRule="auto"/>
        <w:rPr>
          <w:rFonts w:ascii="宋体" w:hAnsi="宋体" w:cs="宋体"/>
          <w:spacing w:val="6"/>
          <w:sz w:val="24"/>
          <w:szCs w:val="24"/>
        </w:rPr>
      </w:pPr>
      <w:bookmarkStart w:id="224" w:name="_Toc28384"/>
      <w:bookmarkStart w:id="225" w:name="_Toc26259"/>
      <w:bookmarkStart w:id="226" w:name="_Toc14358"/>
      <w:bookmarkStart w:id="227" w:name="_Toc22802436"/>
      <w:bookmarkStart w:id="228" w:name="_Toc24898"/>
      <w:r>
        <w:rPr>
          <w:rFonts w:hint="eastAsia" w:ascii="宋体" w:hAnsi="宋体" w:cs="宋体"/>
          <w:spacing w:val="6"/>
          <w:sz w:val="24"/>
          <w:szCs w:val="24"/>
          <w:lang w:val="en-US" w:eastAsia="zh-CN"/>
        </w:rPr>
        <w:t>2023</w:t>
      </w:r>
      <w:r>
        <w:rPr>
          <w:rFonts w:hint="eastAsia" w:ascii="宋体" w:hAnsi="宋体" w:cs="宋体"/>
          <w:spacing w:val="6"/>
          <w:sz w:val="24"/>
          <w:szCs w:val="24"/>
        </w:rPr>
        <w:t xml:space="preserve">年 </w:t>
      </w:r>
      <w:r>
        <w:rPr>
          <w:rFonts w:hint="eastAsia" w:ascii="宋体" w:hAnsi="宋体" w:cs="宋体"/>
          <w:spacing w:val="6"/>
          <w:sz w:val="24"/>
          <w:szCs w:val="24"/>
          <w:lang w:val="en-US" w:eastAsia="zh-CN"/>
        </w:rPr>
        <w:t>9</w:t>
      </w:r>
      <w:r>
        <w:rPr>
          <w:rFonts w:hint="eastAsia" w:ascii="宋体" w:hAnsi="宋体" w:cs="宋体"/>
          <w:spacing w:val="6"/>
          <w:sz w:val="24"/>
          <w:szCs w:val="24"/>
        </w:rPr>
        <w:t xml:space="preserve">  月   日</w:t>
      </w:r>
    </w:p>
    <w:bookmarkEnd w:id="224"/>
    <w:bookmarkEnd w:id="225"/>
    <w:bookmarkEnd w:id="226"/>
    <w:bookmarkEnd w:id="227"/>
    <w:bookmarkEnd w:id="228"/>
    <w:p>
      <w:r>
        <w:br w:type="page"/>
      </w:r>
    </w:p>
    <w:p>
      <w:pPr>
        <w:pStyle w:val="2"/>
        <w:rPr>
          <w:rFonts w:hint="eastAsia"/>
        </w:rPr>
        <w:sectPr>
          <w:footerReference r:id="rId3" w:type="default"/>
          <w:pgSz w:w="11906" w:h="16838"/>
          <w:pgMar w:top="1440" w:right="1800" w:bottom="1440" w:left="1800" w:header="851" w:footer="992" w:gutter="0"/>
          <w:cols w:space="720" w:num="1"/>
          <w:docGrid w:type="lines" w:linePitch="312" w:charSpace="0"/>
        </w:sectPr>
      </w:pPr>
    </w:p>
    <w:bookmarkEnd w:id="195"/>
    <w:bookmarkEnd w:id="196"/>
    <w:bookmarkEnd w:id="197"/>
    <w:bookmarkEnd w:id="198"/>
    <w:bookmarkEnd w:id="199"/>
    <w:p>
      <w:pPr>
        <w:widowControl/>
        <w:jc w:val="left"/>
        <w:outlineLvl w:val="0"/>
        <w:rPr>
          <w:rFonts w:ascii="宋体" w:hAnsi="宋体" w:cs="宋体"/>
          <w:b/>
          <w:bCs/>
          <w:sz w:val="24"/>
          <w:szCs w:val="24"/>
        </w:rPr>
      </w:pPr>
      <w:bookmarkStart w:id="229" w:name="_Toc1656563"/>
      <w:bookmarkStart w:id="230" w:name="_Toc4984"/>
      <w:bookmarkStart w:id="231" w:name="_Toc13678"/>
      <w:bookmarkStart w:id="232" w:name="_Toc9470"/>
      <w:bookmarkStart w:id="233" w:name="_Toc22802438"/>
      <w:bookmarkStart w:id="234" w:name="_Toc20112"/>
      <w:r>
        <w:rPr>
          <w:rFonts w:hint="eastAsia" w:ascii="宋体" w:hAnsi="宋体" w:cs="宋体"/>
          <w:b/>
          <w:bCs/>
          <w:sz w:val="24"/>
          <w:szCs w:val="24"/>
        </w:rPr>
        <w:t>附件一：</w:t>
      </w:r>
      <w:bookmarkEnd w:id="229"/>
      <w:bookmarkEnd w:id="230"/>
      <w:bookmarkEnd w:id="231"/>
      <w:bookmarkEnd w:id="232"/>
      <w:bookmarkEnd w:id="233"/>
      <w:bookmarkEnd w:id="234"/>
    </w:p>
    <w:p>
      <w:pPr>
        <w:spacing w:line="360" w:lineRule="auto"/>
        <w:jc w:val="center"/>
        <w:rPr>
          <w:rFonts w:ascii="宋体" w:hAnsi="宋体" w:cs="宋体"/>
          <w:b/>
          <w:bCs/>
          <w:sz w:val="24"/>
          <w:szCs w:val="24"/>
        </w:rPr>
      </w:pPr>
      <w:r>
        <w:rPr>
          <w:rFonts w:hint="eastAsia" w:ascii="宋体" w:hAnsi="宋体" w:cs="宋体"/>
          <w:b/>
          <w:kern w:val="0"/>
          <w:sz w:val="24"/>
          <w:szCs w:val="24"/>
        </w:rPr>
        <w:t>平安理财有限责任公司理财产品托管协议适用确认书</w:t>
      </w:r>
      <w:r>
        <w:rPr>
          <w:rFonts w:hint="eastAsia" w:ascii="宋体" w:hAnsi="宋体" w:cs="宋体"/>
          <w:b/>
          <w:bCs/>
          <w:sz w:val="24"/>
          <w:szCs w:val="24"/>
        </w:rPr>
        <w:t>（样本）</w:t>
      </w:r>
    </w:p>
    <w:p>
      <w:pPr>
        <w:spacing w:line="360" w:lineRule="auto"/>
        <w:jc w:val="center"/>
        <w:rPr>
          <w:rFonts w:ascii="宋体" w:hAnsi="宋体" w:cs="宋体"/>
          <w:b/>
          <w:bCs/>
          <w:sz w:val="24"/>
          <w:szCs w:val="24"/>
        </w:rPr>
      </w:pPr>
    </w:p>
    <w:p>
      <w:pPr>
        <w:spacing w:line="360" w:lineRule="auto"/>
        <w:rPr>
          <w:rFonts w:ascii="宋体" w:hAnsi="宋体" w:cs="宋体"/>
          <w:b/>
          <w:sz w:val="24"/>
          <w:szCs w:val="24"/>
        </w:rPr>
      </w:pPr>
      <w:r>
        <w:rPr>
          <w:rFonts w:hint="eastAsia" w:ascii="宋体" w:hAnsi="宋体" w:cs="宋体"/>
          <w:b/>
          <w:sz w:val="24"/>
          <w:szCs w:val="24"/>
        </w:rPr>
        <w:t>中国民生银行股份有限公司：</w:t>
      </w:r>
    </w:p>
    <w:p>
      <w:pPr>
        <w:spacing w:line="360" w:lineRule="auto"/>
        <w:ind w:firstLine="480" w:firstLineChars="200"/>
        <w:rPr>
          <w:rFonts w:ascii="宋体" w:hAnsi="宋体" w:cs="宋体"/>
          <w:sz w:val="24"/>
          <w:szCs w:val="24"/>
        </w:rPr>
      </w:pPr>
      <w:r>
        <w:rPr>
          <w:rFonts w:hint="eastAsia" w:ascii="宋体" w:hAnsi="宋体" w:cs="宋体"/>
          <w:sz w:val="24"/>
          <w:szCs w:val="24"/>
        </w:rPr>
        <w:t>我司拟交付贵司托管的下述产品适用于双方签署的《平安理财有限责任公司理财产品托管协议》（编号为：平安理财民生托2</w:t>
      </w:r>
      <w:r>
        <w:rPr>
          <w:rFonts w:ascii="宋体" w:hAnsi="宋体" w:cs="宋体"/>
          <w:sz w:val="24"/>
          <w:szCs w:val="24"/>
        </w:rPr>
        <w:t xml:space="preserve">023001 </w:t>
      </w:r>
      <w:r>
        <w:rPr>
          <w:rFonts w:hint="eastAsia" w:ascii="宋体" w:hAnsi="宋体" w:cs="宋体"/>
          <w:sz w:val="24"/>
          <w:szCs w:val="24"/>
        </w:rPr>
        <w:t>），相关托管运作依照托管协议的约定执行，产品具体要素及相关安排如下：</w:t>
      </w:r>
    </w:p>
    <w:tbl>
      <w:tblPr>
        <w:tblStyle w:val="19"/>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04"/>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73"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分类</w:t>
            </w:r>
          </w:p>
        </w:tc>
        <w:tc>
          <w:tcPr>
            <w:tcW w:w="1704"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具体项目</w:t>
            </w:r>
          </w:p>
        </w:tc>
        <w:tc>
          <w:tcPr>
            <w:tcW w:w="7422"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内容（以“√”表示）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73"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产品基本情况</w:t>
            </w: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产品名称</w:t>
            </w:r>
          </w:p>
        </w:tc>
        <w:tc>
          <w:tcPr>
            <w:tcW w:w="7422" w:type="dxa"/>
            <w:vAlign w:val="center"/>
          </w:tcPr>
          <w:p>
            <w:pPr>
              <w:widowControl/>
              <w:jc w:val="left"/>
              <w:rPr>
                <w:rFonts w:ascii="宋体" w:hAnsi="宋体" w:cs="宋体"/>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产品登记编码</w:t>
            </w:r>
          </w:p>
        </w:tc>
        <w:tc>
          <w:tcPr>
            <w:tcW w:w="7422" w:type="dxa"/>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产品存续期限</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□月□年□其他：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产品募集方式</w:t>
            </w:r>
          </w:p>
        </w:tc>
        <w:tc>
          <w:tcPr>
            <w:tcW w:w="7422" w:type="dxa"/>
            <w:vAlign w:val="center"/>
          </w:tcPr>
          <w:p>
            <w:pPr>
              <w:widowControl/>
              <w:jc w:val="left"/>
              <w:rPr>
                <w:rFonts w:ascii="宋体" w:hAnsi="宋体" w:cs="宋体"/>
                <w:kern w:val="0"/>
                <w:sz w:val="24"/>
                <w:szCs w:val="24"/>
                <w:u w:val="single"/>
              </w:rPr>
            </w:pPr>
            <w:r>
              <w:rPr>
                <w:rFonts w:hint="eastAsia" w:ascii="宋体" w:hAnsi="宋体" w:cs="宋体"/>
                <w:kern w:val="0"/>
                <w:sz w:val="24"/>
                <w:szCs w:val="24"/>
              </w:rPr>
              <w:t>□公募□私募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产品类型</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□固定收益类□权益类□商品及金融衍生品类产品□混合类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运作方式</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□封闭式</w:t>
            </w:r>
          </w:p>
          <w:p>
            <w:pPr>
              <w:widowControl/>
              <w:jc w:val="left"/>
              <w:rPr>
                <w:rFonts w:ascii="宋体" w:hAnsi="宋体" w:cs="宋体"/>
                <w:kern w:val="0"/>
                <w:sz w:val="24"/>
                <w:szCs w:val="24"/>
              </w:rPr>
            </w:pPr>
            <w:r>
              <w:rPr>
                <w:rFonts w:hint="eastAsia" w:ascii="宋体" w:hAnsi="宋体" w:cs="宋体"/>
                <w:kern w:val="0"/>
                <w:sz w:val="24"/>
                <w:szCs w:val="24"/>
              </w:rPr>
              <w:t>□开放式，开放规则：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73" w:type="dxa"/>
            <w:vMerge w:val="continue"/>
            <w:vAlign w:val="center"/>
          </w:tcPr>
          <w:p>
            <w:pPr>
              <w:widowControl/>
              <w:jc w:val="center"/>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估值日</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□每个交易日</w:t>
            </w:r>
          </w:p>
          <w:p>
            <w:pPr>
              <w:widowControl/>
              <w:jc w:val="left"/>
              <w:rPr>
                <w:rFonts w:ascii="宋体" w:hAnsi="宋体" w:cs="宋体"/>
                <w:kern w:val="0"/>
                <w:sz w:val="24"/>
                <w:szCs w:val="24"/>
              </w:rPr>
            </w:pPr>
            <w:r>
              <w:rPr>
                <w:rFonts w:hint="eastAsia" w:ascii="宋体" w:hAnsi="宋体" w:cs="宋体"/>
                <w:kern w:val="0"/>
                <w:sz w:val="24"/>
                <w:szCs w:val="24"/>
              </w:rPr>
              <w:t>□每周最后一个交易日</w:t>
            </w:r>
          </w:p>
          <w:p>
            <w:pPr>
              <w:widowControl/>
              <w:jc w:val="left"/>
              <w:rPr>
                <w:rFonts w:ascii="宋体" w:hAnsi="宋体" w:cs="宋体"/>
                <w:kern w:val="0"/>
                <w:sz w:val="24"/>
                <w:szCs w:val="24"/>
              </w:rPr>
            </w:pPr>
            <w:r>
              <w:rPr>
                <w:rFonts w:hint="eastAsia" w:ascii="宋体" w:hAnsi="宋体" w:cs="宋体"/>
                <w:kern w:val="0"/>
                <w:sz w:val="24"/>
                <w:szCs w:val="24"/>
              </w:rPr>
              <w:t>□每月最后一个交易日</w:t>
            </w:r>
          </w:p>
          <w:p>
            <w:pPr>
              <w:widowControl/>
              <w:jc w:val="left"/>
              <w:rPr>
                <w:rFonts w:ascii="宋体" w:hAnsi="宋体" w:cs="宋体"/>
                <w:kern w:val="0"/>
                <w:sz w:val="24"/>
                <w:szCs w:val="24"/>
              </w:rPr>
            </w:pPr>
            <w:r>
              <w:rPr>
                <w:rFonts w:hint="eastAsia" w:ascii="宋体" w:hAnsi="宋体" w:cs="宋体"/>
                <w:kern w:val="0"/>
                <w:sz w:val="24"/>
                <w:szCs w:val="24"/>
              </w:rPr>
              <w:t>□每季度最后一个交易日</w:t>
            </w:r>
          </w:p>
          <w:p>
            <w:pPr>
              <w:widowControl/>
              <w:jc w:val="left"/>
              <w:rPr>
                <w:rFonts w:ascii="宋体" w:hAnsi="宋体" w:cs="宋体"/>
                <w:kern w:val="0"/>
                <w:sz w:val="24"/>
                <w:szCs w:val="24"/>
              </w:rPr>
            </w:pPr>
            <w:r>
              <w:rPr>
                <w:rFonts w:hint="eastAsia" w:ascii="宋体" w:hAnsi="宋体" w:cs="宋体"/>
                <w:kern w:val="0"/>
                <w:sz w:val="24"/>
                <w:szCs w:val="24"/>
              </w:rPr>
              <w:t>□理财产品开放日</w:t>
            </w:r>
          </w:p>
          <w:p>
            <w:pPr>
              <w:widowControl/>
              <w:jc w:val="left"/>
              <w:rPr>
                <w:rFonts w:ascii="宋体" w:hAnsi="宋体" w:cs="宋体"/>
                <w:kern w:val="0"/>
                <w:sz w:val="24"/>
                <w:szCs w:val="24"/>
              </w:rPr>
            </w:pPr>
            <w:r>
              <w:rPr>
                <w:rFonts w:hint="eastAsia" w:ascii="宋体" w:hAnsi="宋体" w:cs="宋体"/>
                <w:kern w:val="0"/>
                <w:sz w:val="24"/>
                <w:szCs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净值核对日</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□估值日的次日</w:t>
            </w:r>
          </w:p>
          <w:p>
            <w:pPr>
              <w:widowControl/>
              <w:jc w:val="left"/>
              <w:rPr>
                <w:rFonts w:ascii="宋体" w:hAnsi="宋体" w:cs="宋体"/>
                <w:kern w:val="0"/>
                <w:sz w:val="24"/>
                <w:szCs w:val="24"/>
              </w:rPr>
            </w:pPr>
            <w:r>
              <w:rPr>
                <w:rFonts w:hint="eastAsia" w:ascii="宋体" w:hAnsi="宋体" w:cs="宋体"/>
                <w:kern w:val="0"/>
                <w:sz w:val="24"/>
                <w:szCs w:val="24"/>
              </w:rPr>
              <w:t>□估值日后的  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估值方法</w:t>
            </w:r>
          </w:p>
        </w:tc>
        <w:tc>
          <w:tcPr>
            <w:tcW w:w="7422" w:type="dxa"/>
            <w:vAlign w:val="center"/>
          </w:tcPr>
          <w:p>
            <w:pPr>
              <w:widowControl/>
              <w:ind w:left="120" w:hanging="120" w:hangingChars="50"/>
              <w:jc w:val="left"/>
              <w:rPr>
                <w:rFonts w:ascii="宋体" w:hAnsi="宋体" w:cs="宋体"/>
                <w:kern w:val="0"/>
                <w:sz w:val="24"/>
                <w:szCs w:val="24"/>
              </w:rPr>
            </w:pPr>
            <w:r>
              <w:rPr>
                <w:rFonts w:hint="eastAsia" w:ascii="宋体" w:hAnsi="宋体" w:cs="宋体"/>
                <w:kern w:val="0"/>
                <w:sz w:val="24"/>
                <w:szCs w:val="24"/>
              </w:rPr>
              <w:t>□适用估值方法：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773"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产品费用</w:t>
            </w: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管理费率</w:t>
            </w:r>
          </w:p>
        </w:tc>
        <w:tc>
          <w:tcPr>
            <w:tcW w:w="7422" w:type="dxa"/>
            <w:vAlign w:val="center"/>
          </w:tcPr>
          <w:p>
            <w:pPr>
              <w:widowControl/>
              <w:ind w:firstLine="120" w:firstLineChars="50"/>
              <w:jc w:val="left"/>
              <w:rPr>
                <w:rFonts w:ascii="宋体" w:hAnsi="宋体" w:cs="宋体"/>
                <w:kern w:val="0"/>
                <w:sz w:val="24"/>
                <w:szCs w:val="24"/>
              </w:rPr>
            </w:pPr>
            <w:r>
              <w:rPr>
                <w:rFonts w:hint="eastAsia" w:ascii="宋体" w:hAnsi="宋体" w:cs="宋体"/>
                <w:kern w:val="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管理费计提基数</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□理财产品初始委托资金</w:t>
            </w:r>
          </w:p>
          <w:p>
            <w:pPr>
              <w:widowControl/>
              <w:jc w:val="left"/>
              <w:rPr>
                <w:rFonts w:ascii="宋体" w:hAnsi="宋体" w:cs="宋体"/>
                <w:kern w:val="0"/>
                <w:sz w:val="24"/>
                <w:szCs w:val="24"/>
              </w:rPr>
            </w:pPr>
            <w:r>
              <w:rPr>
                <w:rFonts w:hint="eastAsia" w:ascii="宋体" w:hAnsi="宋体" w:cs="宋体"/>
                <w:kern w:val="0"/>
                <w:sz w:val="24"/>
                <w:szCs w:val="24"/>
              </w:rPr>
              <w:t>□计提日当日理财产品本金</w:t>
            </w:r>
          </w:p>
          <w:p>
            <w:pPr>
              <w:widowControl/>
              <w:jc w:val="left"/>
              <w:rPr>
                <w:rFonts w:ascii="宋体" w:hAnsi="宋体" w:cs="宋体"/>
                <w:kern w:val="0"/>
                <w:sz w:val="24"/>
                <w:szCs w:val="24"/>
              </w:rPr>
            </w:pPr>
            <w:r>
              <w:rPr>
                <w:rFonts w:hint="eastAsia" w:ascii="宋体" w:hAnsi="宋体" w:cs="宋体"/>
                <w:kern w:val="0"/>
                <w:sz w:val="24"/>
                <w:szCs w:val="24"/>
              </w:rPr>
              <w:t>□估值日前一日理财产品资产净值</w:t>
            </w:r>
          </w:p>
          <w:p>
            <w:pPr>
              <w:widowControl/>
              <w:jc w:val="left"/>
              <w:rPr>
                <w:rFonts w:ascii="宋体" w:hAnsi="宋体" w:cs="宋体"/>
                <w:kern w:val="0"/>
                <w:sz w:val="24"/>
                <w:szCs w:val="24"/>
              </w:rPr>
            </w:pPr>
            <w:r>
              <w:rPr>
                <w:rFonts w:hint="eastAsia" w:ascii="宋体" w:hAnsi="宋体" w:cs="宋体"/>
                <w:kern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管理费计提方式</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□逐日计提，计提金额=计提基数×费率/365</w:t>
            </w:r>
          </w:p>
          <w:p>
            <w:pPr>
              <w:widowControl/>
              <w:jc w:val="left"/>
              <w:rPr>
                <w:rFonts w:ascii="宋体" w:hAnsi="宋体" w:cs="宋体"/>
                <w:kern w:val="0"/>
                <w:sz w:val="24"/>
                <w:szCs w:val="24"/>
              </w:rPr>
            </w:pPr>
            <w:r>
              <w:rPr>
                <w:rFonts w:hint="eastAsia" w:ascii="宋体" w:hAnsi="宋体" w:cs="宋体"/>
                <w:kern w:val="0"/>
                <w:sz w:val="24"/>
                <w:szCs w:val="24"/>
              </w:rPr>
              <w:t>□每个估值日计提，计提金额=计提基数×费率×天数/365</w:t>
            </w:r>
          </w:p>
          <w:p>
            <w:pPr>
              <w:widowControl/>
              <w:jc w:val="left"/>
              <w:rPr>
                <w:rFonts w:ascii="宋体" w:hAnsi="宋体" w:cs="宋体"/>
                <w:kern w:val="0"/>
                <w:sz w:val="24"/>
                <w:szCs w:val="24"/>
              </w:rPr>
            </w:pPr>
            <w:r>
              <w:rPr>
                <w:rFonts w:hint="eastAsia" w:ascii="宋体" w:hAnsi="宋体" w:cs="宋体"/>
                <w:kern w:val="0"/>
                <w:sz w:val="24"/>
                <w:szCs w:val="24"/>
              </w:rPr>
              <w:t>□每个开放日计提，计提金额=计提基数×费率×天数/365</w:t>
            </w:r>
          </w:p>
          <w:p>
            <w:pPr>
              <w:widowControl/>
              <w:jc w:val="left"/>
              <w:rPr>
                <w:rFonts w:ascii="宋体" w:hAnsi="宋体" w:cs="宋体"/>
                <w:kern w:val="0"/>
                <w:sz w:val="24"/>
                <w:szCs w:val="24"/>
              </w:rPr>
            </w:pPr>
            <w:r>
              <w:rPr>
                <w:rFonts w:hint="eastAsia" w:ascii="宋体" w:hAnsi="宋体" w:cs="宋体"/>
                <w:kern w:val="0"/>
                <w:sz w:val="24"/>
                <w:szCs w:val="24"/>
              </w:rPr>
              <w:t>□每月计提，计提金额=计提基数×费率/12</w:t>
            </w:r>
          </w:p>
          <w:p>
            <w:pPr>
              <w:widowControl/>
              <w:jc w:val="left"/>
              <w:rPr>
                <w:rFonts w:ascii="宋体" w:hAnsi="宋体" w:cs="宋体"/>
                <w:kern w:val="0"/>
                <w:sz w:val="24"/>
                <w:szCs w:val="24"/>
              </w:rPr>
            </w:pPr>
            <w:r>
              <w:rPr>
                <w:rFonts w:hint="eastAsia" w:ascii="宋体" w:hAnsi="宋体" w:cs="宋体"/>
                <w:kern w:val="0"/>
                <w:sz w:val="24"/>
                <w:szCs w:val="24"/>
              </w:rPr>
              <w:t>□其他方式： 。</w:t>
            </w:r>
          </w:p>
          <w:p>
            <w:pPr>
              <w:widowControl/>
              <w:jc w:val="left"/>
              <w:rPr>
                <w:rFonts w:ascii="宋体" w:hAnsi="宋体" w:cs="宋体"/>
                <w:kern w:val="0"/>
                <w:sz w:val="24"/>
                <w:szCs w:val="24"/>
              </w:rPr>
            </w:pPr>
            <w:r>
              <w:rPr>
                <w:rFonts w:hint="eastAsia" w:ascii="宋体" w:hAnsi="宋体" w:cs="宋体"/>
                <w:kern w:val="0"/>
                <w:sz w:val="24"/>
                <w:szCs w:val="24"/>
              </w:rPr>
              <w:t>注：天数指上一个费用计提日到本计提日之间的天数。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管理费支付时间</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□固定时间：年 月 日</w:t>
            </w:r>
          </w:p>
          <w:p>
            <w:pPr>
              <w:widowControl/>
              <w:jc w:val="left"/>
              <w:rPr>
                <w:rFonts w:ascii="宋体" w:hAnsi="宋体" w:cs="宋体"/>
                <w:kern w:val="0"/>
                <w:sz w:val="24"/>
                <w:szCs w:val="24"/>
              </w:rPr>
            </w:pPr>
            <w:r>
              <w:rPr>
                <w:rFonts w:hint="eastAsia" w:ascii="宋体" w:hAnsi="宋体" w:cs="宋体"/>
                <w:kern w:val="0"/>
                <w:sz w:val="24"/>
                <w:szCs w:val="24"/>
              </w:rPr>
              <w:t>□每季（□理财产品运作季度/□会计）后个工作日内</w:t>
            </w:r>
          </w:p>
          <w:p>
            <w:pPr>
              <w:widowControl/>
              <w:jc w:val="left"/>
              <w:rPr>
                <w:rFonts w:ascii="宋体" w:hAnsi="宋体" w:cs="宋体"/>
                <w:kern w:val="0"/>
                <w:sz w:val="24"/>
                <w:szCs w:val="24"/>
              </w:rPr>
            </w:pPr>
            <w:r>
              <w:rPr>
                <w:rFonts w:hint="eastAsia" w:ascii="宋体" w:hAnsi="宋体" w:cs="宋体"/>
                <w:kern w:val="0"/>
                <w:sz w:val="24"/>
                <w:szCs w:val="24"/>
              </w:rPr>
              <w:t>□每月（□理财产品运作季度/□会计）后个工作日内</w:t>
            </w:r>
          </w:p>
          <w:p>
            <w:pPr>
              <w:widowControl/>
              <w:jc w:val="left"/>
              <w:rPr>
                <w:rFonts w:ascii="宋体" w:hAnsi="宋体" w:cs="宋体"/>
                <w:kern w:val="0"/>
                <w:sz w:val="24"/>
                <w:szCs w:val="24"/>
              </w:rPr>
            </w:pPr>
            <w:r>
              <w:rPr>
                <w:rFonts w:hint="eastAsia" w:ascii="宋体" w:hAnsi="宋体" w:cs="宋体"/>
                <w:kern w:val="0"/>
                <w:sz w:val="24"/>
                <w:szCs w:val="24"/>
              </w:rPr>
              <w:t>□每半年（□理财产品运作半年度/□会计）后个工作日内</w:t>
            </w:r>
          </w:p>
          <w:p>
            <w:pPr>
              <w:widowControl/>
              <w:jc w:val="left"/>
              <w:rPr>
                <w:rFonts w:ascii="宋体" w:hAnsi="宋体" w:cs="宋体"/>
                <w:kern w:val="0"/>
                <w:sz w:val="24"/>
                <w:szCs w:val="24"/>
              </w:rPr>
            </w:pPr>
            <w:r>
              <w:rPr>
                <w:rFonts w:hint="eastAsia" w:ascii="宋体" w:hAnsi="宋体" w:cs="宋体"/>
                <w:kern w:val="0"/>
                <w:sz w:val="24"/>
                <w:szCs w:val="24"/>
              </w:rPr>
              <w:t>□每年（□理财产品运作年度/□会计）后个工作日内</w:t>
            </w:r>
          </w:p>
          <w:p>
            <w:pPr>
              <w:widowControl/>
              <w:jc w:val="left"/>
              <w:rPr>
                <w:rFonts w:ascii="宋体" w:hAnsi="宋体" w:cs="宋体"/>
                <w:kern w:val="0"/>
                <w:sz w:val="24"/>
                <w:szCs w:val="24"/>
              </w:rPr>
            </w:pPr>
            <w:r>
              <w:rPr>
                <w:rFonts w:hint="eastAsia" w:ascii="宋体" w:hAnsi="宋体" w:cs="宋体"/>
                <w:kern w:val="0"/>
                <w:sz w:val="24"/>
                <w:szCs w:val="24"/>
              </w:rPr>
              <w:t>□其他约定时间：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管理费支付方式</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□托管人自动支付，无需出具指令</w:t>
            </w:r>
          </w:p>
          <w:p>
            <w:pPr>
              <w:widowControl/>
              <w:jc w:val="left"/>
              <w:rPr>
                <w:rFonts w:ascii="宋体" w:hAnsi="宋体" w:cs="宋体"/>
                <w:kern w:val="0"/>
                <w:sz w:val="24"/>
                <w:szCs w:val="24"/>
                <w:u w:val="single"/>
              </w:rPr>
            </w:pPr>
            <w:r>
              <w:rPr>
                <w:rFonts w:hint="eastAsia" w:ascii="宋体" w:hAnsi="宋体" w:cs="宋体"/>
                <w:kern w:val="0"/>
                <w:sz w:val="24"/>
                <w:szCs w:val="24"/>
              </w:rPr>
              <w:t>□需出具指令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托管费率</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□净值型理财：‰ /年</w:t>
            </w:r>
          </w:p>
          <w:p>
            <w:pPr>
              <w:widowControl/>
              <w:jc w:val="left"/>
              <w:rPr>
                <w:rFonts w:ascii="宋体" w:hAnsi="宋体" w:cs="宋体"/>
                <w:kern w:val="0"/>
                <w:sz w:val="24"/>
                <w:szCs w:val="24"/>
              </w:rPr>
            </w:pPr>
            <w:r>
              <w:rPr>
                <w:rFonts w:hint="eastAsia" w:ascii="宋体" w:hAnsi="宋体" w:cs="宋体"/>
                <w:kern w:val="0"/>
                <w:sz w:val="24"/>
                <w:szCs w:val="24"/>
              </w:rPr>
              <w:t>□非净值型理财：‰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托管费计提基数</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□理财产品初始委托资金</w:t>
            </w:r>
          </w:p>
          <w:p>
            <w:pPr>
              <w:widowControl/>
              <w:jc w:val="left"/>
              <w:rPr>
                <w:rFonts w:ascii="宋体" w:hAnsi="宋体" w:cs="宋体"/>
                <w:kern w:val="0"/>
                <w:sz w:val="24"/>
                <w:szCs w:val="24"/>
              </w:rPr>
            </w:pPr>
            <w:r>
              <w:rPr>
                <w:rFonts w:hint="eastAsia" w:ascii="宋体" w:hAnsi="宋体" w:cs="宋体"/>
                <w:kern w:val="0"/>
                <w:sz w:val="24"/>
                <w:szCs w:val="24"/>
              </w:rPr>
              <w:t>□计提日当日理财产品本金</w:t>
            </w:r>
          </w:p>
          <w:p>
            <w:pPr>
              <w:widowControl/>
              <w:jc w:val="left"/>
              <w:rPr>
                <w:rFonts w:ascii="宋体" w:hAnsi="宋体" w:cs="宋体"/>
                <w:kern w:val="0"/>
                <w:sz w:val="24"/>
                <w:szCs w:val="24"/>
              </w:rPr>
            </w:pPr>
            <w:r>
              <w:rPr>
                <w:rFonts w:hint="eastAsia" w:ascii="宋体" w:hAnsi="宋体" w:cs="宋体"/>
                <w:kern w:val="0"/>
                <w:sz w:val="24"/>
                <w:szCs w:val="24"/>
              </w:rPr>
              <w:t>□估值日前一日理财产品资产净值</w:t>
            </w:r>
          </w:p>
          <w:p>
            <w:pPr>
              <w:widowControl/>
              <w:jc w:val="left"/>
              <w:rPr>
                <w:rFonts w:ascii="宋体" w:hAnsi="宋体" w:cs="宋体"/>
                <w:kern w:val="0"/>
                <w:sz w:val="24"/>
                <w:szCs w:val="24"/>
              </w:rPr>
            </w:pPr>
            <w:r>
              <w:rPr>
                <w:rFonts w:hint="eastAsia" w:ascii="宋体" w:hAnsi="宋体" w:cs="宋体"/>
                <w:kern w:val="0"/>
                <w:sz w:val="24"/>
                <w:szCs w:val="24"/>
              </w:rPr>
              <w:t>□其他：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托管费计提方式</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□逐日计提，计提金额=计提基数×费率/365</w:t>
            </w:r>
          </w:p>
          <w:p>
            <w:pPr>
              <w:widowControl/>
              <w:jc w:val="left"/>
              <w:rPr>
                <w:rFonts w:ascii="宋体" w:hAnsi="宋体" w:cs="宋体"/>
                <w:kern w:val="0"/>
                <w:sz w:val="24"/>
                <w:szCs w:val="24"/>
              </w:rPr>
            </w:pPr>
            <w:r>
              <w:rPr>
                <w:rFonts w:hint="eastAsia" w:ascii="宋体" w:hAnsi="宋体" w:cs="宋体"/>
                <w:kern w:val="0"/>
                <w:sz w:val="24"/>
                <w:szCs w:val="24"/>
              </w:rPr>
              <w:t>□每个估值日计提，计提金额=计提基数×费率×天数/365</w:t>
            </w:r>
          </w:p>
          <w:p>
            <w:pPr>
              <w:widowControl/>
              <w:jc w:val="left"/>
              <w:rPr>
                <w:rFonts w:ascii="宋体" w:hAnsi="宋体" w:cs="宋体"/>
                <w:kern w:val="0"/>
                <w:sz w:val="24"/>
                <w:szCs w:val="24"/>
              </w:rPr>
            </w:pPr>
            <w:r>
              <w:rPr>
                <w:rFonts w:hint="eastAsia" w:ascii="宋体" w:hAnsi="宋体" w:cs="宋体"/>
                <w:kern w:val="0"/>
                <w:sz w:val="24"/>
                <w:szCs w:val="24"/>
              </w:rPr>
              <w:t>□每个开放日计提，计提金额=计提基数×费率×天数/365</w:t>
            </w:r>
          </w:p>
          <w:p>
            <w:pPr>
              <w:widowControl/>
              <w:jc w:val="left"/>
              <w:rPr>
                <w:rFonts w:ascii="宋体" w:hAnsi="宋体" w:cs="宋体"/>
                <w:kern w:val="0"/>
                <w:sz w:val="24"/>
                <w:szCs w:val="24"/>
              </w:rPr>
            </w:pPr>
            <w:r>
              <w:rPr>
                <w:rFonts w:hint="eastAsia" w:ascii="宋体" w:hAnsi="宋体" w:cs="宋体"/>
                <w:kern w:val="0"/>
                <w:sz w:val="24"/>
                <w:szCs w:val="24"/>
              </w:rPr>
              <w:t>□每月计提，计提金额=计提基数×费率/12</w:t>
            </w:r>
          </w:p>
          <w:p>
            <w:pPr>
              <w:widowControl/>
              <w:jc w:val="left"/>
              <w:rPr>
                <w:rFonts w:ascii="宋体" w:hAnsi="宋体" w:cs="宋体"/>
                <w:kern w:val="0"/>
                <w:sz w:val="24"/>
                <w:szCs w:val="24"/>
              </w:rPr>
            </w:pPr>
            <w:r>
              <w:rPr>
                <w:rFonts w:hint="eastAsia" w:ascii="宋体" w:hAnsi="宋体" w:cs="宋体"/>
                <w:kern w:val="0"/>
                <w:sz w:val="24"/>
                <w:szCs w:val="24"/>
              </w:rPr>
              <w:t>□其他方式： 。</w:t>
            </w:r>
          </w:p>
          <w:p>
            <w:pPr>
              <w:widowControl/>
              <w:jc w:val="left"/>
              <w:rPr>
                <w:rFonts w:ascii="宋体" w:hAnsi="宋体" w:cs="宋体"/>
                <w:kern w:val="0"/>
                <w:sz w:val="24"/>
                <w:szCs w:val="24"/>
              </w:rPr>
            </w:pPr>
            <w:r>
              <w:rPr>
                <w:rFonts w:hint="eastAsia" w:ascii="宋体" w:hAnsi="宋体" w:cs="宋体"/>
                <w:kern w:val="0"/>
                <w:sz w:val="24"/>
                <w:szCs w:val="24"/>
              </w:rPr>
              <w:t>注：天数指上一个费用计提日到本计提日之间的天数。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托管费支付时间</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□固定时间：年 月 日</w:t>
            </w:r>
          </w:p>
          <w:p>
            <w:pPr>
              <w:widowControl/>
              <w:jc w:val="left"/>
              <w:rPr>
                <w:rFonts w:ascii="宋体" w:hAnsi="宋体" w:cs="宋体"/>
                <w:kern w:val="0"/>
                <w:sz w:val="24"/>
                <w:szCs w:val="24"/>
              </w:rPr>
            </w:pPr>
            <w:r>
              <w:rPr>
                <w:rFonts w:hint="eastAsia" w:ascii="宋体" w:hAnsi="宋体" w:cs="宋体"/>
                <w:kern w:val="0"/>
                <w:sz w:val="24"/>
                <w:szCs w:val="24"/>
              </w:rPr>
              <w:t>□每季（□理财产品运作季度/□会计）后   个工作日内</w:t>
            </w:r>
          </w:p>
          <w:p>
            <w:pPr>
              <w:widowControl/>
              <w:jc w:val="left"/>
              <w:rPr>
                <w:rFonts w:ascii="宋体" w:hAnsi="宋体" w:cs="宋体"/>
                <w:kern w:val="0"/>
                <w:sz w:val="24"/>
                <w:szCs w:val="24"/>
              </w:rPr>
            </w:pPr>
            <w:r>
              <w:rPr>
                <w:rFonts w:hint="eastAsia" w:ascii="宋体" w:hAnsi="宋体" w:cs="宋体"/>
                <w:kern w:val="0"/>
                <w:sz w:val="24"/>
                <w:szCs w:val="24"/>
              </w:rPr>
              <w:t>□每月（□理财产品运作季度/□会计）后   个工作日内</w:t>
            </w:r>
          </w:p>
          <w:p>
            <w:pPr>
              <w:widowControl/>
              <w:jc w:val="left"/>
              <w:rPr>
                <w:rFonts w:ascii="宋体" w:hAnsi="宋体" w:cs="宋体"/>
                <w:kern w:val="0"/>
                <w:sz w:val="24"/>
                <w:szCs w:val="24"/>
              </w:rPr>
            </w:pPr>
            <w:r>
              <w:rPr>
                <w:rFonts w:hint="eastAsia" w:ascii="宋体" w:hAnsi="宋体" w:cs="宋体"/>
                <w:kern w:val="0"/>
                <w:sz w:val="24"/>
                <w:szCs w:val="24"/>
              </w:rPr>
              <w:t>□每半年（□理财产品运作半年度/□会计）后  个工作日内</w:t>
            </w:r>
          </w:p>
          <w:p>
            <w:pPr>
              <w:widowControl/>
              <w:jc w:val="left"/>
              <w:rPr>
                <w:rFonts w:ascii="宋体" w:hAnsi="宋体" w:cs="宋体"/>
                <w:kern w:val="0"/>
                <w:sz w:val="24"/>
                <w:szCs w:val="24"/>
              </w:rPr>
            </w:pPr>
            <w:r>
              <w:rPr>
                <w:rFonts w:hint="eastAsia" w:ascii="宋体" w:hAnsi="宋体" w:cs="宋体"/>
                <w:kern w:val="0"/>
                <w:sz w:val="24"/>
                <w:szCs w:val="24"/>
              </w:rPr>
              <w:t>□每年（□理财产品运作年度/□会计）后  个工作日内</w:t>
            </w:r>
          </w:p>
          <w:p>
            <w:pPr>
              <w:widowControl/>
              <w:jc w:val="left"/>
              <w:rPr>
                <w:rFonts w:ascii="宋体" w:hAnsi="宋体" w:cs="宋体"/>
                <w:kern w:val="0"/>
                <w:sz w:val="24"/>
                <w:szCs w:val="24"/>
              </w:rPr>
            </w:pPr>
            <w:r>
              <w:rPr>
                <w:rFonts w:hint="eastAsia" w:ascii="宋体" w:hAnsi="宋体" w:cs="宋体"/>
                <w:kern w:val="0"/>
                <w:sz w:val="24"/>
                <w:szCs w:val="24"/>
              </w:rPr>
              <w:t>□其他约定时间：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托管费支付方式</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□托管人自动支付，无需出具指令</w:t>
            </w:r>
          </w:p>
          <w:p>
            <w:pPr>
              <w:widowControl/>
              <w:jc w:val="left"/>
              <w:rPr>
                <w:rFonts w:ascii="宋体" w:hAnsi="宋体" w:cs="宋体"/>
                <w:kern w:val="0"/>
                <w:sz w:val="24"/>
                <w:szCs w:val="24"/>
              </w:rPr>
            </w:pPr>
            <w:r>
              <w:rPr>
                <w:rFonts w:hint="eastAsia" w:ascii="宋体" w:hAnsi="宋体" w:cs="宋体"/>
                <w:kern w:val="0"/>
                <w:sz w:val="24"/>
                <w:szCs w:val="24"/>
              </w:rPr>
              <w:t>□需出具指令（如选择会计核算方案一仅可勾选此项）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其他费用/业绩报酬</w:t>
            </w:r>
          </w:p>
        </w:tc>
        <w:tc>
          <w:tcPr>
            <w:tcW w:w="7422" w:type="dxa"/>
            <w:vAlign w:val="center"/>
          </w:tcPr>
          <w:p>
            <w:pPr>
              <w:widowControl/>
              <w:jc w:val="lef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3"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产品账户信息</w:t>
            </w: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托管账户</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户名：</w:t>
            </w:r>
          </w:p>
          <w:p>
            <w:pPr>
              <w:widowControl/>
              <w:jc w:val="left"/>
              <w:rPr>
                <w:rFonts w:ascii="宋体" w:hAnsi="宋体" w:cs="宋体"/>
                <w:kern w:val="0"/>
                <w:sz w:val="24"/>
                <w:szCs w:val="24"/>
              </w:rPr>
            </w:pPr>
            <w:r>
              <w:rPr>
                <w:rFonts w:hint="eastAsia" w:ascii="宋体" w:hAnsi="宋体" w:cs="宋体"/>
                <w:kern w:val="0"/>
                <w:sz w:val="24"/>
                <w:szCs w:val="24"/>
              </w:rPr>
              <w:t>账号：</w:t>
            </w:r>
          </w:p>
          <w:p>
            <w:pPr>
              <w:widowControl/>
              <w:jc w:val="left"/>
              <w:rPr>
                <w:rFonts w:ascii="宋体" w:hAnsi="宋体" w:cs="宋体"/>
                <w:kern w:val="0"/>
                <w:sz w:val="24"/>
                <w:szCs w:val="24"/>
              </w:rPr>
            </w:pPr>
            <w:r>
              <w:rPr>
                <w:rFonts w:hint="eastAsia" w:ascii="宋体" w:hAnsi="宋体" w:cs="宋体"/>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管理费收款账户</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户名：</w:t>
            </w:r>
          </w:p>
          <w:p>
            <w:pPr>
              <w:widowControl/>
              <w:jc w:val="left"/>
              <w:rPr>
                <w:rFonts w:ascii="宋体" w:hAnsi="宋体" w:cs="宋体"/>
                <w:kern w:val="0"/>
                <w:sz w:val="24"/>
                <w:szCs w:val="24"/>
              </w:rPr>
            </w:pPr>
            <w:r>
              <w:rPr>
                <w:rFonts w:hint="eastAsia" w:ascii="宋体" w:hAnsi="宋体" w:cs="宋体"/>
                <w:kern w:val="0"/>
                <w:sz w:val="24"/>
                <w:szCs w:val="24"/>
              </w:rPr>
              <w:t>账号：</w:t>
            </w:r>
          </w:p>
          <w:p>
            <w:pPr>
              <w:widowControl/>
              <w:jc w:val="left"/>
              <w:rPr>
                <w:rFonts w:ascii="宋体" w:hAnsi="宋体" w:cs="宋体"/>
                <w:kern w:val="0"/>
                <w:sz w:val="24"/>
                <w:szCs w:val="24"/>
              </w:rPr>
            </w:pPr>
            <w:r>
              <w:rPr>
                <w:rFonts w:hint="eastAsia" w:ascii="宋体" w:hAnsi="宋体" w:cs="宋体"/>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托管费收款账户</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户名：</w:t>
            </w:r>
          </w:p>
          <w:p>
            <w:pPr>
              <w:widowControl/>
              <w:jc w:val="left"/>
              <w:rPr>
                <w:rFonts w:ascii="宋体" w:hAnsi="宋体" w:cs="宋体"/>
                <w:kern w:val="0"/>
                <w:sz w:val="24"/>
                <w:szCs w:val="24"/>
              </w:rPr>
            </w:pPr>
            <w:r>
              <w:rPr>
                <w:rFonts w:hint="eastAsia" w:ascii="宋体" w:hAnsi="宋体" w:cs="宋体"/>
                <w:kern w:val="0"/>
                <w:sz w:val="24"/>
                <w:szCs w:val="24"/>
              </w:rPr>
              <w:t>账号：</w:t>
            </w:r>
          </w:p>
          <w:p>
            <w:pPr>
              <w:widowControl/>
              <w:jc w:val="left"/>
              <w:rPr>
                <w:rFonts w:ascii="宋体" w:hAnsi="宋体" w:cs="宋体"/>
                <w:kern w:val="0"/>
                <w:sz w:val="24"/>
                <w:szCs w:val="24"/>
              </w:rPr>
            </w:pPr>
            <w:r>
              <w:rPr>
                <w:rFonts w:hint="eastAsia" w:ascii="宋体" w:hAnsi="宋体" w:cs="宋体"/>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增值税收款账户</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户名：</w:t>
            </w:r>
          </w:p>
          <w:p>
            <w:pPr>
              <w:widowControl/>
              <w:jc w:val="left"/>
              <w:rPr>
                <w:rFonts w:ascii="宋体" w:hAnsi="宋体" w:cs="宋体"/>
                <w:kern w:val="0"/>
                <w:sz w:val="24"/>
                <w:szCs w:val="24"/>
              </w:rPr>
            </w:pPr>
            <w:r>
              <w:rPr>
                <w:rFonts w:hint="eastAsia" w:ascii="宋体" w:hAnsi="宋体" w:cs="宋体"/>
                <w:kern w:val="0"/>
                <w:sz w:val="24"/>
                <w:szCs w:val="24"/>
              </w:rPr>
              <w:t>账号：</w:t>
            </w:r>
          </w:p>
          <w:p>
            <w:pPr>
              <w:widowControl/>
              <w:jc w:val="left"/>
              <w:rPr>
                <w:rFonts w:ascii="宋体" w:hAnsi="宋体" w:cs="宋体"/>
                <w:kern w:val="0"/>
                <w:sz w:val="24"/>
                <w:szCs w:val="24"/>
              </w:rPr>
            </w:pPr>
            <w:r>
              <w:rPr>
                <w:rFonts w:hint="eastAsia" w:ascii="宋体" w:hAnsi="宋体" w:cs="宋体"/>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收益分配账户</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户名：</w:t>
            </w:r>
          </w:p>
          <w:p>
            <w:pPr>
              <w:widowControl/>
              <w:jc w:val="left"/>
              <w:rPr>
                <w:rFonts w:ascii="宋体" w:hAnsi="宋体" w:cs="宋体"/>
                <w:kern w:val="0"/>
                <w:sz w:val="24"/>
                <w:szCs w:val="24"/>
              </w:rPr>
            </w:pPr>
            <w:r>
              <w:rPr>
                <w:rFonts w:hint="eastAsia" w:ascii="宋体" w:hAnsi="宋体" w:cs="宋体"/>
                <w:kern w:val="0"/>
                <w:sz w:val="24"/>
                <w:szCs w:val="24"/>
              </w:rPr>
              <w:t>账号：</w:t>
            </w:r>
          </w:p>
          <w:p>
            <w:pPr>
              <w:widowControl/>
              <w:jc w:val="left"/>
              <w:rPr>
                <w:rFonts w:ascii="宋体" w:hAnsi="宋体" w:cs="宋体"/>
                <w:kern w:val="0"/>
                <w:sz w:val="24"/>
                <w:szCs w:val="24"/>
              </w:rPr>
            </w:pPr>
            <w:r>
              <w:rPr>
                <w:rFonts w:hint="eastAsia" w:ascii="宋体" w:hAnsi="宋体" w:cs="宋体"/>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其他账户</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773" w:type="dxa"/>
            <w:vMerge w:val="restart"/>
            <w:vAlign w:val="center"/>
          </w:tcPr>
          <w:p>
            <w:pPr>
              <w:widowControl/>
              <w:jc w:val="center"/>
              <w:rPr>
                <w:rFonts w:ascii="宋体" w:hAnsi="宋体" w:cs="宋体"/>
                <w:kern w:val="0"/>
                <w:sz w:val="24"/>
                <w:szCs w:val="24"/>
              </w:rPr>
            </w:pPr>
            <w:r>
              <w:rPr>
                <w:rFonts w:hint="eastAsia" w:ascii="宋体" w:hAnsi="宋体" w:cs="宋体"/>
                <w:kern w:val="0"/>
                <w:sz w:val="24"/>
                <w:szCs w:val="24"/>
              </w:rPr>
              <w:t>投资监督事项表</w:t>
            </w:r>
          </w:p>
        </w:tc>
        <w:tc>
          <w:tcPr>
            <w:tcW w:w="1704"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监督项目</w:t>
            </w:r>
          </w:p>
        </w:tc>
        <w:tc>
          <w:tcPr>
            <w:tcW w:w="7422" w:type="dxa"/>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监督内容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1"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投资范围</w:t>
            </w:r>
          </w:p>
          <w:p>
            <w:pPr>
              <w:widowControl/>
              <w:jc w:val="left"/>
              <w:rPr>
                <w:rFonts w:ascii="宋体" w:hAnsi="宋体" w:cs="宋体"/>
                <w:kern w:val="0"/>
                <w:sz w:val="24"/>
                <w:szCs w:val="24"/>
              </w:rPr>
            </w:pPr>
            <w:r>
              <w:rPr>
                <w:rFonts w:hint="eastAsia" w:ascii="宋体" w:hAnsi="宋体" w:cs="宋体"/>
                <w:kern w:val="0"/>
                <w:sz w:val="24"/>
                <w:szCs w:val="24"/>
              </w:rPr>
              <w:t>投资比例</w:t>
            </w:r>
          </w:p>
          <w:p>
            <w:pPr>
              <w:widowControl/>
              <w:jc w:val="left"/>
              <w:rPr>
                <w:rFonts w:ascii="宋体" w:hAnsi="宋体" w:cs="宋体"/>
                <w:kern w:val="0"/>
                <w:sz w:val="24"/>
                <w:szCs w:val="24"/>
              </w:rPr>
            </w:pPr>
            <w:r>
              <w:rPr>
                <w:rFonts w:hint="eastAsia" w:ascii="宋体" w:hAnsi="宋体" w:cs="宋体"/>
                <w:kern w:val="0"/>
                <w:sz w:val="24"/>
                <w:szCs w:val="24"/>
              </w:rPr>
              <w:t>投资限制</w:t>
            </w:r>
          </w:p>
        </w:tc>
        <w:tc>
          <w:tcPr>
            <w:tcW w:w="7422" w:type="dxa"/>
            <w:vAlign w:val="center"/>
          </w:tcPr>
          <w:p>
            <w:pPr>
              <w:pStyle w:val="4"/>
              <w:spacing w:before="0" w:after="0" w:line="320" w:lineRule="exact"/>
              <w:rPr>
                <w:b w:val="0"/>
                <w:sz w:val="24"/>
                <w:szCs w:val="24"/>
              </w:rPr>
            </w:pPr>
            <w:r>
              <w:rPr>
                <w:rFonts w:hint="eastAsia"/>
                <w:b w:val="0"/>
                <w:sz w:val="24"/>
                <w:szCs w:val="24"/>
              </w:rPr>
              <w:t>同理财产品说明书一致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对关联方交易的监督</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（如不涉及请填无，不可留空）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73" w:type="dxa"/>
            <w:vMerge w:val="continue"/>
            <w:vAlign w:val="center"/>
          </w:tcPr>
          <w:p>
            <w:pPr>
              <w:widowControl/>
              <w:jc w:val="left"/>
              <w:rPr>
                <w:rFonts w:ascii="宋体" w:hAnsi="宋体" w:cs="宋体"/>
                <w:kern w:val="0"/>
                <w:sz w:val="24"/>
                <w:szCs w:val="24"/>
              </w:rPr>
            </w:pPr>
          </w:p>
        </w:tc>
        <w:tc>
          <w:tcPr>
            <w:tcW w:w="1704" w:type="dxa"/>
            <w:vAlign w:val="center"/>
          </w:tcPr>
          <w:p>
            <w:pPr>
              <w:widowControl/>
              <w:jc w:val="left"/>
              <w:rPr>
                <w:rFonts w:ascii="宋体" w:hAnsi="宋体" w:cs="宋体"/>
                <w:kern w:val="0"/>
                <w:sz w:val="24"/>
                <w:szCs w:val="24"/>
              </w:rPr>
            </w:pPr>
            <w:r>
              <w:rPr>
                <w:rFonts w:hint="eastAsia" w:ascii="宋体" w:hAnsi="宋体" w:cs="宋体"/>
                <w:kern w:val="0"/>
                <w:sz w:val="24"/>
                <w:szCs w:val="24"/>
              </w:rPr>
              <w:t>备注</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如投资监督事项需要调整的，须经过甲、乙双方确认。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2477" w:type="dxa"/>
            <w:gridSpan w:val="2"/>
            <w:vAlign w:val="center"/>
          </w:tcPr>
          <w:p>
            <w:pPr>
              <w:widowControl/>
              <w:jc w:val="center"/>
              <w:rPr>
                <w:rFonts w:ascii="宋体" w:hAnsi="宋体" w:cs="宋体"/>
                <w:kern w:val="0"/>
                <w:sz w:val="24"/>
                <w:szCs w:val="24"/>
              </w:rPr>
            </w:pPr>
            <w:r>
              <w:rPr>
                <w:rFonts w:hint="eastAsia" w:ascii="宋体" w:hAnsi="宋体" w:cs="宋体"/>
                <w:kern w:val="0"/>
                <w:sz w:val="24"/>
                <w:szCs w:val="24"/>
              </w:rPr>
              <w:t>其他需约定的事项</w:t>
            </w:r>
          </w:p>
        </w:tc>
        <w:tc>
          <w:tcPr>
            <w:tcW w:w="7422" w:type="dxa"/>
            <w:vAlign w:val="center"/>
          </w:tcPr>
          <w:p>
            <w:pPr>
              <w:widowControl/>
              <w:jc w:val="left"/>
              <w:rPr>
                <w:rFonts w:ascii="宋体" w:hAnsi="宋体" w:cs="宋体"/>
                <w:kern w:val="0"/>
                <w:sz w:val="24"/>
                <w:szCs w:val="24"/>
              </w:rPr>
            </w:pPr>
            <w:r>
              <w:rPr>
                <w:rFonts w:hint="eastAsia" w:ascii="宋体" w:hAnsi="宋体" w:cs="宋体"/>
                <w:kern w:val="0"/>
                <w:sz w:val="24"/>
                <w:szCs w:val="24"/>
              </w:rPr>
              <w:t>□无</w:t>
            </w:r>
          </w:p>
          <w:p>
            <w:pPr>
              <w:widowControl/>
              <w:jc w:val="left"/>
              <w:rPr>
                <w:rFonts w:ascii="宋体" w:hAnsi="宋体" w:cs="宋体"/>
                <w:kern w:val="0"/>
                <w:sz w:val="24"/>
                <w:szCs w:val="24"/>
              </w:rPr>
            </w:pPr>
            <w:r>
              <w:rPr>
                <w:rFonts w:hint="eastAsia" w:ascii="宋体" w:hAnsi="宋体" w:cs="宋体"/>
                <w:kern w:val="0"/>
                <w:sz w:val="24"/>
                <w:szCs w:val="24"/>
              </w:rPr>
              <w:t>□有：    。</w:t>
            </w:r>
          </w:p>
        </w:tc>
      </w:tr>
    </w:tbl>
    <w:p>
      <w:pPr>
        <w:spacing w:line="360" w:lineRule="auto"/>
        <w:ind w:right="-313" w:rightChars="-149"/>
        <w:rPr>
          <w:rFonts w:ascii="宋体" w:hAnsi="宋体" w:cs="宋体"/>
          <w:sz w:val="24"/>
          <w:szCs w:val="24"/>
        </w:rPr>
      </w:pPr>
    </w:p>
    <w:p>
      <w:pPr>
        <w:spacing w:line="360" w:lineRule="auto"/>
        <w:ind w:right="-313" w:rightChars="-149"/>
        <w:rPr>
          <w:rFonts w:ascii="宋体" w:hAnsi="宋体" w:cs="宋体"/>
          <w:sz w:val="24"/>
          <w:szCs w:val="24"/>
        </w:rPr>
      </w:pPr>
      <w:r>
        <w:rPr>
          <w:rFonts w:hint="eastAsia" w:ascii="宋体" w:hAnsi="宋体" w:cs="宋体"/>
          <w:sz w:val="24"/>
          <w:szCs w:val="24"/>
        </w:rPr>
        <w:t xml:space="preserve">甲方（公章）：平安理财有限责任公司   </w:t>
      </w:r>
    </w:p>
    <w:p>
      <w:pPr>
        <w:spacing w:line="360" w:lineRule="auto"/>
        <w:rPr>
          <w:rFonts w:ascii="宋体" w:hAnsi="宋体" w:cs="宋体"/>
          <w:sz w:val="24"/>
          <w:szCs w:val="24"/>
        </w:rPr>
      </w:pPr>
      <w:r>
        <w:rPr>
          <w:rFonts w:hint="eastAsia" w:ascii="宋体" w:hAnsi="宋体" w:cs="宋体"/>
          <w:sz w:val="24"/>
          <w:szCs w:val="24"/>
        </w:rPr>
        <w:t xml:space="preserve">日期：                           </w:t>
      </w:r>
    </w:p>
    <w:p>
      <w:pPr>
        <w:widowControl/>
        <w:jc w:val="left"/>
        <w:rPr>
          <w:rFonts w:ascii="宋体" w:hAnsi="宋体" w:cs="宋体"/>
          <w:b/>
          <w:bCs/>
          <w:sz w:val="24"/>
          <w:szCs w:val="24"/>
        </w:rPr>
      </w:pPr>
    </w:p>
    <w:p>
      <w:pPr>
        <w:spacing w:line="360" w:lineRule="auto"/>
        <w:ind w:right="-313" w:rightChars="-149"/>
        <w:rPr>
          <w:rFonts w:ascii="宋体" w:hAnsi="宋体" w:cs="宋体"/>
          <w:sz w:val="24"/>
          <w:szCs w:val="24"/>
        </w:rPr>
      </w:pPr>
      <w:r>
        <w:rPr>
          <w:rFonts w:hint="eastAsia" w:ascii="宋体" w:hAnsi="宋体" w:cs="宋体"/>
          <w:sz w:val="24"/>
          <w:szCs w:val="24"/>
        </w:rPr>
        <w:t>乙方（公章）：中国民生银行股份有限公司</w:t>
      </w:r>
    </w:p>
    <w:p>
      <w:pPr>
        <w:spacing w:line="360" w:lineRule="auto"/>
        <w:ind w:right="-313" w:rightChars="-149"/>
        <w:rPr>
          <w:rFonts w:ascii="宋体" w:hAnsi="宋体" w:cs="宋体"/>
          <w:sz w:val="24"/>
          <w:szCs w:val="24"/>
        </w:rPr>
      </w:pPr>
      <w:r>
        <w:rPr>
          <w:rFonts w:hint="eastAsia" w:ascii="宋体" w:hAnsi="宋体" w:cs="宋体"/>
          <w:sz w:val="24"/>
          <w:szCs w:val="24"/>
        </w:rPr>
        <w:t>日期：</w:t>
      </w:r>
    </w:p>
    <w:p>
      <w:pPr>
        <w:widowControl/>
        <w:jc w:val="left"/>
        <w:outlineLvl w:val="0"/>
        <w:rPr>
          <w:b/>
          <w:sz w:val="32"/>
        </w:rPr>
      </w:pPr>
    </w:p>
    <w:p/>
    <w:p>
      <w:pPr>
        <w:widowControl/>
        <w:jc w:val="left"/>
        <w:rPr>
          <w:rFonts w:ascii="宋体" w:hAnsi="宋体" w:cs="宋体"/>
          <w:b/>
          <w:bCs/>
          <w:sz w:val="24"/>
          <w:szCs w:val="24"/>
        </w:rPr>
      </w:pPr>
      <w:r>
        <w:rPr>
          <w:rFonts w:hint="eastAsia" w:ascii="宋体" w:hAnsi="宋体" w:cs="宋体"/>
          <w:b/>
          <w:bCs/>
          <w:sz w:val="24"/>
          <w:szCs w:val="24"/>
        </w:rPr>
        <w:br w:type="page"/>
      </w:r>
    </w:p>
    <w:p>
      <w:pPr>
        <w:widowControl/>
        <w:jc w:val="left"/>
        <w:outlineLvl w:val="0"/>
        <w:rPr>
          <w:rFonts w:ascii="宋体" w:hAnsi="宋体" w:cs="宋体"/>
          <w:b/>
          <w:bCs/>
          <w:sz w:val="24"/>
          <w:szCs w:val="24"/>
        </w:rPr>
      </w:pPr>
      <w:r>
        <w:rPr>
          <w:rFonts w:hint="eastAsia" w:ascii="宋体" w:hAnsi="宋体" w:cs="宋体"/>
          <w:b/>
          <w:bCs/>
          <w:sz w:val="24"/>
          <w:szCs w:val="24"/>
        </w:rPr>
        <w:t>附件二：</w:t>
      </w:r>
    </w:p>
    <w:p>
      <w:pPr>
        <w:autoSpaceDE w:val="0"/>
        <w:autoSpaceDN w:val="0"/>
        <w:adjustRightInd w:val="0"/>
        <w:spacing w:line="360" w:lineRule="auto"/>
        <w:jc w:val="center"/>
        <w:rPr>
          <w:rFonts w:ascii="宋体" w:hAnsi="宋体"/>
          <w:b/>
          <w:color w:val="000000"/>
          <w:kern w:val="0"/>
          <w:sz w:val="24"/>
        </w:rPr>
      </w:pPr>
      <w:r>
        <w:rPr>
          <w:rFonts w:hint="eastAsia" w:ascii="宋体" w:hAnsi="宋体"/>
          <w:b/>
          <w:color w:val="000000"/>
          <w:kern w:val="0"/>
          <w:sz w:val="24"/>
        </w:rPr>
        <w:t>理财产品资金到账暨起始运作通知书</w:t>
      </w:r>
      <w:r>
        <w:rPr>
          <w:rFonts w:ascii="宋体" w:hAnsi="宋体"/>
          <w:b/>
          <w:color w:val="000000"/>
          <w:kern w:val="0"/>
          <w:sz w:val="24"/>
        </w:rPr>
        <w:t>(</w:t>
      </w:r>
      <w:r>
        <w:rPr>
          <w:rFonts w:hint="eastAsia" w:ascii="宋体" w:hAnsi="宋体"/>
          <w:b/>
          <w:color w:val="000000"/>
          <w:kern w:val="0"/>
          <w:sz w:val="24"/>
        </w:rPr>
        <w:t>样本</w:t>
      </w:r>
      <w:r>
        <w:rPr>
          <w:rFonts w:ascii="宋体" w:hAnsi="宋体"/>
          <w:b/>
          <w:color w:val="000000"/>
          <w:kern w:val="0"/>
          <w:sz w:val="24"/>
        </w:rPr>
        <w:t>)</w:t>
      </w:r>
    </w:p>
    <w:p>
      <w:pPr>
        <w:autoSpaceDE w:val="0"/>
        <w:autoSpaceDN w:val="0"/>
        <w:adjustRightInd w:val="0"/>
        <w:spacing w:line="360" w:lineRule="auto"/>
        <w:rPr>
          <w:rFonts w:ascii="宋体" w:hAnsi="宋体" w:cs="Arial"/>
          <w:color w:val="000000"/>
          <w:kern w:val="0"/>
          <w:sz w:val="24"/>
          <w:szCs w:val="24"/>
        </w:rPr>
      </w:pPr>
      <w:r>
        <w:rPr>
          <w:rFonts w:hint="eastAsia" w:ascii="宋体" w:hAnsi="宋体"/>
          <w:color w:val="000000"/>
          <w:kern w:val="0"/>
          <w:sz w:val="24"/>
          <w:szCs w:val="24"/>
        </w:rPr>
        <w:t>中国民生银行股份有限公司</w:t>
      </w:r>
      <w:r>
        <w:rPr>
          <w:rFonts w:hint="eastAsia" w:ascii="宋体" w:hAnsi="宋体" w:cs="Arial"/>
          <w:color w:val="000000"/>
          <w:kern w:val="0"/>
          <w:sz w:val="24"/>
          <w:szCs w:val="24"/>
        </w:rPr>
        <w:t>：</w:t>
      </w:r>
    </w:p>
    <w:p>
      <w:pPr>
        <w:autoSpaceDE w:val="0"/>
        <w:autoSpaceDN w:val="0"/>
        <w:adjustRightInd w:val="0"/>
        <w:spacing w:line="360" w:lineRule="auto"/>
        <w:ind w:left="1350" w:leftChars="300" w:hanging="720" w:hangingChars="300"/>
        <w:rPr>
          <w:rFonts w:ascii="宋体" w:hAnsi="宋体" w:cs="Arial"/>
          <w:color w:val="000000"/>
          <w:kern w:val="0"/>
          <w:sz w:val="24"/>
          <w:szCs w:val="24"/>
        </w:rPr>
      </w:pPr>
      <w:r>
        <w:rPr>
          <w:rFonts w:hint="eastAsia" w:ascii="宋体" w:hAnsi="宋体" w:cs="Arial"/>
          <w:color w:val="000000"/>
          <w:kern w:val="0"/>
          <w:sz w:val="24"/>
          <w:szCs w:val="24"/>
        </w:rPr>
        <w:t>我司</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理财产品现已销售结束，共募集资金</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 xml:space="preserve">元，并于 </w:t>
      </w:r>
      <w:r>
        <w:rPr>
          <w:rFonts w:ascii="宋体" w:hAnsi="宋体" w:cs="Arial"/>
          <w:color w:val="000000"/>
          <w:kern w:val="0"/>
          <w:sz w:val="24"/>
          <w:szCs w:val="24"/>
        </w:rPr>
        <w:t xml:space="preserve">  </w:t>
      </w: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日全额划至我司在贵行开立的托管账户。按贵我双方签</w:t>
      </w:r>
    </w:p>
    <w:p>
      <w:pPr>
        <w:autoSpaceDE w:val="0"/>
        <w:autoSpaceDN w:val="0"/>
        <w:adjustRightInd w:val="0"/>
        <w:spacing w:line="360" w:lineRule="auto"/>
        <w:rPr>
          <w:rFonts w:ascii="宋体" w:hAnsi="宋体" w:cs="Arial"/>
          <w:color w:val="000000"/>
          <w:kern w:val="0"/>
          <w:sz w:val="24"/>
          <w:szCs w:val="24"/>
        </w:rPr>
      </w:pPr>
      <w:r>
        <w:rPr>
          <w:rFonts w:hint="eastAsia" w:ascii="宋体" w:hAnsi="宋体" w:cs="Arial"/>
          <w:color w:val="000000"/>
          <w:kern w:val="0"/>
          <w:sz w:val="24"/>
          <w:szCs w:val="24"/>
        </w:rPr>
        <w:t>订的《平安理财有限责任公司理财产品托管协议》【协议编号：</w:t>
      </w:r>
      <w:r>
        <w:rPr>
          <w:rFonts w:hint="eastAsia" w:ascii="宋体" w:hAnsi="宋体" w:cs="宋体"/>
          <w:kern w:val="0"/>
          <w:sz w:val="24"/>
          <w:szCs w:val="24"/>
          <w:u w:val="single"/>
        </w:rPr>
        <w:t>平安理财民生托2</w:t>
      </w:r>
      <w:r>
        <w:rPr>
          <w:rFonts w:ascii="宋体" w:hAnsi="宋体" w:cs="宋体"/>
          <w:kern w:val="0"/>
          <w:sz w:val="24"/>
          <w:szCs w:val="24"/>
          <w:u w:val="single"/>
        </w:rPr>
        <w:t>023001</w:t>
      </w:r>
      <w:r>
        <w:rPr>
          <w:rFonts w:hint="eastAsia" w:ascii="宋体" w:hAnsi="宋体" w:cs="Arial"/>
          <w:color w:val="000000"/>
          <w:kern w:val="0"/>
          <w:sz w:val="24"/>
          <w:szCs w:val="24"/>
        </w:rPr>
        <w:t>】的约定，产品起始运作日为</w:t>
      </w:r>
      <w:r>
        <w:rPr>
          <w:rFonts w:ascii="宋体" w:hAnsi="宋体" w:cs="Arial"/>
          <w:color w:val="000000"/>
          <w:kern w:val="0"/>
          <w:sz w:val="24"/>
          <w:szCs w:val="24"/>
        </w:rPr>
        <w:t xml:space="preserve">     </w:t>
      </w: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日。请贵行予以回函确认。</w:t>
      </w:r>
    </w:p>
    <w:p>
      <w:pPr>
        <w:autoSpaceDE w:val="0"/>
        <w:autoSpaceDN w:val="0"/>
        <w:adjustRightInd w:val="0"/>
        <w:spacing w:line="360" w:lineRule="auto"/>
        <w:ind w:firstLine="1560" w:firstLineChars="650"/>
        <w:rPr>
          <w:rFonts w:ascii="宋体" w:hAnsi="宋体" w:cs="Arial"/>
          <w:color w:val="000000"/>
          <w:kern w:val="0"/>
          <w:sz w:val="24"/>
          <w:szCs w:val="24"/>
        </w:rPr>
      </w:pPr>
    </w:p>
    <w:p>
      <w:pPr>
        <w:autoSpaceDE w:val="0"/>
        <w:autoSpaceDN w:val="0"/>
        <w:adjustRightInd w:val="0"/>
        <w:spacing w:line="360" w:lineRule="auto"/>
        <w:ind w:right="1475"/>
        <w:jc w:val="right"/>
        <w:rPr>
          <w:rFonts w:ascii="宋体" w:hAnsi="宋体" w:cs="Arial"/>
          <w:color w:val="000000"/>
          <w:kern w:val="0"/>
          <w:sz w:val="24"/>
          <w:szCs w:val="24"/>
        </w:rPr>
      </w:pPr>
      <w:r>
        <w:rPr>
          <w:rFonts w:hint="eastAsia" w:ascii="宋体" w:hAnsi="宋体" w:cs="Arial"/>
          <w:b/>
          <w:color w:val="000000"/>
          <w:sz w:val="24"/>
          <w:szCs w:val="24"/>
        </w:rPr>
        <w:t>管理人</w:t>
      </w:r>
      <w:r>
        <w:rPr>
          <w:rFonts w:hint="eastAsia" w:ascii="宋体" w:hAnsi="宋体" w:cs="Arial"/>
          <w:b/>
          <w:color w:val="000000"/>
          <w:kern w:val="0"/>
          <w:sz w:val="24"/>
          <w:szCs w:val="24"/>
        </w:rPr>
        <w:t>：</w:t>
      </w:r>
      <w:r>
        <w:rPr>
          <w:rFonts w:hint="eastAsia" w:ascii="宋体" w:hAnsi="宋体" w:cs="Arial"/>
          <w:b/>
          <w:color w:val="000000"/>
          <w:sz w:val="24"/>
          <w:szCs w:val="24"/>
        </w:rPr>
        <w:t>平安理财有限责任公司</w:t>
      </w:r>
      <w:r>
        <w:rPr>
          <w:rFonts w:hint="eastAsia" w:ascii="宋体" w:hAnsi="宋体" w:cs="Arial"/>
          <w:b/>
          <w:color w:val="000000"/>
          <w:kern w:val="0"/>
          <w:sz w:val="24"/>
          <w:szCs w:val="24"/>
        </w:rPr>
        <w:t>（公章）</w:t>
      </w:r>
    </w:p>
    <w:p>
      <w:pPr>
        <w:autoSpaceDE w:val="0"/>
        <w:autoSpaceDN w:val="0"/>
        <w:adjustRightInd w:val="0"/>
        <w:spacing w:line="360" w:lineRule="auto"/>
        <w:rPr>
          <w:rFonts w:ascii="宋体" w:hAnsi="宋体" w:cs="Arial"/>
          <w:b/>
          <w:color w:val="000000"/>
          <w:kern w:val="0"/>
          <w:sz w:val="24"/>
          <w:szCs w:val="24"/>
        </w:rPr>
      </w:pPr>
      <w:r>
        <w:rPr>
          <w:rFonts w:ascii="宋体" w:hAnsi="宋体" w:cs="Arial"/>
          <w:b/>
          <w:color w:val="000000"/>
          <w:kern w:val="0"/>
          <w:sz w:val="24"/>
          <w:szCs w:val="24"/>
        </w:rPr>
        <w:t xml:space="preserve">                                </w:t>
      </w:r>
      <w:r>
        <w:rPr>
          <w:rFonts w:hint="eastAsia" w:ascii="宋体" w:hAnsi="宋体" w:cs="Arial"/>
          <w:b/>
          <w:color w:val="000000"/>
          <w:kern w:val="0"/>
          <w:sz w:val="24"/>
          <w:szCs w:val="24"/>
        </w:rPr>
        <w:t>年</w:t>
      </w:r>
      <w:r>
        <w:rPr>
          <w:rFonts w:ascii="宋体" w:hAnsi="宋体" w:cs="Arial"/>
          <w:b/>
          <w:color w:val="000000"/>
          <w:kern w:val="0"/>
          <w:sz w:val="24"/>
          <w:szCs w:val="24"/>
        </w:rPr>
        <w:t xml:space="preserve">      </w:t>
      </w:r>
      <w:r>
        <w:rPr>
          <w:rFonts w:hint="eastAsia" w:ascii="宋体" w:hAnsi="宋体" w:cs="Arial"/>
          <w:b/>
          <w:color w:val="000000"/>
          <w:kern w:val="0"/>
          <w:sz w:val="24"/>
          <w:szCs w:val="24"/>
        </w:rPr>
        <w:t xml:space="preserve">月 </w:t>
      </w:r>
      <w:r>
        <w:rPr>
          <w:rFonts w:ascii="宋体" w:hAnsi="宋体" w:cs="Arial"/>
          <w:b/>
          <w:color w:val="000000"/>
          <w:kern w:val="0"/>
          <w:sz w:val="24"/>
          <w:szCs w:val="24"/>
        </w:rPr>
        <w:t xml:space="preserve">     </w:t>
      </w:r>
      <w:r>
        <w:rPr>
          <w:rFonts w:hint="eastAsia" w:ascii="宋体" w:hAnsi="宋体" w:cs="Arial"/>
          <w:b/>
          <w:color w:val="000000"/>
          <w:kern w:val="0"/>
          <w:sz w:val="24"/>
          <w:szCs w:val="24"/>
        </w:rPr>
        <w:t>日</w:t>
      </w:r>
    </w:p>
    <w:p>
      <w:pPr>
        <w:widowControl/>
        <w:rPr>
          <w:rFonts w:ascii="宋体" w:hAnsi="宋体" w:cs="Arial"/>
          <w:b/>
          <w:color w:val="000000"/>
          <w:kern w:val="0"/>
          <w:sz w:val="24"/>
          <w:szCs w:val="24"/>
        </w:rPr>
      </w:pPr>
      <w:r>
        <w:rPr>
          <w:rFonts w:ascii="宋体" w:hAnsi="宋体" w:cs="Arial"/>
          <w:b/>
          <w:color w:val="000000"/>
          <w:kern w:val="0"/>
          <w:sz w:val="24"/>
          <w:szCs w:val="24"/>
        </w:rPr>
        <w:br w:type="page"/>
      </w:r>
    </w:p>
    <w:p>
      <w:pPr>
        <w:widowControl/>
        <w:jc w:val="left"/>
        <w:outlineLvl w:val="0"/>
        <w:rPr>
          <w:rFonts w:ascii="宋体" w:hAnsi="宋体" w:cs="宋体"/>
          <w:b/>
          <w:bCs/>
          <w:sz w:val="24"/>
          <w:szCs w:val="24"/>
        </w:rPr>
      </w:pPr>
      <w:r>
        <w:rPr>
          <w:rFonts w:hint="eastAsia" w:ascii="宋体" w:hAnsi="宋体" w:cs="宋体"/>
          <w:b/>
          <w:bCs/>
          <w:sz w:val="24"/>
          <w:szCs w:val="24"/>
        </w:rPr>
        <w:t>附件三：</w:t>
      </w:r>
    </w:p>
    <w:p>
      <w:pPr>
        <w:autoSpaceDE w:val="0"/>
        <w:autoSpaceDN w:val="0"/>
        <w:adjustRightInd w:val="0"/>
        <w:spacing w:line="360" w:lineRule="auto"/>
        <w:jc w:val="center"/>
        <w:rPr>
          <w:rFonts w:ascii="宋体" w:hAnsi="宋体" w:cs="Arial"/>
          <w:b/>
          <w:color w:val="000000"/>
          <w:kern w:val="0"/>
        </w:rPr>
      </w:pPr>
    </w:p>
    <w:p>
      <w:pPr>
        <w:autoSpaceDE w:val="0"/>
        <w:autoSpaceDN w:val="0"/>
        <w:adjustRightInd w:val="0"/>
        <w:spacing w:line="360" w:lineRule="auto"/>
        <w:jc w:val="center"/>
        <w:rPr>
          <w:rFonts w:ascii="宋体" w:hAnsi="宋体" w:cs="Arial"/>
          <w:b/>
          <w:color w:val="000000"/>
          <w:kern w:val="0"/>
        </w:rPr>
      </w:pPr>
      <w:r>
        <w:rPr>
          <w:rFonts w:hint="eastAsia" w:ascii="宋体" w:hAnsi="宋体"/>
          <w:b/>
          <w:color w:val="000000"/>
          <w:kern w:val="0"/>
          <w:sz w:val="24"/>
        </w:rPr>
        <w:t>理财产品资金到账暨起始运作通知书回执</w:t>
      </w:r>
    </w:p>
    <w:p>
      <w:pPr>
        <w:autoSpaceDE w:val="0"/>
        <w:autoSpaceDN w:val="0"/>
        <w:adjustRightInd w:val="0"/>
        <w:spacing w:line="360" w:lineRule="auto"/>
        <w:jc w:val="center"/>
        <w:rPr>
          <w:rFonts w:ascii="宋体" w:hAnsi="宋体" w:cs="Arial"/>
          <w:b/>
          <w:color w:val="000000"/>
          <w:kern w:val="0"/>
        </w:rPr>
      </w:pPr>
    </w:p>
    <w:p>
      <w:pPr>
        <w:autoSpaceDE w:val="0"/>
        <w:autoSpaceDN w:val="0"/>
        <w:adjustRightInd w:val="0"/>
        <w:spacing w:line="360" w:lineRule="auto"/>
        <w:rPr>
          <w:rFonts w:ascii="宋体" w:hAnsi="宋体" w:cs="Arial"/>
          <w:color w:val="000000"/>
          <w:kern w:val="0"/>
          <w:sz w:val="24"/>
          <w:szCs w:val="24"/>
        </w:rPr>
      </w:pPr>
      <w:r>
        <w:rPr>
          <w:rFonts w:hint="eastAsia" w:ascii="宋体" w:hAnsi="宋体"/>
          <w:color w:val="000000"/>
          <w:sz w:val="24"/>
          <w:szCs w:val="24"/>
        </w:rPr>
        <w:t>平安理财有限责任公司</w:t>
      </w:r>
      <w:r>
        <w:rPr>
          <w:rFonts w:hint="eastAsia" w:ascii="宋体" w:hAnsi="宋体" w:cs="Arial"/>
          <w:color w:val="000000"/>
          <w:kern w:val="0"/>
          <w:sz w:val="24"/>
          <w:szCs w:val="24"/>
        </w:rPr>
        <w:t>：</w:t>
      </w:r>
    </w:p>
    <w:p>
      <w:pPr>
        <w:autoSpaceDE w:val="0"/>
        <w:autoSpaceDN w:val="0"/>
        <w:adjustRightInd w:val="0"/>
        <w:spacing w:line="360" w:lineRule="auto"/>
        <w:ind w:firstLine="480" w:firstLineChars="200"/>
        <w:rPr>
          <w:rFonts w:ascii="宋体" w:hAnsi="宋体" w:cs="宋体"/>
          <w:kern w:val="0"/>
          <w:sz w:val="24"/>
          <w:szCs w:val="24"/>
          <w:u w:val="single"/>
        </w:rPr>
      </w:pPr>
      <w:r>
        <w:rPr>
          <w:rFonts w:hint="eastAsia" w:ascii="宋体" w:hAnsi="宋体" w:cs="Arial"/>
          <w:color w:val="000000"/>
          <w:kern w:val="0"/>
          <w:sz w:val="24"/>
          <w:szCs w:val="24"/>
        </w:rPr>
        <w:t>根据《平安理财有限责任公司理财产品托管协议》【协议编号：</w:t>
      </w:r>
      <w:r>
        <w:rPr>
          <w:rFonts w:hint="eastAsia" w:ascii="宋体" w:hAnsi="宋体" w:cs="宋体"/>
          <w:kern w:val="0"/>
          <w:sz w:val="24"/>
          <w:szCs w:val="24"/>
          <w:u w:val="single"/>
        </w:rPr>
        <w:t>平安理财民生托2</w:t>
      </w:r>
      <w:r>
        <w:rPr>
          <w:rFonts w:ascii="宋体" w:hAnsi="宋体" w:cs="宋体"/>
          <w:kern w:val="0"/>
          <w:sz w:val="24"/>
          <w:szCs w:val="24"/>
          <w:u w:val="single"/>
        </w:rPr>
        <w:t>023001</w:t>
      </w:r>
      <w:r>
        <w:rPr>
          <w:rFonts w:hint="eastAsia" w:ascii="宋体" w:hAnsi="宋体" w:cs="Arial"/>
          <w:color w:val="000000"/>
          <w:kern w:val="0"/>
          <w:sz w:val="24"/>
          <w:szCs w:val="24"/>
        </w:rPr>
        <w:t>】的要求，贵司</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理财产品的文件已发送至我方，资金人民币</w:t>
      </w:r>
      <w:r>
        <w:rPr>
          <w:rFonts w:ascii="宋体" w:hAnsi="宋体" w:cs="Arial"/>
          <w:color w:val="000000"/>
          <w:kern w:val="0"/>
          <w:sz w:val="24"/>
          <w:szCs w:val="24"/>
        </w:rPr>
        <w:t>_____________</w:t>
      </w:r>
      <w:r>
        <w:rPr>
          <w:rFonts w:hint="eastAsia" w:ascii="宋体" w:hAnsi="宋体" w:cs="Arial"/>
          <w:color w:val="000000"/>
          <w:kern w:val="0"/>
          <w:sz w:val="24"/>
          <w:szCs w:val="24"/>
        </w:rPr>
        <w:t>元整已划入贵司在我行开立的托管账户。我方确定</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年</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月</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日为</w:t>
      </w:r>
      <w:r>
        <w:rPr>
          <w:rFonts w:ascii="宋体" w:hAnsi="宋体" w:cs="Arial"/>
          <w:color w:val="000000"/>
          <w:kern w:val="0"/>
          <w:sz w:val="24"/>
          <w:szCs w:val="24"/>
          <w:u w:val="single"/>
        </w:rPr>
        <w:t xml:space="preserve">         </w:t>
      </w:r>
      <w:r>
        <w:rPr>
          <w:rFonts w:hint="eastAsia" w:ascii="宋体" w:hAnsi="宋体" w:cs="Arial"/>
          <w:color w:val="000000"/>
          <w:kern w:val="0"/>
          <w:sz w:val="24"/>
          <w:szCs w:val="24"/>
        </w:rPr>
        <w:t>理财产品托管账户托管业务运作的起始日。</w:t>
      </w:r>
    </w:p>
    <w:p>
      <w:pPr>
        <w:autoSpaceDE w:val="0"/>
        <w:autoSpaceDN w:val="0"/>
        <w:adjustRightInd w:val="0"/>
        <w:spacing w:line="360" w:lineRule="auto"/>
        <w:ind w:left="660" w:leftChars="200" w:hanging="240" w:hangingChars="100"/>
        <w:rPr>
          <w:rFonts w:ascii="宋体" w:hAnsi="宋体" w:cs="Arial"/>
          <w:color w:val="000000"/>
          <w:kern w:val="0"/>
          <w:sz w:val="24"/>
          <w:szCs w:val="24"/>
        </w:rPr>
      </w:pPr>
      <w:r>
        <w:rPr>
          <w:rFonts w:hint="eastAsia" w:ascii="宋体" w:hAnsi="宋体" w:cs="Arial"/>
          <w:color w:val="000000"/>
          <w:kern w:val="0"/>
          <w:sz w:val="24"/>
          <w:szCs w:val="24"/>
        </w:rPr>
        <w:t xml:space="preserve">户名： </w:t>
      </w:r>
      <w:r>
        <w:rPr>
          <w:rFonts w:ascii="宋体" w:hAnsi="宋体" w:cs="Arial"/>
          <w:color w:val="000000"/>
          <w:kern w:val="0"/>
          <w:sz w:val="24"/>
          <w:szCs w:val="24"/>
        </w:rPr>
        <w:t xml:space="preserve">                 </w:t>
      </w:r>
    </w:p>
    <w:p>
      <w:pPr>
        <w:autoSpaceDE w:val="0"/>
        <w:autoSpaceDN w:val="0"/>
        <w:adjustRightInd w:val="0"/>
        <w:spacing w:line="360" w:lineRule="auto"/>
        <w:ind w:left="660" w:leftChars="200" w:hanging="240" w:hangingChars="100"/>
        <w:rPr>
          <w:rFonts w:ascii="宋体" w:hAnsi="宋体" w:cs="Arial"/>
          <w:color w:val="000000"/>
          <w:kern w:val="0"/>
          <w:sz w:val="24"/>
          <w:szCs w:val="24"/>
        </w:rPr>
      </w:pPr>
      <w:r>
        <w:rPr>
          <w:rFonts w:hint="eastAsia" w:ascii="宋体" w:hAnsi="宋体" w:cs="Arial"/>
          <w:color w:val="000000"/>
          <w:kern w:val="0"/>
          <w:sz w:val="24"/>
          <w:szCs w:val="24"/>
        </w:rPr>
        <w:t>账号：</w:t>
      </w:r>
    </w:p>
    <w:p>
      <w:pPr>
        <w:autoSpaceDE w:val="0"/>
        <w:autoSpaceDN w:val="0"/>
        <w:adjustRightInd w:val="0"/>
        <w:spacing w:line="360" w:lineRule="auto"/>
        <w:ind w:left="660" w:leftChars="200" w:hanging="240" w:hangingChars="100"/>
        <w:rPr>
          <w:rFonts w:ascii="宋体" w:hAnsi="宋体" w:cs="Arial"/>
          <w:color w:val="000000"/>
          <w:kern w:val="0"/>
          <w:sz w:val="24"/>
          <w:szCs w:val="24"/>
        </w:rPr>
      </w:pPr>
      <w:r>
        <w:rPr>
          <w:rFonts w:hint="eastAsia" w:ascii="宋体" w:hAnsi="宋体" w:cs="Arial"/>
          <w:color w:val="000000"/>
          <w:kern w:val="0"/>
          <w:sz w:val="24"/>
          <w:szCs w:val="24"/>
        </w:rPr>
        <w:t>开户行：</w:t>
      </w:r>
    </w:p>
    <w:p>
      <w:pPr>
        <w:autoSpaceDE w:val="0"/>
        <w:autoSpaceDN w:val="0"/>
        <w:adjustRightInd w:val="0"/>
        <w:spacing w:line="360" w:lineRule="auto"/>
        <w:ind w:firstLine="480" w:firstLineChars="200"/>
        <w:rPr>
          <w:rFonts w:ascii="宋体" w:hAnsi="宋体" w:cs="Arial"/>
          <w:color w:val="000000"/>
          <w:kern w:val="0"/>
          <w:sz w:val="24"/>
          <w:szCs w:val="24"/>
        </w:rPr>
      </w:pPr>
    </w:p>
    <w:p>
      <w:pPr>
        <w:autoSpaceDE w:val="0"/>
        <w:autoSpaceDN w:val="0"/>
        <w:adjustRightInd w:val="0"/>
        <w:spacing w:line="360" w:lineRule="auto"/>
        <w:ind w:firstLine="480" w:firstLineChars="200"/>
        <w:jc w:val="left"/>
        <w:rPr>
          <w:rFonts w:ascii="宋体" w:hAnsi="宋体" w:cs="Arial"/>
          <w:color w:val="000000"/>
          <w:kern w:val="0"/>
          <w:sz w:val="24"/>
          <w:szCs w:val="24"/>
        </w:rPr>
      </w:pPr>
    </w:p>
    <w:p>
      <w:pPr>
        <w:autoSpaceDE w:val="0"/>
        <w:autoSpaceDN w:val="0"/>
        <w:adjustRightInd w:val="0"/>
        <w:spacing w:line="360" w:lineRule="auto"/>
        <w:ind w:firstLine="480" w:firstLineChars="200"/>
        <w:jc w:val="right"/>
        <w:rPr>
          <w:rFonts w:ascii="宋体" w:hAnsi="宋体" w:cs="Arial"/>
          <w:color w:val="000000"/>
          <w:kern w:val="0"/>
          <w:sz w:val="24"/>
          <w:szCs w:val="24"/>
        </w:rPr>
      </w:pPr>
      <w:r>
        <w:rPr>
          <w:rFonts w:hint="eastAsia" w:ascii="宋体" w:hAnsi="宋体" w:cs="Arial"/>
          <w:color w:val="000000"/>
          <w:kern w:val="0"/>
          <w:sz w:val="24"/>
          <w:szCs w:val="24"/>
        </w:rPr>
        <w:t xml:space="preserve"> </w:t>
      </w:r>
      <w:r>
        <w:rPr>
          <w:rFonts w:ascii="宋体" w:hAnsi="宋体" w:cs="Arial"/>
          <w:color w:val="000000"/>
          <w:kern w:val="0"/>
          <w:sz w:val="24"/>
          <w:szCs w:val="24"/>
        </w:rPr>
        <w:t xml:space="preserve"> </w:t>
      </w:r>
      <w:r>
        <w:rPr>
          <w:rFonts w:hint="eastAsia" w:ascii="宋体" w:hAnsi="宋体" w:cs="Arial"/>
          <w:color w:val="000000"/>
          <w:kern w:val="0"/>
          <w:sz w:val="24"/>
          <w:szCs w:val="24"/>
        </w:rPr>
        <w:t>中国民生银行股份有限公司（业务章）</w:t>
      </w:r>
    </w:p>
    <w:p>
      <w:pPr>
        <w:autoSpaceDE w:val="0"/>
        <w:autoSpaceDN w:val="0"/>
        <w:adjustRightInd w:val="0"/>
        <w:spacing w:line="360" w:lineRule="auto"/>
        <w:ind w:left="630" w:leftChars="300" w:firstLine="4320" w:firstLineChars="1800"/>
        <w:rPr>
          <w:rFonts w:ascii="宋体" w:hAnsi="宋体" w:cs="Arial"/>
          <w:color w:val="000000"/>
          <w:kern w:val="0"/>
          <w:sz w:val="24"/>
          <w:szCs w:val="24"/>
        </w:rPr>
      </w:pPr>
      <w:r>
        <w:rPr>
          <w:rFonts w:ascii="宋体" w:hAnsi="宋体" w:cs="Arial"/>
          <w:color w:val="000000"/>
          <w:kern w:val="0"/>
          <w:sz w:val="24"/>
          <w:szCs w:val="24"/>
        </w:rPr>
        <w:t xml:space="preserve"> </w:t>
      </w:r>
      <w:r>
        <w:rPr>
          <w:rFonts w:hint="eastAsia" w:ascii="宋体" w:hAnsi="宋体" w:cs="Arial"/>
          <w:color w:val="000000"/>
          <w:kern w:val="0"/>
          <w:sz w:val="24"/>
          <w:szCs w:val="24"/>
        </w:rPr>
        <w:t>年</w:t>
      </w:r>
      <w:r>
        <w:rPr>
          <w:rFonts w:ascii="宋体" w:hAnsi="宋体" w:cs="Arial"/>
          <w:color w:val="000000"/>
          <w:kern w:val="0"/>
          <w:sz w:val="24"/>
          <w:szCs w:val="24"/>
        </w:rPr>
        <w:t xml:space="preserve">        </w:t>
      </w:r>
      <w:r>
        <w:rPr>
          <w:rFonts w:hint="eastAsia" w:ascii="宋体" w:hAnsi="宋体" w:cs="Arial"/>
          <w:color w:val="000000"/>
          <w:kern w:val="0"/>
          <w:sz w:val="24"/>
          <w:szCs w:val="24"/>
        </w:rPr>
        <w:t>月</w:t>
      </w:r>
      <w:r>
        <w:rPr>
          <w:rFonts w:ascii="宋体" w:hAnsi="宋体" w:cs="Arial"/>
          <w:color w:val="000000"/>
          <w:kern w:val="0"/>
          <w:sz w:val="24"/>
          <w:szCs w:val="24"/>
        </w:rPr>
        <w:t xml:space="preserve">       </w:t>
      </w:r>
      <w:r>
        <w:rPr>
          <w:rFonts w:hint="eastAsia" w:ascii="宋体" w:hAnsi="宋体" w:cs="Arial"/>
          <w:color w:val="000000"/>
          <w:kern w:val="0"/>
          <w:sz w:val="24"/>
          <w:szCs w:val="24"/>
        </w:rPr>
        <w:t>日</w:t>
      </w: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p>
    <w:p>
      <w:pPr>
        <w:ind w:right="-94"/>
        <w:jc w:val="right"/>
        <w:rPr>
          <w:rFonts w:ascii="宋体" w:hAnsi="宋体" w:cs="宋体"/>
          <w:sz w:val="24"/>
          <w:szCs w:val="24"/>
        </w:rPr>
      </w:pPr>
      <w:r>
        <w:rPr>
          <w:rFonts w:hint="eastAsia" w:ascii="宋体" w:hAnsi="宋体" w:cs="宋体"/>
          <w:sz w:val="24"/>
          <w:szCs w:val="24"/>
        </w:rPr>
        <w:t xml:space="preserve"> </w:t>
      </w:r>
    </w:p>
    <w:p>
      <w:pPr>
        <w:widowControl/>
        <w:jc w:val="left"/>
        <w:outlineLvl w:val="0"/>
        <w:rPr>
          <w:rFonts w:ascii="宋体" w:hAnsi="宋体" w:cs="宋体"/>
          <w:b/>
          <w:bCs/>
          <w:sz w:val="24"/>
          <w:szCs w:val="24"/>
        </w:rPr>
      </w:pPr>
      <w:r>
        <w:rPr>
          <w:rFonts w:hint="eastAsia" w:ascii="宋体" w:hAnsi="宋体" w:cs="宋体"/>
          <w:sz w:val="24"/>
          <w:szCs w:val="24"/>
        </w:rPr>
        <w:br w:type="page"/>
      </w:r>
      <w:r>
        <w:rPr>
          <w:rFonts w:hint="eastAsia" w:ascii="宋体" w:hAnsi="宋体" w:cs="宋体"/>
          <w:b/>
          <w:bCs/>
          <w:sz w:val="24"/>
          <w:szCs w:val="24"/>
        </w:rPr>
        <w:t>附件四：</w:t>
      </w:r>
    </w:p>
    <w:p>
      <w:pPr>
        <w:ind w:right="-94"/>
        <w:jc w:val="center"/>
        <w:rPr>
          <w:rFonts w:ascii="宋体" w:hAnsi="宋体" w:cs="宋体"/>
          <w:b/>
          <w:bCs/>
          <w:kern w:val="0"/>
          <w:sz w:val="24"/>
          <w:szCs w:val="24"/>
        </w:rPr>
      </w:pPr>
      <w:r>
        <w:rPr>
          <w:rFonts w:hint="eastAsia" w:ascii="宋体" w:hAnsi="宋体" w:cs="宋体"/>
          <w:b/>
          <w:bCs/>
          <w:kern w:val="0"/>
          <w:sz w:val="24"/>
          <w:szCs w:val="24"/>
        </w:rPr>
        <w:t>托管账户划款指令（账户划款指令书）(样本)</w:t>
      </w:r>
    </w:p>
    <w:p>
      <w:pPr>
        <w:ind w:right="-94" w:firstLine="8160" w:firstLineChars="3400"/>
        <w:rPr>
          <w:rFonts w:ascii="宋体" w:hAnsi="宋体" w:cs="宋体"/>
          <w:kern w:val="0"/>
          <w:sz w:val="24"/>
          <w:szCs w:val="24"/>
        </w:rPr>
      </w:pPr>
      <w:r>
        <w:rPr>
          <w:rFonts w:hint="eastAsia" w:ascii="宋体" w:hAnsi="宋体" w:cs="宋体"/>
          <w:kern w:val="0"/>
          <w:sz w:val="24"/>
          <w:szCs w:val="24"/>
        </w:rPr>
        <w:t xml:space="preserve"> 第</w:t>
      </w:r>
      <w:r>
        <w:rPr>
          <w:rFonts w:hint="eastAsia" w:ascii="宋体" w:hAnsi="宋体" w:cs="宋体"/>
          <w:kern w:val="0"/>
          <w:sz w:val="24"/>
          <w:szCs w:val="24"/>
          <w:u w:val="single"/>
        </w:rPr>
        <w:t xml:space="preserve">   </w:t>
      </w:r>
      <w:r>
        <w:rPr>
          <w:rFonts w:hint="eastAsia" w:ascii="宋体" w:hAnsi="宋体" w:cs="宋体"/>
          <w:kern w:val="0"/>
          <w:sz w:val="24"/>
          <w:szCs w:val="24"/>
        </w:rPr>
        <w:t>号</w:t>
      </w:r>
    </w:p>
    <w:p>
      <w:pPr>
        <w:ind w:left="7380" w:leftChars="3400" w:right="-94" w:hanging="240" w:hangingChars="100"/>
        <w:rPr>
          <w:rFonts w:ascii="宋体" w:hAnsi="宋体" w:cs="宋体"/>
          <w:kern w:val="0"/>
          <w:sz w:val="24"/>
          <w:szCs w:val="24"/>
        </w:rPr>
      </w:pPr>
      <w:r>
        <w:rPr>
          <w:rFonts w:hint="eastAsia" w:ascii="宋体" w:hAnsi="宋体" w:cs="宋体"/>
          <w:kern w:val="0"/>
          <w:sz w:val="24"/>
          <w:szCs w:val="24"/>
        </w:rPr>
        <w:t>年  月  日                                                       单位：元</w:t>
      </w:r>
    </w:p>
    <w:tbl>
      <w:tblPr>
        <w:tblStyle w:val="19"/>
        <w:tblW w:w="8640" w:type="dxa"/>
        <w:tblInd w:w="-5" w:type="dxa"/>
        <w:tblLayout w:type="fixed"/>
        <w:tblCellMar>
          <w:top w:w="0" w:type="dxa"/>
          <w:left w:w="108" w:type="dxa"/>
          <w:bottom w:w="0" w:type="dxa"/>
          <w:right w:w="108" w:type="dxa"/>
        </w:tblCellMar>
      </w:tblPr>
      <w:tblGrid>
        <w:gridCol w:w="1300"/>
        <w:gridCol w:w="3540"/>
        <w:gridCol w:w="1300"/>
        <w:gridCol w:w="2500"/>
      </w:tblGrid>
      <w:tr>
        <w:tblPrEx>
          <w:tblCellMar>
            <w:top w:w="0" w:type="dxa"/>
            <w:left w:w="108" w:type="dxa"/>
            <w:bottom w:w="0" w:type="dxa"/>
            <w:right w:w="108" w:type="dxa"/>
          </w:tblCellMar>
        </w:tblPrEx>
        <w:trPr>
          <w:trHeight w:val="472" w:hRule="atLeast"/>
        </w:trPr>
        <w:tc>
          <w:tcPr>
            <w:tcW w:w="484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付款户名：</w:t>
            </w:r>
          </w:p>
        </w:tc>
        <w:tc>
          <w:tcPr>
            <w:tcW w:w="380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收款户名：</w:t>
            </w:r>
          </w:p>
        </w:tc>
      </w:tr>
      <w:tr>
        <w:tblPrEx>
          <w:tblCellMar>
            <w:top w:w="0" w:type="dxa"/>
            <w:left w:w="108" w:type="dxa"/>
            <w:bottom w:w="0" w:type="dxa"/>
            <w:right w:w="108" w:type="dxa"/>
          </w:tblCellMar>
        </w:tblPrEx>
        <w:trPr>
          <w:trHeight w:val="267" w:hRule="atLeast"/>
        </w:trPr>
        <w:tc>
          <w:tcPr>
            <w:tcW w:w="4840"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付款账号：</w:t>
            </w:r>
          </w:p>
        </w:tc>
        <w:tc>
          <w:tcPr>
            <w:tcW w:w="380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收款账号：</w:t>
            </w:r>
          </w:p>
        </w:tc>
      </w:tr>
      <w:tr>
        <w:tblPrEx>
          <w:tblCellMar>
            <w:top w:w="0" w:type="dxa"/>
            <w:left w:w="108" w:type="dxa"/>
            <w:bottom w:w="0" w:type="dxa"/>
            <w:right w:w="108" w:type="dxa"/>
          </w:tblCellMar>
        </w:tblPrEx>
        <w:trPr>
          <w:trHeight w:val="273" w:hRule="atLeast"/>
        </w:trPr>
        <w:tc>
          <w:tcPr>
            <w:tcW w:w="1300" w:type="dxa"/>
            <w:tcBorders>
              <w:top w:val="nil"/>
              <w:left w:val="single" w:color="auto" w:sz="4" w:space="0"/>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开户行：</w:t>
            </w:r>
          </w:p>
        </w:tc>
        <w:tc>
          <w:tcPr>
            <w:tcW w:w="3540" w:type="dxa"/>
            <w:tcBorders>
              <w:top w:val="nil"/>
              <w:left w:val="nil"/>
              <w:bottom w:val="nil"/>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3800" w:type="dxa"/>
            <w:gridSpan w:val="2"/>
            <w:tcBorders>
              <w:top w:val="single" w:color="auto" w:sz="4" w:space="0"/>
              <w:left w:val="nil"/>
              <w:bottom w:val="nil"/>
              <w:right w:val="single" w:color="000000"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开户行：</w:t>
            </w:r>
          </w:p>
        </w:tc>
      </w:tr>
      <w:tr>
        <w:tblPrEx>
          <w:tblCellMar>
            <w:top w:w="0" w:type="dxa"/>
            <w:left w:w="108" w:type="dxa"/>
            <w:bottom w:w="0" w:type="dxa"/>
            <w:right w:w="108" w:type="dxa"/>
          </w:tblCellMar>
        </w:tblPrEx>
        <w:trPr>
          <w:trHeight w:val="799" w:hRule="atLeast"/>
        </w:trPr>
        <w:tc>
          <w:tcPr>
            <w:tcW w:w="1300" w:type="dxa"/>
            <w:tcBorders>
              <w:top w:val="single" w:color="auto" w:sz="4" w:space="0"/>
              <w:left w:val="single" w:color="auto" w:sz="4" w:space="0"/>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支付系统号</w:t>
            </w:r>
          </w:p>
        </w:tc>
        <w:tc>
          <w:tcPr>
            <w:tcW w:w="3540" w:type="dxa"/>
            <w:tcBorders>
              <w:top w:val="single" w:color="auto" w:sz="4" w:space="0"/>
              <w:left w:val="nil"/>
              <w:bottom w:val="nil"/>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00" w:type="dxa"/>
            <w:tcBorders>
              <w:top w:val="single" w:color="auto" w:sz="4" w:space="0"/>
              <w:left w:val="nil"/>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支付系统号</w:t>
            </w:r>
          </w:p>
        </w:tc>
        <w:tc>
          <w:tcPr>
            <w:tcW w:w="2500" w:type="dxa"/>
            <w:tcBorders>
              <w:top w:val="single" w:color="auto" w:sz="4" w:space="0"/>
              <w:left w:val="nil"/>
              <w:bottom w:val="nil"/>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99" w:hRule="atLeast"/>
        </w:trPr>
        <w:tc>
          <w:tcPr>
            <w:tcW w:w="1300" w:type="dxa"/>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大写金额：</w:t>
            </w:r>
          </w:p>
        </w:tc>
        <w:tc>
          <w:tcPr>
            <w:tcW w:w="354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1300" w:type="dxa"/>
            <w:tcBorders>
              <w:top w:val="single" w:color="auto" w:sz="4" w:space="0"/>
              <w:left w:val="nil"/>
              <w:bottom w:val="single" w:color="auto" w:sz="4" w:space="0"/>
              <w:right w:val="nil"/>
            </w:tcBorders>
            <w:vAlign w:val="center"/>
          </w:tcPr>
          <w:p>
            <w:pPr>
              <w:widowControl/>
              <w:jc w:val="center"/>
              <w:rPr>
                <w:rFonts w:ascii="宋体" w:hAnsi="宋体" w:cs="宋体"/>
                <w:kern w:val="0"/>
                <w:sz w:val="24"/>
                <w:szCs w:val="24"/>
              </w:rPr>
            </w:pPr>
            <w:r>
              <w:rPr>
                <w:rFonts w:hint="eastAsia" w:ascii="宋体" w:hAnsi="宋体" w:cs="宋体"/>
                <w:kern w:val="0"/>
                <w:sz w:val="24"/>
                <w:szCs w:val="24"/>
              </w:rPr>
              <w:t>小写金额：</w:t>
            </w:r>
          </w:p>
        </w:tc>
        <w:tc>
          <w:tcPr>
            <w:tcW w:w="250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95" w:hRule="atLeast"/>
        </w:trPr>
        <w:tc>
          <w:tcPr>
            <w:tcW w:w="1300" w:type="dxa"/>
            <w:tcBorders>
              <w:top w:val="nil"/>
              <w:left w:val="single" w:color="auto" w:sz="4" w:space="0"/>
              <w:bottom w:val="single" w:color="auto" w:sz="4" w:space="0"/>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支付日期：</w:t>
            </w:r>
          </w:p>
        </w:tc>
        <w:tc>
          <w:tcPr>
            <w:tcW w:w="354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年 月 日</w:t>
            </w:r>
          </w:p>
        </w:tc>
        <w:tc>
          <w:tcPr>
            <w:tcW w:w="3800" w:type="dxa"/>
            <w:gridSpan w:val="2"/>
            <w:tcBorders>
              <w:top w:val="nil"/>
              <w:left w:val="nil"/>
              <w:bottom w:val="single" w:color="auto" w:sz="4" w:space="0"/>
              <w:right w:val="single" w:color="000000"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197" w:hRule="atLeast"/>
        </w:trPr>
        <w:tc>
          <w:tcPr>
            <w:tcW w:w="8640" w:type="dxa"/>
            <w:gridSpan w:val="4"/>
            <w:tcBorders>
              <w:top w:val="single" w:color="auto" w:sz="4" w:space="0"/>
              <w:left w:val="single" w:color="auto" w:sz="4" w:space="0"/>
              <w:bottom w:val="single" w:color="auto" w:sz="4" w:space="0"/>
              <w:right w:val="single" w:color="000000" w:sz="4" w:space="0"/>
            </w:tcBorders>
          </w:tcPr>
          <w:p>
            <w:pPr>
              <w:widowControl/>
              <w:jc w:val="left"/>
              <w:rPr>
                <w:rFonts w:ascii="宋体" w:hAnsi="宋体" w:cs="宋体"/>
                <w:kern w:val="0"/>
                <w:sz w:val="24"/>
                <w:szCs w:val="24"/>
              </w:rPr>
            </w:pPr>
            <w:r>
              <w:rPr>
                <w:rFonts w:hint="eastAsia" w:ascii="宋体" w:hAnsi="宋体" w:cs="宋体"/>
                <w:kern w:val="0"/>
                <w:sz w:val="24"/>
                <w:szCs w:val="24"/>
              </w:rPr>
              <w:t>划款事由及备注：</w:t>
            </w:r>
          </w:p>
        </w:tc>
      </w:tr>
      <w:tr>
        <w:tblPrEx>
          <w:tblCellMar>
            <w:top w:w="0" w:type="dxa"/>
            <w:left w:w="108" w:type="dxa"/>
            <w:bottom w:w="0" w:type="dxa"/>
            <w:right w:w="108" w:type="dxa"/>
          </w:tblCellMar>
        </w:tblPrEx>
        <w:trPr>
          <w:trHeight w:val="3533" w:hRule="atLeast"/>
        </w:trPr>
        <w:tc>
          <w:tcPr>
            <w:tcW w:w="8640" w:type="dxa"/>
            <w:gridSpan w:val="4"/>
            <w:tcBorders>
              <w:top w:val="single" w:color="auto" w:sz="4" w:space="0"/>
              <w:left w:val="single" w:color="auto" w:sz="4" w:space="0"/>
              <w:bottom w:val="single" w:color="auto" w:sz="4" w:space="0"/>
              <w:right w:val="single" w:color="000000" w:sz="4" w:space="0"/>
            </w:tcBorders>
          </w:tcPr>
          <w:p>
            <w:pPr>
              <w:widowControl/>
              <w:jc w:val="left"/>
              <w:rPr>
                <w:rFonts w:hint="eastAsia" w:ascii="宋体" w:hAnsi="宋体" w:cs="宋体"/>
                <w:kern w:val="0"/>
                <w:sz w:val="24"/>
                <w:szCs w:val="24"/>
              </w:rPr>
            </w:pPr>
            <w:r>
              <w:rPr>
                <w:rFonts w:hint="eastAsia" w:ascii="宋体" w:hAnsi="宋体" w:cs="宋体"/>
                <w:kern w:val="0"/>
                <w:sz w:val="24"/>
                <w:szCs w:val="24"/>
              </w:rPr>
              <w:t>经办：</w:t>
            </w:r>
          </w:p>
          <w:p>
            <w:pPr>
              <w:pStyle w:val="2"/>
              <w:rPr>
                <w:rFonts w:hint="eastAsia"/>
              </w:rPr>
            </w:pPr>
          </w:p>
          <w:p>
            <w:pPr>
              <w:widowControl/>
              <w:jc w:val="left"/>
              <w:rPr>
                <w:rFonts w:hint="eastAsia" w:ascii="宋体" w:hAnsi="宋体" w:cs="宋体"/>
                <w:kern w:val="0"/>
                <w:sz w:val="24"/>
                <w:szCs w:val="24"/>
              </w:rPr>
            </w:pPr>
            <w:r>
              <w:rPr>
                <w:rFonts w:hint="eastAsia" w:ascii="宋体" w:hAnsi="宋体" w:cs="宋体"/>
                <w:kern w:val="0"/>
                <w:sz w:val="24"/>
                <w:szCs w:val="24"/>
              </w:rPr>
              <w:t>复核：</w:t>
            </w:r>
          </w:p>
          <w:p>
            <w:pPr>
              <w:pStyle w:val="2"/>
              <w:rPr>
                <w:rFonts w:hint="eastAsia"/>
              </w:rPr>
            </w:pP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t>预留印鉴章：</w:t>
            </w:r>
          </w:p>
          <w:p>
            <w:pPr>
              <w:pStyle w:val="4"/>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640" w:type="dxa"/>
            <w:gridSpan w:val="4"/>
            <w:tcBorders>
              <w:top w:val="single" w:color="auto" w:sz="4" w:space="0"/>
            </w:tcBorders>
          </w:tcPr>
          <w:p>
            <w:pPr>
              <w:ind w:right="1680"/>
              <w:rPr>
                <w:rFonts w:ascii="宋体" w:hAnsi="宋体" w:cs="宋体"/>
                <w:kern w:val="0"/>
                <w:sz w:val="24"/>
                <w:szCs w:val="24"/>
              </w:rPr>
            </w:pPr>
          </w:p>
        </w:tc>
      </w:tr>
    </w:tbl>
    <w:p>
      <w:pPr>
        <w:ind w:right="1680"/>
        <w:jc w:val="left"/>
        <w:rPr>
          <w:rFonts w:ascii="宋体" w:hAnsi="宋体"/>
          <w:sz w:val="24"/>
          <w:szCs w:val="28"/>
        </w:rPr>
      </w:pPr>
      <w:r>
        <w:rPr>
          <w:rFonts w:hint="eastAsia" w:ascii="宋体" w:hAnsi="宋体" w:cs="宋体"/>
          <w:kern w:val="0"/>
          <w:sz w:val="24"/>
          <w:szCs w:val="24"/>
        </w:rPr>
        <w:t>重要提示：</w:t>
      </w:r>
      <w:r>
        <w:rPr>
          <w:rFonts w:hint="eastAsia" w:ascii="宋体" w:hAnsi="宋体" w:cs="宋体"/>
          <w:kern w:val="0"/>
          <w:sz w:val="24"/>
          <w:szCs w:val="24"/>
        </w:rPr>
        <w:br w:type="textWrapping"/>
      </w:r>
      <w:r>
        <w:rPr>
          <w:rFonts w:hint="eastAsia" w:ascii="宋体" w:hAnsi="宋体"/>
          <w:sz w:val="24"/>
          <w:szCs w:val="28"/>
        </w:rPr>
        <w:t xml:space="preserve">1、划款指令审核无误后，托管银行按照托管协议的约定办理资 金划拨。 </w:t>
      </w:r>
      <w:r>
        <w:rPr>
          <w:rFonts w:ascii="宋体" w:hAnsi="宋体"/>
          <w:sz w:val="24"/>
          <w:szCs w:val="28"/>
        </w:rPr>
        <w:t xml:space="preserve">      </w:t>
      </w:r>
      <w:r>
        <w:rPr>
          <w:rFonts w:hint="eastAsia" w:ascii="宋体" w:hAnsi="宋体"/>
          <w:sz w:val="24"/>
          <w:szCs w:val="28"/>
        </w:rPr>
        <w:br w:type="textWrapping"/>
      </w:r>
      <w:r>
        <w:rPr>
          <w:rFonts w:hint="eastAsia" w:ascii="宋体" w:hAnsi="宋体"/>
          <w:sz w:val="24"/>
          <w:szCs w:val="28"/>
        </w:rPr>
        <w:t>2、划款指令必须附有托管协议约定的文件资料，其中，费用划款指令须附有相关发票、协议等相关证明文件和材料。</w:t>
      </w:r>
    </w:p>
    <w:p>
      <w:pPr>
        <w:widowControl/>
        <w:spacing w:line="360" w:lineRule="auto"/>
        <w:jc w:val="left"/>
        <w:outlineLvl w:val="0"/>
        <w:rPr>
          <w:rFonts w:ascii="宋体" w:hAnsi="宋体" w:cs="宋体"/>
          <w:b/>
          <w:bCs/>
          <w:sz w:val="24"/>
          <w:szCs w:val="24"/>
        </w:rPr>
      </w:pPr>
      <w:bookmarkStart w:id="235" w:name="_Toc18057728"/>
      <w:bookmarkStart w:id="236" w:name="_Toc22802444"/>
      <w:bookmarkStart w:id="237" w:name="_Toc19177218"/>
      <w:bookmarkStart w:id="238" w:name="_Toc4637"/>
      <w:bookmarkStart w:id="239" w:name="_Toc27339"/>
      <w:bookmarkStart w:id="240" w:name="_Toc18057178"/>
      <w:bookmarkStart w:id="241" w:name="_Toc19508"/>
      <w:bookmarkStart w:id="242" w:name="_Toc18057353"/>
      <w:bookmarkStart w:id="243" w:name="_Toc2365"/>
      <w:bookmarkStart w:id="244" w:name="_Toc18057790"/>
      <w:bookmarkStart w:id="245" w:name="_Toc18057251"/>
      <w:bookmarkStart w:id="246" w:name="_Toc24349"/>
      <w:r>
        <w:rPr>
          <w:rFonts w:hint="eastAsia" w:ascii="宋体" w:hAnsi="宋体" w:cs="宋体"/>
          <w:kern w:val="0"/>
          <w:sz w:val="24"/>
          <w:szCs w:val="24"/>
        </w:rPr>
        <w:br w:type="page"/>
      </w:r>
      <w:bookmarkStart w:id="247" w:name="_Toc24076"/>
      <w:r>
        <w:rPr>
          <w:rFonts w:hint="eastAsia" w:ascii="宋体" w:hAnsi="宋体" w:cs="宋体"/>
          <w:b/>
          <w:bCs/>
          <w:sz w:val="24"/>
          <w:szCs w:val="24"/>
        </w:rPr>
        <w:t>附件五：</w:t>
      </w:r>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360" w:lineRule="auto"/>
        <w:ind w:firstLine="482" w:firstLineChars="200"/>
        <w:jc w:val="center"/>
        <w:rPr>
          <w:rFonts w:ascii="宋体" w:hAnsi="宋体" w:cs="宋体"/>
          <w:b/>
          <w:bCs/>
          <w:sz w:val="24"/>
          <w:szCs w:val="24"/>
        </w:rPr>
      </w:pPr>
      <w:r>
        <w:rPr>
          <w:rFonts w:hint="eastAsia" w:ascii="宋体" w:hAnsi="宋体" w:cs="宋体"/>
          <w:b/>
          <w:bCs/>
          <w:sz w:val="24"/>
          <w:szCs w:val="24"/>
        </w:rPr>
        <w:t>托管账户划款指令授权书</w:t>
      </w:r>
    </w:p>
    <w:p>
      <w:pPr>
        <w:spacing w:line="360" w:lineRule="auto"/>
        <w:rPr>
          <w:rFonts w:ascii="宋体" w:hAnsi="宋体" w:cs="宋体"/>
          <w:sz w:val="24"/>
          <w:szCs w:val="24"/>
        </w:rPr>
      </w:pPr>
      <w:r>
        <w:rPr>
          <w:rFonts w:hint="eastAsia" w:ascii="宋体" w:hAnsi="宋体" w:cs="宋体"/>
          <w:sz w:val="24"/>
          <w:szCs w:val="24"/>
        </w:rPr>
        <w:t>尊敬的托管人：</w:t>
      </w:r>
    </w:p>
    <w:p>
      <w:pPr>
        <w:spacing w:line="360" w:lineRule="auto"/>
        <w:ind w:firstLine="480" w:firstLineChars="200"/>
        <w:rPr>
          <w:rFonts w:ascii="宋体" w:hAnsi="宋体" w:cs="宋体"/>
          <w:sz w:val="24"/>
          <w:szCs w:val="24"/>
        </w:rPr>
      </w:pPr>
      <w:r>
        <w:rPr>
          <w:rFonts w:hint="eastAsia" w:ascii="宋体" w:hAnsi="宋体"/>
          <w:sz w:val="24"/>
          <w:szCs w:val="28"/>
        </w:rPr>
        <w:t>对于由我司管理、由贵行托管的理财产品，将优先采用深证通/其他电子直连的方式发送托管账户划款指令及相关附件。因系统异常等原因导致指令或附件无法通过直连方式发送的，我司将通过线下方式发送。</w:t>
      </w:r>
      <w:r>
        <w:rPr>
          <w:rFonts w:hint="eastAsia" w:ascii="宋体" w:hAnsi="宋体" w:cs="宋体"/>
          <w:sz w:val="24"/>
          <w:szCs w:val="24"/>
        </w:rPr>
        <w:t>我公司授权以下人员为托管账户划款指令有权签字人员，代表我司向贵行发送托管协议项下资金划拨指令以及其他相关附件。用章样本及有关人员签字样本、授权的邮箱及联系方式如下，请留存核验，本授权书生效日期以落款日期为准。在上述被授权人授权范围内，我公司确保向你行发送指令的真实性、准确性及合法性，并承担全部责任。</w:t>
      </w:r>
    </w:p>
    <w:tbl>
      <w:tblPr>
        <w:tblStyle w:val="19"/>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418"/>
        <w:gridCol w:w="1417"/>
        <w:gridCol w:w="382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1418" w:type="dxa"/>
            <w:vAlign w:val="center"/>
          </w:tcPr>
          <w:p>
            <w:pPr>
              <w:spacing w:line="360" w:lineRule="auto"/>
              <w:jc w:val="center"/>
              <w:rPr>
                <w:rFonts w:ascii="宋体" w:hAnsi="宋体" w:cs="宋体"/>
                <w:sz w:val="24"/>
                <w:szCs w:val="24"/>
              </w:rPr>
            </w:pPr>
            <w:r>
              <w:rPr>
                <w:rFonts w:hint="eastAsia" w:ascii="宋体" w:hAnsi="宋体" w:cs="宋体"/>
                <w:sz w:val="24"/>
                <w:szCs w:val="24"/>
              </w:rPr>
              <w:t>权限</w:t>
            </w:r>
          </w:p>
        </w:tc>
        <w:tc>
          <w:tcPr>
            <w:tcW w:w="1417" w:type="dxa"/>
          </w:tcPr>
          <w:p>
            <w:pPr>
              <w:spacing w:line="360" w:lineRule="auto"/>
              <w:rPr>
                <w:rFonts w:ascii="宋体" w:hAnsi="宋体" w:cs="宋体"/>
                <w:sz w:val="24"/>
                <w:szCs w:val="24"/>
              </w:rPr>
            </w:pPr>
            <w:r>
              <w:rPr>
                <w:rFonts w:hint="eastAsia" w:ascii="宋体" w:hAnsi="宋体" w:cs="宋体"/>
                <w:sz w:val="24"/>
                <w:szCs w:val="24"/>
              </w:rPr>
              <w:t>签字样本/印章样本</w:t>
            </w:r>
          </w:p>
        </w:tc>
        <w:tc>
          <w:tcPr>
            <w:tcW w:w="3828" w:type="dxa"/>
            <w:vAlign w:val="center"/>
          </w:tcPr>
          <w:p>
            <w:pPr>
              <w:spacing w:line="360" w:lineRule="auto"/>
              <w:jc w:val="center"/>
              <w:rPr>
                <w:rFonts w:ascii="宋体" w:hAnsi="宋体" w:cs="宋体"/>
                <w:sz w:val="24"/>
                <w:szCs w:val="24"/>
              </w:rPr>
            </w:pPr>
            <w:r>
              <w:rPr>
                <w:rFonts w:hint="eastAsia" w:ascii="宋体" w:hAnsi="宋体" w:cs="宋体"/>
                <w:sz w:val="24"/>
                <w:szCs w:val="24"/>
              </w:rPr>
              <w:t>邮箱</w:t>
            </w:r>
          </w:p>
        </w:tc>
        <w:tc>
          <w:tcPr>
            <w:tcW w:w="1842" w:type="dxa"/>
            <w:vAlign w:val="center"/>
          </w:tcPr>
          <w:p>
            <w:pPr>
              <w:spacing w:line="360" w:lineRule="auto"/>
              <w:jc w:val="center"/>
              <w:rPr>
                <w:rFonts w:ascii="宋体" w:hAnsi="宋体" w:cs="宋体"/>
                <w:sz w:val="24"/>
                <w:szCs w:val="24"/>
              </w:rPr>
            </w:pP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1276" w:type="dxa"/>
            <w:vAlign w:val="center"/>
          </w:tcPr>
          <w:p>
            <w:pPr>
              <w:spacing w:line="660" w:lineRule="exact"/>
              <w:jc w:val="center"/>
              <w:rPr>
                <w:rFonts w:ascii="宋体" w:hAnsi="宋体" w:cs="宋体"/>
                <w:sz w:val="24"/>
                <w:szCs w:val="24"/>
              </w:rPr>
            </w:pPr>
          </w:p>
        </w:tc>
        <w:tc>
          <w:tcPr>
            <w:tcW w:w="1418" w:type="dxa"/>
            <w:vMerge w:val="restart"/>
            <w:vAlign w:val="center"/>
          </w:tcPr>
          <w:p>
            <w:pPr>
              <w:spacing w:line="660" w:lineRule="exact"/>
              <w:jc w:val="center"/>
              <w:rPr>
                <w:rFonts w:ascii="宋体" w:hAnsi="宋体" w:cs="宋体"/>
                <w:sz w:val="24"/>
                <w:szCs w:val="24"/>
              </w:rPr>
            </w:pPr>
            <w:r>
              <w:rPr>
                <w:rFonts w:hint="eastAsia" w:ascii="宋体" w:hAnsi="宋体" w:cs="宋体"/>
                <w:sz w:val="24"/>
                <w:szCs w:val="24"/>
              </w:rPr>
              <w:t>经办与复核</w:t>
            </w:r>
          </w:p>
        </w:tc>
        <w:tc>
          <w:tcPr>
            <w:tcW w:w="1417" w:type="dxa"/>
            <w:vAlign w:val="center"/>
          </w:tcPr>
          <w:p>
            <w:pPr>
              <w:spacing w:line="660" w:lineRule="exact"/>
              <w:jc w:val="center"/>
              <w:rPr>
                <w:rFonts w:ascii="宋体" w:hAnsi="宋体" w:cs="宋体"/>
                <w:sz w:val="24"/>
                <w:szCs w:val="24"/>
              </w:rPr>
            </w:pPr>
          </w:p>
        </w:tc>
        <w:tc>
          <w:tcPr>
            <w:tcW w:w="3828" w:type="dxa"/>
            <w:vAlign w:val="center"/>
          </w:tcPr>
          <w:p>
            <w:pPr>
              <w:spacing w:line="660" w:lineRule="exact"/>
              <w:rPr>
                <w:rFonts w:ascii="宋体" w:hAnsi="宋体" w:cs="宋体"/>
                <w:sz w:val="24"/>
                <w:szCs w:val="24"/>
              </w:rPr>
            </w:pPr>
          </w:p>
        </w:tc>
        <w:tc>
          <w:tcPr>
            <w:tcW w:w="1842" w:type="dxa"/>
            <w:vAlign w:val="center"/>
          </w:tcPr>
          <w:p>
            <w:pPr>
              <w:spacing w:line="6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6" w:type="dxa"/>
            <w:vAlign w:val="center"/>
          </w:tcPr>
          <w:p>
            <w:pPr>
              <w:spacing w:line="660" w:lineRule="exact"/>
              <w:jc w:val="center"/>
              <w:rPr>
                <w:rFonts w:ascii="宋体" w:hAnsi="宋体" w:cs="宋体"/>
                <w:sz w:val="24"/>
                <w:szCs w:val="24"/>
              </w:rPr>
            </w:pPr>
          </w:p>
        </w:tc>
        <w:tc>
          <w:tcPr>
            <w:tcW w:w="1418" w:type="dxa"/>
            <w:vMerge w:val="continue"/>
            <w:vAlign w:val="center"/>
          </w:tcPr>
          <w:p>
            <w:pPr>
              <w:spacing w:line="660" w:lineRule="exact"/>
              <w:ind w:firstLine="480" w:firstLineChars="200"/>
              <w:jc w:val="center"/>
              <w:rPr>
                <w:rFonts w:ascii="宋体" w:hAnsi="宋体" w:cs="宋体"/>
                <w:sz w:val="24"/>
                <w:szCs w:val="24"/>
              </w:rPr>
            </w:pPr>
          </w:p>
        </w:tc>
        <w:tc>
          <w:tcPr>
            <w:tcW w:w="1417" w:type="dxa"/>
            <w:vAlign w:val="center"/>
          </w:tcPr>
          <w:p>
            <w:pPr>
              <w:spacing w:line="660" w:lineRule="exact"/>
              <w:jc w:val="center"/>
              <w:rPr>
                <w:rFonts w:ascii="宋体" w:hAnsi="宋体" w:cs="宋体"/>
                <w:sz w:val="24"/>
                <w:szCs w:val="24"/>
              </w:rPr>
            </w:pPr>
          </w:p>
        </w:tc>
        <w:tc>
          <w:tcPr>
            <w:tcW w:w="3828" w:type="dxa"/>
            <w:vAlign w:val="center"/>
          </w:tcPr>
          <w:p>
            <w:pPr>
              <w:spacing w:line="660" w:lineRule="exact"/>
              <w:rPr>
                <w:rFonts w:ascii="宋体" w:hAnsi="宋体" w:cs="宋体"/>
                <w:sz w:val="24"/>
                <w:szCs w:val="24"/>
              </w:rPr>
            </w:pPr>
          </w:p>
        </w:tc>
        <w:tc>
          <w:tcPr>
            <w:tcW w:w="1842" w:type="dxa"/>
            <w:vAlign w:val="center"/>
          </w:tcPr>
          <w:p>
            <w:pPr>
              <w:spacing w:line="6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660" w:lineRule="exact"/>
              <w:jc w:val="center"/>
              <w:rPr>
                <w:rFonts w:ascii="宋体" w:hAnsi="宋体" w:cs="宋体"/>
                <w:sz w:val="24"/>
                <w:szCs w:val="24"/>
              </w:rPr>
            </w:pPr>
          </w:p>
        </w:tc>
        <w:tc>
          <w:tcPr>
            <w:tcW w:w="1418" w:type="dxa"/>
            <w:vMerge w:val="continue"/>
            <w:vAlign w:val="center"/>
          </w:tcPr>
          <w:p>
            <w:pPr>
              <w:spacing w:line="660" w:lineRule="exact"/>
              <w:ind w:firstLine="480" w:firstLineChars="200"/>
              <w:jc w:val="center"/>
              <w:rPr>
                <w:rFonts w:ascii="宋体" w:hAnsi="宋体" w:cs="宋体"/>
                <w:sz w:val="24"/>
                <w:szCs w:val="24"/>
              </w:rPr>
            </w:pPr>
          </w:p>
        </w:tc>
        <w:tc>
          <w:tcPr>
            <w:tcW w:w="1417" w:type="dxa"/>
            <w:vAlign w:val="center"/>
          </w:tcPr>
          <w:p>
            <w:pPr>
              <w:spacing w:line="660" w:lineRule="exact"/>
              <w:jc w:val="center"/>
              <w:rPr>
                <w:rFonts w:ascii="宋体" w:hAnsi="宋体" w:cs="宋体"/>
                <w:sz w:val="24"/>
                <w:szCs w:val="24"/>
              </w:rPr>
            </w:pPr>
          </w:p>
        </w:tc>
        <w:tc>
          <w:tcPr>
            <w:tcW w:w="3828" w:type="dxa"/>
            <w:vAlign w:val="center"/>
          </w:tcPr>
          <w:p>
            <w:pPr>
              <w:spacing w:line="660" w:lineRule="exact"/>
              <w:rPr>
                <w:rFonts w:ascii="宋体" w:hAnsi="宋体" w:cs="宋体"/>
                <w:sz w:val="24"/>
                <w:szCs w:val="24"/>
              </w:rPr>
            </w:pPr>
          </w:p>
        </w:tc>
        <w:tc>
          <w:tcPr>
            <w:tcW w:w="1842" w:type="dxa"/>
            <w:vAlign w:val="center"/>
          </w:tcPr>
          <w:p>
            <w:pPr>
              <w:spacing w:line="6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660" w:lineRule="exact"/>
              <w:jc w:val="center"/>
              <w:rPr>
                <w:rFonts w:ascii="宋体" w:hAnsi="宋体" w:cs="宋体"/>
                <w:sz w:val="24"/>
                <w:szCs w:val="24"/>
              </w:rPr>
            </w:pPr>
          </w:p>
        </w:tc>
        <w:tc>
          <w:tcPr>
            <w:tcW w:w="1418" w:type="dxa"/>
            <w:vMerge w:val="continue"/>
            <w:vAlign w:val="center"/>
          </w:tcPr>
          <w:p>
            <w:pPr>
              <w:spacing w:line="660" w:lineRule="exact"/>
              <w:ind w:firstLine="480" w:firstLineChars="200"/>
              <w:jc w:val="center"/>
              <w:rPr>
                <w:rFonts w:ascii="宋体" w:hAnsi="宋体" w:cs="宋体"/>
                <w:sz w:val="24"/>
                <w:szCs w:val="24"/>
              </w:rPr>
            </w:pPr>
          </w:p>
        </w:tc>
        <w:tc>
          <w:tcPr>
            <w:tcW w:w="1417" w:type="dxa"/>
            <w:vAlign w:val="center"/>
          </w:tcPr>
          <w:p>
            <w:pPr>
              <w:spacing w:line="660" w:lineRule="exact"/>
              <w:jc w:val="center"/>
              <w:rPr>
                <w:rFonts w:ascii="宋体" w:hAnsi="宋体" w:cs="宋体"/>
                <w:sz w:val="24"/>
                <w:szCs w:val="24"/>
              </w:rPr>
            </w:pPr>
          </w:p>
        </w:tc>
        <w:tc>
          <w:tcPr>
            <w:tcW w:w="3828" w:type="dxa"/>
            <w:vAlign w:val="center"/>
          </w:tcPr>
          <w:p>
            <w:pPr>
              <w:spacing w:line="660" w:lineRule="exact"/>
              <w:rPr>
                <w:rFonts w:ascii="宋体" w:hAnsi="宋体" w:cs="宋体"/>
                <w:sz w:val="24"/>
                <w:szCs w:val="24"/>
              </w:rPr>
            </w:pPr>
          </w:p>
        </w:tc>
        <w:tc>
          <w:tcPr>
            <w:tcW w:w="1842" w:type="dxa"/>
            <w:vAlign w:val="center"/>
          </w:tcPr>
          <w:p>
            <w:pPr>
              <w:spacing w:line="6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660" w:lineRule="exact"/>
              <w:jc w:val="center"/>
              <w:rPr>
                <w:rFonts w:ascii="宋体" w:hAnsi="宋体" w:cs="宋体"/>
                <w:sz w:val="24"/>
                <w:szCs w:val="24"/>
              </w:rPr>
            </w:pPr>
          </w:p>
        </w:tc>
        <w:tc>
          <w:tcPr>
            <w:tcW w:w="1418" w:type="dxa"/>
            <w:vMerge w:val="continue"/>
            <w:vAlign w:val="center"/>
          </w:tcPr>
          <w:p>
            <w:pPr>
              <w:spacing w:line="660" w:lineRule="exact"/>
              <w:ind w:firstLine="480" w:firstLineChars="200"/>
              <w:jc w:val="center"/>
              <w:rPr>
                <w:rFonts w:ascii="宋体" w:hAnsi="宋体" w:cs="宋体"/>
                <w:sz w:val="24"/>
                <w:szCs w:val="24"/>
              </w:rPr>
            </w:pPr>
          </w:p>
        </w:tc>
        <w:tc>
          <w:tcPr>
            <w:tcW w:w="1417" w:type="dxa"/>
            <w:vAlign w:val="center"/>
          </w:tcPr>
          <w:p>
            <w:pPr>
              <w:spacing w:line="660" w:lineRule="exact"/>
              <w:jc w:val="center"/>
              <w:rPr>
                <w:rFonts w:ascii="宋体" w:hAnsi="宋体" w:cs="宋体"/>
                <w:sz w:val="24"/>
                <w:szCs w:val="24"/>
              </w:rPr>
            </w:pPr>
          </w:p>
        </w:tc>
        <w:tc>
          <w:tcPr>
            <w:tcW w:w="3828" w:type="dxa"/>
            <w:vAlign w:val="center"/>
          </w:tcPr>
          <w:p>
            <w:pPr>
              <w:spacing w:line="660" w:lineRule="exact"/>
              <w:rPr>
                <w:rFonts w:ascii="宋体" w:hAnsi="宋体" w:cs="宋体"/>
                <w:sz w:val="24"/>
                <w:szCs w:val="24"/>
              </w:rPr>
            </w:pPr>
          </w:p>
        </w:tc>
        <w:tc>
          <w:tcPr>
            <w:tcW w:w="1842" w:type="dxa"/>
            <w:vAlign w:val="center"/>
          </w:tcPr>
          <w:p>
            <w:pPr>
              <w:spacing w:line="6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276" w:type="dxa"/>
          </w:tcPr>
          <w:p>
            <w:pPr>
              <w:spacing w:line="360" w:lineRule="auto"/>
              <w:rPr>
                <w:rFonts w:ascii="宋体" w:hAnsi="宋体" w:cs="宋体"/>
                <w:sz w:val="24"/>
                <w:szCs w:val="24"/>
              </w:rPr>
            </w:pPr>
            <w:r>
              <w:rPr>
                <w:rFonts w:hint="eastAsia" w:ascii="宋体" w:hAnsi="宋体" w:cs="宋体"/>
                <w:sz w:val="24"/>
                <w:szCs w:val="24"/>
              </w:rPr>
              <w:t>其他邮箱</w:t>
            </w:r>
          </w:p>
        </w:tc>
        <w:tc>
          <w:tcPr>
            <w:tcW w:w="8505" w:type="dxa"/>
            <w:gridSpan w:val="4"/>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1276" w:type="dxa"/>
            <w:vAlign w:val="center"/>
          </w:tcPr>
          <w:p>
            <w:pPr>
              <w:spacing w:line="360" w:lineRule="auto"/>
              <w:jc w:val="center"/>
              <w:rPr>
                <w:rFonts w:ascii="宋体" w:hAnsi="宋体" w:cs="宋体"/>
                <w:sz w:val="24"/>
                <w:szCs w:val="24"/>
              </w:rPr>
            </w:pPr>
            <w:r>
              <w:rPr>
                <w:rFonts w:hint="eastAsia" w:ascii="宋体" w:hAnsi="宋体" w:cs="宋体"/>
                <w:sz w:val="24"/>
                <w:szCs w:val="24"/>
              </w:rPr>
              <w:t>指令发送专用章</w:t>
            </w:r>
          </w:p>
        </w:tc>
        <w:tc>
          <w:tcPr>
            <w:tcW w:w="8505" w:type="dxa"/>
            <w:gridSpan w:val="4"/>
            <w:vAlign w:val="center"/>
          </w:tcPr>
          <w:p>
            <w:pPr>
              <w:spacing w:line="360" w:lineRule="auto"/>
              <w:rPr>
                <w:rFonts w:ascii="宋体" w:hAnsi="宋体" w:cs="宋体"/>
                <w:sz w:val="24"/>
                <w:szCs w:val="24"/>
              </w:rPr>
            </w:pPr>
            <w:r>
              <w:rPr>
                <w:rFonts w:hint="eastAsia" w:ascii="宋体" w:hAnsi="宋体" w:cs="宋体"/>
                <w:sz w:val="24"/>
                <w:szCs w:val="24"/>
              </w:rPr>
              <w:t>（用章样本）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9781" w:type="dxa"/>
            <w:gridSpan w:val="5"/>
          </w:tcPr>
          <w:p>
            <w:pPr>
              <w:spacing w:line="360" w:lineRule="auto"/>
              <w:rPr>
                <w:rFonts w:ascii="宋体" w:hAnsi="宋体" w:cs="宋体"/>
                <w:sz w:val="24"/>
                <w:szCs w:val="24"/>
              </w:rPr>
            </w:pPr>
            <w:r>
              <w:rPr>
                <w:rFonts w:hint="eastAsia" w:ascii="宋体" w:hAnsi="宋体" w:cs="宋体"/>
                <w:sz w:val="24"/>
                <w:szCs w:val="24"/>
              </w:rPr>
              <w:t>备注：1、指令发送用章须与个人签字或个人印章同时出具，方为有效。</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2、权限类型：经办、复核。</w:t>
            </w:r>
          </w:p>
        </w:tc>
      </w:tr>
    </w:tbl>
    <w:p>
      <w:pPr>
        <w:spacing w:line="360" w:lineRule="auto"/>
        <w:ind w:firstLine="4560" w:firstLineChars="1900"/>
        <w:rPr>
          <w:rFonts w:ascii="宋体" w:hAnsi="宋体" w:cs="宋体"/>
          <w:sz w:val="24"/>
          <w:szCs w:val="24"/>
        </w:rPr>
      </w:pPr>
      <w:r>
        <w:rPr>
          <w:rFonts w:hint="eastAsia" w:ascii="宋体" w:hAnsi="宋体" w:cs="宋体"/>
          <w:kern w:val="0"/>
          <w:sz w:val="24"/>
          <w:szCs w:val="24"/>
        </w:rPr>
        <w:t>平安理财有限责任公司</w:t>
      </w:r>
      <w:r>
        <w:rPr>
          <w:rFonts w:hint="eastAsia" w:ascii="宋体" w:hAnsi="宋体" w:cs="宋体"/>
          <w:sz w:val="24"/>
          <w:szCs w:val="24"/>
        </w:rPr>
        <w:t>（公章）</w:t>
      </w:r>
    </w:p>
    <w:p>
      <w:pPr>
        <w:spacing w:line="360" w:lineRule="auto"/>
        <w:ind w:firstLine="4560" w:firstLineChars="1900"/>
        <w:rPr>
          <w:rFonts w:ascii="宋体" w:hAnsi="宋体" w:cs="宋体"/>
          <w:sz w:val="24"/>
          <w:szCs w:val="24"/>
        </w:rPr>
      </w:pPr>
      <w:r>
        <w:rPr>
          <w:rFonts w:ascii="宋体" w:hAnsi="宋体" w:cs="宋体"/>
          <w:sz w:val="24"/>
          <w:szCs w:val="24"/>
        </w:rPr>
        <w:t xml:space="preserve">      年</w:t>
      </w:r>
      <w:r>
        <w:rPr>
          <w:rFonts w:hint="eastAsia" w:ascii="宋体" w:hAnsi="宋体" w:cs="宋体"/>
          <w:sz w:val="24"/>
          <w:szCs w:val="24"/>
        </w:rPr>
        <w:t xml:space="preserve"> </w:t>
      </w:r>
      <w:r>
        <w:rPr>
          <w:rFonts w:ascii="宋体" w:hAnsi="宋体" w:cs="宋体"/>
          <w:sz w:val="24"/>
          <w:szCs w:val="24"/>
        </w:rPr>
        <w:t xml:space="preserve">  月</w:t>
      </w:r>
      <w:r>
        <w:rPr>
          <w:rFonts w:hint="eastAsia" w:ascii="宋体" w:hAnsi="宋体" w:cs="宋体"/>
          <w:sz w:val="24"/>
          <w:szCs w:val="24"/>
        </w:rPr>
        <w:t xml:space="preserve"> </w:t>
      </w:r>
      <w:r>
        <w:rPr>
          <w:rFonts w:ascii="宋体" w:hAnsi="宋体" w:cs="宋体"/>
          <w:sz w:val="24"/>
          <w:szCs w:val="24"/>
        </w:rPr>
        <w:t xml:space="preserve">  日</w:t>
      </w:r>
    </w:p>
    <w:p>
      <w:pPr>
        <w:rPr>
          <w:rFonts w:ascii="宋体" w:hAnsi="宋体" w:cs="宋体"/>
          <w:b/>
          <w:bCs/>
          <w:sz w:val="24"/>
          <w:szCs w:val="24"/>
        </w:rPr>
      </w:pPr>
      <w:bookmarkStart w:id="248" w:name="_Toc31113"/>
      <w:bookmarkStart w:id="249" w:name="_Toc8866"/>
      <w:bookmarkStart w:id="250" w:name="_Toc26534"/>
      <w:bookmarkStart w:id="251" w:name="_Toc22802446"/>
      <w:bookmarkStart w:id="252" w:name="_Toc10928"/>
      <w:r>
        <w:rPr>
          <w:rFonts w:hint="eastAsia" w:ascii="宋体" w:hAnsi="宋体" w:cs="宋体"/>
          <w:b/>
          <w:bCs/>
          <w:sz w:val="24"/>
          <w:szCs w:val="24"/>
        </w:rPr>
        <w:br w:type="page"/>
      </w:r>
    </w:p>
    <w:p>
      <w:pPr>
        <w:widowControl/>
        <w:jc w:val="left"/>
        <w:outlineLvl w:val="0"/>
        <w:rPr>
          <w:rFonts w:ascii="宋体" w:hAnsi="宋体" w:cs="宋体"/>
          <w:b/>
          <w:bCs/>
          <w:sz w:val="24"/>
          <w:szCs w:val="24"/>
        </w:rPr>
      </w:pPr>
      <w:r>
        <w:rPr>
          <w:rFonts w:hint="eastAsia" w:ascii="宋体" w:hAnsi="宋体" w:cs="宋体"/>
          <w:b/>
          <w:bCs/>
          <w:sz w:val="24"/>
          <w:szCs w:val="24"/>
        </w:rPr>
        <w:t>附件六：</w:t>
      </w:r>
      <w:bookmarkEnd w:id="248"/>
      <w:bookmarkEnd w:id="249"/>
      <w:bookmarkEnd w:id="250"/>
      <w:bookmarkEnd w:id="251"/>
      <w:bookmarkEnd w:id="252"/>
      <w:bookmarkStart w:id="261" w:name="_GoBack"/>
      <w:bookmarkEnd w:id="261"/>
    </w:p>
    <w:p>
      <w:pPr>
        <w:widowControl/>
        <w:jc w:val="center"/>
        <w:rPr>
          <w:rFonts w:ascii="宋体" w:hAnsi="宋体" w:cs="宋体"/>
          <w:b/>
          <w:kern w:val="0"/>
          <w:sz w:val="28"/>
          <w:szCs w:val="22"/>
        </w:rPr>
      </w:pPr>
      <w:bookmarkStart w:id="253" w:name="_Toc23704"/>
      <w:bookmarkStart w:id="254" w:name="_Toc12114"/>
      <w:bookmarkStart w:id="255" w:name="_Toc13705"/>
      <w:bookmarkStart w:id="256" w:name="_Toc31899"/>
      <w:bookmarkStart w:id="257" w:name="_Toc3049"/>
      <w:bookmarkStart w:id="258" w:name="_Toc22802447"/>
      <w:r>
        <w:rPr>
          <w:rFonts w:hint="eastAsia" w:ascii="宋体" w:hAnsi="宋体" w:cs="宋体"/>
          <w:b/>
          <w:kern w:val="0"/>
          <w:sz w:val="28"/>
          <w:szCs w:val="22"/>
        </w:rPr>
        <w:t xml:space="preserve"> 平安理财有限责任有限公司业务联系表</w:t>
      </w:r>
      <w:bookmarkEnd w:id="253"/>
      <w:bookmarkEnd w:id="254"/>
      <w:bookmarkEnd w:id="255"/>
      <w:bookmarkEnd w:id="256"/>
      <w:bookmarkEnd w:id="257"/>
      <w:bookmarkEnd w:id="258"/>
    </w:p>
    <w:tbl>
      <w:tblPr>
        <w:tblStyle w:val="20"/>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1559"/>
        <w:gridCol w:w="2410"/>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2" w:type="dxa"/>
            <w:gridSpan w:val="5"/>
            <w:vAlign w:val="center"/>
          </w:tcPr>
          <w:p>
            <w:pPr>
              <w:widowControl/>
              <w:jc w:val="center"/>
              <w:rPr>
                <w:rFonts w:ascii="宋体" w:hAnsi="宋体" w:cs="宋体"/>
                <w:kern w:val="0"/>
                <w:sz w:val="22"/>
                <w:szCs w:val="22"/>
              </w:rPr>
            </w:pPr>
            <w:r>
              <w:rPr>
                <w:rFonts w:hint="eastAsia" w:ascii="宋体" w:hAnsi="宋体" w:cs="宋体"/>
                <w:kern w:val="0"/>
                <w:sz w:val="22"/>
                <w:szCs w:val="22"/>
              </w:rPr>
              <w:t>平安理财有限责任有限公司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业务协调</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主管</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刘文沁</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13923729466</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"mailto:LIUWENQIN147@pingan.com.cn" </w:instrText>
            </w:r>
            <w:r>
              <w:fldChar w:fldCharType="separate"/>
            </w:r>
            <w:r>
              <w:rPr>
                <w:rFonts w:hint="eastAsia" w:ascii="宋体" w:hAnsi="宋体" w:cs="宋体"/>
                <w:kern w:val="0"/>
                <w:sz w:val="22"/>
                <w:szCs w:val="22"/>
                <w:u w:val="single"/>
              </w:rPr>
              <w:t>LIUWENQIN147@pingan.com.cn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vAlign w:val="center"/>
          </w:tcPr>
          <w:p>
            <w:pPr>
              <w:widowControl/>
              <w:jc w:val="center"/>
              <w:rPr>
                <w:rFonts w:ascii="宋体" w:hAnsi="宋体" w:cs="宋体"/>
                <w:kern w:val="0"/>
                <w:sz w:val="22"/>
                <w:szCs w:val="22"/>
              </w:rPr>
            </w:pPr>
          </w:p>
        </w:tc>
        <w:tc>
          <w:tcPr>
            <w:tcW w:w="1276"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经办</w:t>
            </w:r>
          </w:p>
        </w:tc>
        <w:tc>
          <w:tcPr>
            <w:tcW w:w="1559"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连帅</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0755-8</w:t>
            </w:r>
            <w:r>
              <w:rPr>
                <w:rFonts w:ascii="宋体" w:hAnsi="宋体" w:cs="宋体"/>
                <w:kern w:val="0"/>
                <w:sz w:val="22"/>
                <w:szCs w:val="22"/>
              </w:rPr>
              <w:t>8677028</w:t>
            </w:r>
          </w:p>
        </w:tc>
        <w:tc>
          <w:tcPr>
            <w:tcW w:w="3336" w:type="dxa"/>
            <w:vMerge w:val="restart"/>
            <w:vAlign w:val="center"/>
          </w:tcPr>
          <w:p>
            <w:pPr>
              <w:widowControl/>
              <w:jc w:val="center"/>
              <w:rPr>
                <w:rFonts w:ascii="宋体" w:hAnsi="宋体" w:cs="宋体"/>
                <w:kern w:val="0"/>
                <w:sz w:val="22"/>
                <w:szCs w:val="22"/>
                <w:u w:val="single"/>
              </w:rPr>
            </w:pPr>
            <w:r>
              <w:rPr>
                <w:rFonts w:ascii="宋体" w:hAnsi="宋体"/>
                <w:szCs w:val="24"/>
              </w:rPr>
              <w:t>LIANSHUAI062@pingan.com.cn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vAlign w:val="center"/>
          </w:tcPr>
          <w:p>
            <w:pPr>
              <w:widowControl/>
              <w:jc w:val="center"/>
              <w:rPr>
                <w:rFonts w:ascii="宋体" w:hAnsi="宋体" w:cs="宋体"/>
                <w:kern w:val="0"/>
                <w:sz w:val="22"/>
                <w:szCs w:val="22"/>
              </w:rPr>
            </w:pPr>
          </w:p>
        </w:tc>
        <w:tc>
          <w:tcPr>
            <w:tcW w:w="1276" w:type="dxa"/>
            <w:vMerge w:val="continue"/>
            <w:vAlign w:val="center"/>
          </w:tcPr>
          <w:p>
            <w:pPr>
              <w:widowControl/>
              <w:jc w:val="center"/>
              <w:rPr>
                <w:rFonts w:ascii="宋体" w:hAnsi="宋体" w:cs="宋体"/>
                <w:kern w:val="0"/>
                <w:sz w:val="22"/>
                <w:szCs w:val="22"/>
              </w:rPr>
            </w:pPr>
          </w:p>
        </w:tc>
        <w:tc>
          <w:tcPr>
            <w:tcW w:w="1559" w:type="dxa"/>
            <w:vMerge w:val="continue"/>
            <w:vAlign w:val="center"/>
          </w:tcPr>
          <w:p>
            <w:pPr>
              <w:widowControl/>
              <w:jc w:val="center"/>
              <w:rPr>
                <w:rFonts w:ascii="宋体" w:hAnsi="宋体" w:cs="宋体"/>
                <w:kern w:val="0"/>
                <w:sz w:val="22"/>
                <w:szCs w:val="22"/>
              </w:rPr>
            </w:pPr>
          </w:p>
        </w:tc>
        <w:tc>
          <w:tcPr>
            <w:tcW w:w="2410" w:type="dxa"/>
            <w:vAlign w:val="center"/>
          </w:tcPr>
          <w:p>
            <w:pPr>
              <w:widowControl/>
              <w:jc w:val="center"/>
              <w:rPr>
                <w:rFonts w:ascii="宋体" w:hAnsi="宋体" w:cs="宋体"/>
                <w:kern w:val="0"/>
                <w:sz w:val="22"/>
                <w:szCs w:val="22"/>
              </w:rPr>
            </w:pPr>
            <w:r>
              <w:rPr>
                <w:rFonts w:ascii="宋体" w:hAnsi="宋体" w:cs="宋体"/>
                <w:kern w:val="0"/>
                <w:sz w:val="22"/>
                <w:szCs w:val="22"/>
              </w:rPr>
              <w:t>15889529944</w:t>
            </w:r>
          </w:p>
        </w:tc>
        <w:tc>
          <w:tcPr>
            <w:tcW w:w="3336" w:type="dxa"/>
            <w:vMerge w:val="continue"/>
            <w:vAlign w:val="center"/>
          </w:tcPr>
          <w:p>
            <w:pPr>
              <w:widowControl/>
              <w:jc w:val="center"/>
              <w:rPr>
                <w:rFonts w:ascii="宋体" w:hAnsi="宋体" w:cs="宋体"/>
                <w:kern w:val="0"/>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估值</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刘静雯</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13691778113</w:t>
            </w:r>
          </w:p>
        </w:tc>
        <w:tc>
          <w:tcPr>
            <w:tcW w:w="3336" w:type="dxa"/>
            <w:vAlign w:val="center"/>
          </w:tcPr>
          <w:p>
            <w:pPr>
              <w:widowControl/>
              <w:jc w:val="center"/>
              <w:rPr>
                <w:rFonts w:ascii="宋体" w:hAnsi="宋体" w:cs="宋体"/>
                <w:kern w:val="0"/>
                <w:sz w:val="22"/>
                <w:szCs w:val="22"/>
                <w:u w:val="single"/>
              </w:rPr>
            </w:pPr>
            <w:r>
              <w:rPr>
                <w:rFonts w:hint="eastAsia" w:ascii="宋体" w:hAnsi="宋体" w:cs="宋体"/>
                <w:kern w:val="0"/>
                <w:sz w:val="22"/>
                <w:szCs w:val="22"/>
                <w:u w:val="single"/>
              </w:rPr>
              <w:t>Liujingwen718@pingan.com.cn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交易支持</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蔡依婷</w:t>
            </w:r>
          </w:p>
        </w:tc>
        <w:tc>
          <w:tcPr>
            <w:tcW w:w="2410" w:type="dxa"/>
            <w:vAlign w:val="center"/>
          </w:tcPr>
          <w:p>
            <w:pPr>
              <w:widowControl/>
              <w:jc w:val="center"/>
              <w:rPr>
                <w:rFonts w:ascii="宋体" w:hAnsi="宋体" w:cs="宋体"/>
                <w:kern w:val="0"/>
                <w:sz w:val="22"/>
                <w:szCs w:val="22"/>
              </w:rPr>
            </w:pPr>
            <w:r>
              <w:rPr>
                <w:rFonts w:ascii="宋体" w:hAnsi="宋体"/>
                <w:sz w:val="24"/>
                <w:szCs w:val="28"/>
              </w:rPr>
              <w:t>0755</w:t>
            </w:r>
            <w:r>
              <w:rPr>
                <w:rFonts w:hint="eastAsia" w:ascii="宋体" w:hAnsi="宋体"/>
                <w:sz w:val="24"/>
                <w:szCs w:val="28"/>
              </w:rPr>
              <w:t>-</w:t>
            </w:r>
            <w:r>
              <w:rPr>
                <w:rFonts w:ascii="宋体" w:hAnsi="宋体"/>
                <w:sz w:val="24"/>
                <w:szCs w:val="28"/>
              </w:rPr>
              <w:t>88670751</w:t>
            </w:r>
          </w:p>
        </w:tc>
        <w:tc>
          <w:tcPr>
            <w:tcW w:w="3336" w:type="dxa"/>
            <w:vAlign w:val="center"/>
          </w:tcPr>
          <w:p>
            <w:pPr>
              <w:widowControl/>
              <w:jc w:val="center"/>
              <w:rPr>
                <w:rFonts w:ascii="宋体" w:hAnsi="宋体" w:cs="宋体"/>
                <w:kern w:val="0"/>
                <w:sz w:val="22"/>
                <w:szCs w:val="22"/>
                <w:u w:val="single"/>
              </w:rPr>
            </w:pPr>
            <w:r>
              <w:rPr>
                <w:rFonts w:ascii="宋体" w:hAnsi="宋体"/>
                <w:sz w:val="24"/>
                <w:szCs w:val="28"/>
              </w:rPr>
              <w:t>CAIYITING043@pingan.com.cn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账户</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田娜</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18565855388</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"mailto:TIANNA002@pingan.com.cn" </w:instrText>
            </w:r>
            <w:r>
              <w:fldChar w:fldCharType="separate"/>
            </w:r>
            <w:r>
              <w:rPr>
                <w:rFonts w:hint="eastAsia" w:ascii="宋体" w:hAnsi="宋体" w:cs="宋体"/>
                <w:kern w:val="0"/>
                <w:sz w:val="22"/>
                <w:szCs w:val="22"/>
                <w:u w:val="single"/>
              </w:rPr>
              <w:t>TIANNA002@pingan.com.cn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T</w:t>
            </w:r>
            <w:r>
              <w:rPr>
                <w:rFonts w:ascii="宋体" w:hAnsi="宋体" w:cs="宋体"/>
                <w:kern w:val="0"/>
                <w:sz w:val="22"/>
                <w:szCs w:val="22"/>
              </w:rPr>
              <w:t>A</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刘录云</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r>
              <w:rPr>
                <w:rFonts w:ascii="宋体" w:hAnsi="宋体" w:cs="宋体"/>
                <w:kern w:val="0"/>
                <w:sz w:val="22"/>
                <w:szCs w:val="22"/>
              </w:rPr>
              <w:t>8682239791</w:t>
            </w:r>
          </w:p>
        </w:tc>
        <w:tc>
          <w:tcPr>
            <w:tcW w:w="3336" w:type="dxa"/>
            <w:vAlign w:val="center"/>
          </w:tcPr>
          <w:p>
            <w:pPr>
              <w:widowControl/>
              <w:jc w:val="center"/>
              <w:rPr>
                <w:rFonts w:ascii="宋体" w:hAnsi="宋体" w:cs="宋体"/>
                <w:kern w:val="0"/>
                <w:sz w:val="22"/>
                <w:szCs w:val="22"/>
                <w:u w:val="single"/>
              </w:rPr>
            </w:pPr>
            <w:r>
              <w:rPr>
                <w:rFonts w:ascii="宋体" w:hAnsi="宋体" w:cs="宋体"/>
                <w:kern w:val="0"/>
                <w:sz w:val="22"/>
                <w:szCs w:val="22"/>
                <w:u w:val="single"/>
              </w:rPr>
              <w:t>LIULUYUN291@pingan.com.cn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信披</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赵冠华</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15818502815</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"mailto:ZHAOGUANHUA528@pingan.com.cn" </w:instrText>
            </w:r>
            <w:r>
              <w:fldChar w:fldCharType="separate"/>
            </w:r>
            <w:r>
              <w:rPr>
                <w:rFonts w:hint="eastAsia" w:ascii="宋体" w:hAnsi="宋体" w:cs="宋体"/>
                <w:kern w:val="0"/>
                <w:sz w:val="22"/>
                <w:szCs w:val="22"/>
                <w:u w:val="single"/>
              </w:rPr>
              <w:t>ZHAOGUANHUA528@pingan.com.cn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监管报送</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邹文鹤</w:t>
            </w:r>
          </w:p>
        </w:tc>
        <w:tc>
          <w:tcPr>
            <w:tcW w:w="2410" w:type="dxa"/>
            <w:vAlign w:val="center"/>
          </w:tcPr>
          <w:p>
            <w:pPr>
              <w:widowControl/>
              <w:jc w:val="center"/>
              <w:rPr>
                <w:rFonts w:ascii="宋体" w:hAnsi="宋体" w:cs="宋体"/>
                <w:kern w:val="0"/>
                <w:sz w:val="22"/>
                <w:szCs w:val="22"/>
              </w:rPr>
            </w:pPr>
            <w:r>
              <w:rPr>
                <w:rFonts w:ascii="宋体" w:hAnsi="宋体" w:cs="宋体"/>
                <w:kern w:val="0"/>
                <w:sz w:val="22"/>
                <w:szCs w:val="22"/>
              </w:rPr>
              <w:t>18003604259</w:t>
            </w:r>
          </w:p>
        </w:tc>
        <w:tc>
          <w:tcPr>
            <w:tcW w:w="3336" w:type="dxa"/>
            <w:vAlign w:val="center"/>
          </w:tcPr>
          <w:p>
            <w:pPr>
              <w:widowControl/>
              <w:jc w:val="center"/>
            </w:pPr>
            <w:r>
              <w:rPr>
                <w:rFonts w:hint="eastAsia" w:ascii="宋体" w:hAnsi="宋体" w:cs="宋体"/>
                <w:kern w:val="0"/>
                <w:sz w:val="22"/>
                <w:szCs w:val="22"/>
                <w:u w:val="single"/>
              </w:rPr>
              <w:t>ZOUWENHE059@pingan.com.cn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Align w:val="center"/>
          </w:tcPr>
          <w:p>
            <w:pPr>
              <w:widowControl/>
              <w:jc w:val="center"/>
              <w:rPr>
                <w:rFonts w:ascii="宋体" w:hAnsi="宋体" w:cs="宋体"/>
                <w:kern w:val="0"/>
                <w:sz w:val="22"/>
                <w:szCs w:val="22"/>
              </w:rPr>
            </w:pPr>
            <w:r>
              <w:rPr>
                <w:rFonts w:hint="eastAsia" w:ascii="宋体" w:hAnsi="宋体" w:cs="宋体"/>
                <w:kern w:val="0"/>
                <w:sz w:val="22"/>
                <w:szCs w:val="22"/>
              </w:rPr>
              <w:t>交易</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主管</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沈若星</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13917033976</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"mailto:Shenruoxing602@pingan.com.cn" </w:instrText>
            </w:r>
            <w:r>
              <w:fldChar w:fldCharType="separate"/>
            </w:r>
            <w:r>
              <w:rPr>
                <w:rFonts w:hint="eastAsia" w:ascii="宋体" w:hAnsi="宋体" w:cs="宋体"/>
                <w:kern w:val="0"/>
                <w:sz w:val="22"/>
                <w:szCs w:val="22"/>
                <w:u w:val="single"/>
              </w:rPr>
              <w:t>Shenruoxing602@pingan.com.cn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投资监督</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主管</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樊姝琦</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15099900139</w:t>
            </w:r>
          </w:p>
        </w:tc>
        <w:tc>
          <w:tcPr>
            <w:tcW w:w="3336" w:type="dxa"/>
            <w:vAlign w:val="center"/>
          </w:tcPr>
          <w:p>
            <w:pPr>
              <w:widowControl/>
              <w:jc w:val="center"/>
              <w:rPr>
                <w:rFonts w:ascii="宋体" w:hAnsi="宋体" w:cs="宋体"/>
                <w:kern w:val="0"/>
                <w:sz w:val="22"/>
                <w:szCs w:val="22"/>
                <w:u w:val="single"/>
              </w:rPr>
            </w:pPr>
            <w:r>
              <w:rPr>
                <w:rFonts w:hint="eastAsia" w:ascii="宋体" w:hAnsi="宋体" w:cs="宋体"/>
                <w:kern w:val="0"/>
                <w:sz w:val="22"/>
                <w:szCs w:val="22"/>
                <w:u w:val="single"/>
              </w:rPr>
              <w:t>FANSHUQI625@pingan.com.cn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vAlign w:val="center"/>
          </w:tcPr>
          <w:p>
            <w:pPr>
              <w:widowControl/>
              <w:jc w:val="center"/>
              <w:rPr>
                <w:rFonts w:ascii="宋体" w:hAnsi="宋体" w:cs="宋体"/>
                <w:kern w:val="0"/>
                <w:sz w:val="22"/>
                <w:szCs w:val="22"/>
              </w:rPr>
            </w:pP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经办</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王海</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15602179530</w:t>
            </w:r>
          </w:p>
        </w:tc>
        <w:tc>
          <w:tcPr>
            <w:tcW w:w="3336" w:type="dxa"/>
            <w:vAlign w:val="center"/>
          </w:tcPr>
          <w:p>
            <w:pPr>
              <w:widowControl/>
              <w:jc w:val="center"/>
              <w:rPr>
                <w:rFonts w:ascii="宋体" w:hAnsi="宋体" w:cs="宋体"/>
                <w:kern w:val="0"/>
                <w:sz w:val="22"/>
                <w:szCs w:val="22"/>
                <w:u w:val="single"/>
              </w:rPr>
            </w:pPr>
            <w:r>
              <w:rPr>
                <w:rFonts w:hint="eastAsia" w:ascii="宋体" w:hAnsi="宋体" w:cs="宋体"/>
                <w:kern w:val="0"/>
                <w:sz w:val="22"/>
                <w:szCs w:val="22"/>
                <w:u w:val="single"/>
              </w:rPr>
              <w:t>WANGHAI793@pingan.com.cn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投资监督</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主管</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宋禹辰</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010-56800255</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"mailto:SONGYUCHEN988@pingan.com.cn" </w:instrText>
            </w:r>
            <w:r>
              <w:fldChar w:fldCharType="separate"/>
            </w:r>
            <w:r>
              <w:rPr>
                <w:rFonts w:hint="eastAsia" w:ascii="宋体" w:hAnsi="宋体" w:cs="宋体"/>
                <w:kern w:val="0"/>
                <w:sz w:val="22"/>
                <w:szCs w:val="22"/>
                <w:u w:val="single"/>
              </w:rPr>
              <w:t>SONGYUCHEN988@pingan.com.cn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vAlign w:val="center"/>
          </w:tcPr>
          <w:p>
            <w:pPr>
              <w:widowControl/>
              <w:jc w:val="center"/>
              <w:rPr>
                <w:rFonts w:ascii="宋体" w:hAnsi="宋体" w:cs="宋体"/>
                <w:kern w:val="0"/>
                <w:sz w:val="22"/>
                <w:szCs w:val="22"/>
              </w:rPr>
            </w:pP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经办A</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胡敏</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15816876881</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"mailto:HUMIN564@pingan.com.cn" </w:instrText>
            </w:r>
            <w:r>
              <w:fldChar w:fldCharType="separate"/>
            </w:r>
            <w:r>
              <w:rPr>
                <w:rFonts w:hint="eastAsia" w:ascii="宋体" w:hAnsi="宋体" w:cs="宋体"/>
                <w:kern w:val="0"/>
                <w:sz w:val="22"/>
                <w:szCs w:val="22"/>
                <w:u w:val="single"/>
              </w:rPr>
              <w:t>HUMIN564@pingan.com.cn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vAlign w:val="center"/>
          </w:tcPr>
          <w:p>
            <w:pPr>
              <w:widowControl/>
              <w:jc w:val="center"/>
              <w:rPr>
                <w:rFonts w:ascii="宋体" w:hAnsi="宋体" w:cs="宋体"/>
                <w:kern w:val="0"/>
                <w:sz w:val="22"/>
                <w:szCs w:val="22"/>
              </w:rPr>
            </w:pP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经办B</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张翰林</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17616226937</w:t>
            </w:r>
          </w:p>
        </w:tc>
        <w:tc>
          <w:tcPr>
            <w:tcW w:w="3336" w:type="dxa"/>
            <w:vAlign w:val="center"/>
          </w:tcPr>
          <w:p>
            <w:pPr>
              <w:widowControl/>
              <w:jc w:val="center"/>
              <w:rPr>
                <w:rFonts w:ascii="宋体" w:hAnsi="宋体" w:cs="宋体"/>
                <w:kern w:val="0"/>
                <w:sz w:val="22"/>
                <w:szCs w:val="22"/>
                <w:u w:val="single"/>
              </w:rPr>
            </w:pPr>
            <w:r>
              <w:fldChar w:fldCharType="begin"/>
            </w:r>
            <w:r>
              <w:instrText xml:space="preserve"> HYPERLINK "mailto:ZHANGHANLIN585@pingan.com.cn" </w:instrText>
            </w:r>
            <w:r>
              <w:fldChar w:fldCharType="separate"/>
            </w:r>
            <w:r>
              <w:rPr>
                <w:rFonts w:hint="eastAsia" w:ascii="宋体" w:hAnsi="宋体" w:cs="宋体"/>
                <w:kern w:val="0"/>
                <w:sz w:val="22"/>
                <w:szCs w:val="22"/>
                <w:u w:val="single"/>
              </w:rPr>
              <w:t>ZHANGHANLIN585@pingan.com.cn</w:t>
            </w:r>
            <w:r>
              <w:rPr>
                <w:rFonts w:hint="eastAsia" w:ascii="宋体" w:hAnsi="宋体" w:cs="宋体"/>
                <w:kern w:val="0"/>
                <w:sz w:val="22"/>
                <w:szCs w:val="22"/>
                <w:u w:val="singl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restart"/>
            <w:vAlign w:val="center"/>
          </w:tcPr>
          <w:p>
            <w:pPr>
              <w:widowControl/>
              <w:jc w:val="center"/>
              <w:rPr>
                <w:rFonts w:ascii="宋体" w:hAnsi="宋体" w:cs="宋体"/>
                <w:kern w:val="0"/>
                <w:sz w:val="22"/>
                <w:szCs w:val="22"/>
              </w:rPr>
            </w:pPr>
            <w:r>
              <w:rPr>
                <w:rFonts w:hint="eastAsia" w:ascii="宋体" w:hAnsi="宋体" w:cs="宋体"/>
                <w:kern w:val="0"/>
                <w:sz w:val="22"/>
                <w:szCs w:val="22"/>
              </w:rPr>
              <w:t>科技及系统对接</w:t>
            </w: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主管</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李小丹</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15816879208</w:t>
            </w:r>
          </w:p>
        </w:tc>
        <w:tc>
          <w:tcPr>
            <w:tcW w:w="3336" w:type="dxa"/>
            <w:vAlign w:val="center"/>
          </w:tcPr>
          <w:p>
            <w:pPr>
              <w:widowControl/>
              <w:jc w:val="center"/>
              <w:rPr>
                <w:rFonts w:ascii="宋体" w:hAnsi="宋体" w:cs="宋体"/>
                <w:kern w:val="0"/>
                <w:sz w:val="22"/>
                <w:szCs w:val="22"/>
              </w:rPr>
            </w:pPr>
            <w:r>
              <w:rPr>
                <w:rFonts w:hint="eastAsia" w:ascii="宋体" w:hAnsi="宋体" w:cs="宋体"/>
                <w:kern w:val="0"/>
                <w:sz w:val="22"/>
                <w:szCs w:val="22"/>
              </w:rPr>
              <w:t>LIXIAODAN649@pingan.com.cn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71" w:type="dxa"/>
            <w:vMerge w:val="continue"/>
            <w:vAlign w:val="center"/>
          </w:tcPr>
          <w:p>
            <w:pPr>
              <w:widowControl/>
              <w:jc w:val="center"/>
              <w:rPr>
                <w:rFonts w:ascii="宋体" w:hAnsi="宋体" w:cs="宋体"/>
                <w:kern w:val="0"/>
                <w:sz w:val="22"/>
                <w:szCs w:val="22"/>
              </w:rPr>
            </w:pPr>
          </w:p>
        </w:tc>
        <w:tc>
          <w:tcPr>
            <w:tcW w:w="1276" w:type="dxa"/>
            <w:vAlign w:val="center"/>
          </w:tcPr>
          <w:p>
            <w:pPr>
              <w:widowControl/>
              <w:jc w:val="center"/>
              <w:rPr>
                <w:rFonts w:ascii="宋体" w:hAnsi="宋体" w:cs="宋体"/>
                <w:kern w:val="0"/>
                <w:sz w:val="22"/>
                <w:szCs w:val="22"/>
              </w:rPr>
            </w:pPr>
            <w:r>
              <w:rPr>
                <w:rFonts w:hint="eastAsia" w:ascii="宋体" w:hAnsi="宋体" w:cs="宋体"/>
                <w:kern w:val="0"/>
                <w:sz w:val="22"/>
                <w:szCs w:val="22"/>
              </w:rPr>
              <w:t>经办</w:t>
            </w:r>
          </w:p>
        </w:tc>
        <w:tc>
          <w:tcPr>
            <w:tcW w:w="1559" w:type="dxa"/>
            <w:vAlign w:val="center"/>
          </w:tcPr>
          <w:p>
            <w:pPr>
              <w:widowControl/>
              <w:jc w:val="center"/>
              <w:rPr>
                <w:rFonts w:ascii="宋体" w:hAnsi="宋体" w:cs="宋体"/>
                <w:kern w:val="0"/>
                <w:sz w:val="22"/>
                <w:szCs w:val="22"/>
              </w:rPr>
            </w:pPr>
            <w:r>
              <w:rPr>
                <w:rFonts w:hint="eastAsia" w:ascii="宋体" w:hAnsi="宋体" w:cs="宋体"/>
                <w:kern w:val="0"/>
                <w:sz w:val="22"/>
                <w:szCs w:val="22"/>
              </w:rPr>
              <w:t>左福强</w:t>
            </w:r>
          </w:p>
        </w:tc>
        <w:tc>
          <w:tcPr>
            <w:tcW w:w="2410" w:type="dxa"/>
            <w:vAlign w:val="center"/>
          </w:tcPr>
          <w:p>
            <w:pPr>
              <w:widowControl/>
              <w:jc w:val="center"/>
              <w:rPr>
                <w:rFonts w:ascii="宋体" w:hAnsi="宋体" w:cs="宋体"/>
                <w:kern w:val="0"/>
                <w:sz w:val="22"/>
                <w:szCs w:val="22"/>
              </w:rPr>
            </w:pPr>
            <w:r>
              <w:rPr>
                <w:rFonts w:hint="eastAsia" w:ascii="宋体" w:hAnsi="宋体" w:cs="宋体"/>
                <w:kern w:val="0"/>
                <w:sz w:val="22"/>
                <w:szCs w:val="22"/>
              </w:rPr>
              <w:t>13590231084</w:t>
            </w:r>
          </w:p>
        </w:tc>
        <w:tc>
          <w:tcPr>
            <w:tcW w:w="3336" w:type="dxa"/>
            <w:vAlign w:val="center"/>
          </w:tcPr>
          <w:p>
            <w:pPr>
              <w:widowControl/>
              <w:jc w:val="center"/>
              <w:rPr>
                <w:rFonts w:ascii="宋体" w:hAnsi="宋体" w:cs="宋体"/>
                <w:kern w:val="0"/>
                <w:sz w:val="22"/>
                <w:szCs w:val="22"/>
              </w:rPr>
            </w:pPr>
            <w:r>
              <w:rPr>
                <w:rFonts w:hint="eastAsia" w:ascii="宋体" w:hAnsi="宋体" w:cs="宋体"/>
                <w:kern w:val="0"/>
                <w:sz w:val="22"/>
                <w:szCs w:val="22"/>
              </w:rPr>
              <w:t>zuofuqiang@pingan.com.c</w:t>
            </w:r>
          </w:p>
        </w:tc>
      </w:tr>
    </w:tbl>
    <w:p>
      <w:pPr>
        <w:jc w:val="center"/>
        <w:rPr>
          <w:rFonts w:ascii="宋体" w:hAnsi="宋体" w:cs="宋体"/>
          <w:shd w:val="pct10" w:color="auto" w:fill="FFFFFF"/>
        </w:rPr>
      </w:pPr>
      <w:r>
        <w:rPr>
          <w:rFonts w:ascii="宋体" w:hAnsi="宋体" w:cs="宋体"/>
        </w:rPr>
        <w:br w:type="page"/>
      </w:r>
      <w:r>
        <w:rPr>
          <w:rFonts w:hint="eastAsia" w:ascii="宋体" w:hAnsi="宋体" w:cs="宋体"/>
          <w:b/>
          <w:color w:val="000000"/>
          <w:sz w:val="28"/>
          <w:szCs w:val="28"/>
        </w:rPr>
        <w:t>中国民生银行股份有限公司业务联系表</w:t>
      </w:r>
      <w:r>
        <w:rPr>
          <w:rFonts w:hint="eastAsia" w:ascii="宋体" w:hAnsi="宋体" w:cs="宋体"/>
          <w:shd w:val="pct10" w:color="auto" w:fill="FFFFFF"/>
        </w:rPr>
        <w:fldChar w:fldCharType="begin">
          <w:ffData>
            <w:name w:val="Text1"/>
            <w:enabled/>
            <w:calcOnExit w:val="0"/>
            <w:textInput/>
          </w:ffData>
        </w:fldChar>
      </w:r>
      <w:bookmarkStart w:id="259" w:name="Text1"/>
      <w:r>
        <w:rPr>
          <w:rFonts w:hint="eastAsia" w:ascii="宋体" w:hAnsi="宋体" w:cs="宋体"/>
          <w:shd w:val="pct10" w:color="auto" w:fill="FFFFFF"/>
        </w:rPr>
        <w:instrText xml:space="preserve">FORMTEXT</w:instrText>
      </w:r>
      <w:r>
        <w:rPr>
          <w:rFonts w:hint="eastAsia" w:ascii="宋体" w:hAnsi="宋体" w:cs="宋体"/>
          <w:shd w:val="pct10" w:color="auto" w:fill="FFFFFF"/>
        </w:rPr>
        <w:fldChar w:fldCharType="separate"/>
      </w:r>
      <w:r>
        <w:rPr>
          <w:rFonts w:hint="eastAsia" w:ascii="宋体" w:hAnsi="宋体" w:cs="宋体"/>
          <w:shd w:val="pct10" w:color="auto" w:fill="FFFFFF"/>
        </w:rPr>
        <w:t> </w:t>
      </w:r>
    </w:p>
    <w:tbl>
      <w:tblPr>
        <w:tblStyle w:val="1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707"/>
        <w:gridCol w:w="4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岗位分工</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账户业务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b/>
                <w:shd w:val="pct10" w:color="auto" w:fill="FFFFFF"/>
              </w:rPr>
              <w:t>账户咨询</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010-57093226/3294/3215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shd w:val="pct10" w:color="auto" w:fill="FFFFFF"/>
              </w:rPr>
            </w:pPr>
            <w:r>
              <w:rPr>
                <w:rFonts w:hint="eastAsia" w:ascii="宋体" w:hAnsi="宋体" w:cs="宋体"/>
                <w:b/>
                <w:shd w:val="pct10" w:color="auto" w:fill="FFFFFF"/>
              </w:rPr>
              <w:t>账户咨询办理邮箱</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tgzh1@cmbc.com.cn,tgzh2@cmbc.com.cn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账户业务总协调</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证券结算业务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shd w:val="pct10" w:color="auto" w:fill="FFFFFF"/>
              </w:rPr>
            </w:pPr>
            <w:r>
              <w:rPr>
                <w:rFonts w:hint="eastAsia" w:ascii="宋体" w:hAnsi="宋体" w:cs="宋体"/>
                <w:b/>
                <w:bCs/>
                <w:shd w:val="pct10" w:color="auto" w:fill="FFFFFF"/>
              </w:rPr>
              <w:t>场内结算</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010-57093202/3230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shd w:val="pct10" w:color="auto" w:fill="FFFFFF"/>
              </w:rPr>
            </w:pPr>
            <w:r>
              <w:rPr>
                <w:rFonts w:hint="eastAsia" w:ascii="宋体" w:hAnsi="宋体" w:cs="宋体"/>
                <w:b/>
                <w:bCs/>
                <w:shd w:val="pct10" w:color="auto" w:fill="FFFFFF"/>
              </w:rPr>
              <w:t>银行间业务</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010-57093163（上清）</w:t>
            </w:r>
          </w:p>
          <w:p>
            <w:pPr>
              <w:rPr>
                <w:rFonts w:ascii="宋体" w:hAnsi="宋体" w:cs="宋体"/>
                <w:shd w:val="pct10" w:color="auto" w:fill="FFFFFF"/>
              </w:rPr>
            </w:pPr>
            <w:r>
              <w:rPr>
                <w:rFonts w:hint="eastAsia" w:ascii="宋体" w:hAnsi="宋体" w:cs="宋体"/>
                <w:shd w:val="pct10" w:color="auto" w:fill="FFFFFF"/>
              </w:rPr>
              <w:t>010-57093154（中债）</w:t>
            </w:r>
          </w:p>
          <w:p>
            <w:pPr>
              <w:rPr>
                <w:rFonts w:ascii="宋体" w:hAnsi="宋体" w:cs="宋体"/>
                <w:shd w:val="pct10" w:color="auto" w:fill="FFFFFF"/>
              </w:rPr>
            </w:pPr>
            <w:r>
              <w:rPr>
                <w:rFonts w:hint="eastAsia" w:ascii="宋体" w:hAnsi="宋体" w:cs="宋体"/>
                <w:shd w:val="pct10" w:color="auto" w:fill="FFFFFF"/>
              </w:rPr>
              <w:t>010-57093428（紧急）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shd w:val="pct10" w:color="auto" w:fill="FFFFFF"/>
              </w:rPr>
            </w:pPr>
            <w:r>
              <w:rPr>
                <w:rFonts w:hint="eastAsia" w:ascii="宋体" w:hAnsi="宋体" w:cs="宋体"/>
                <w:b/>
                <w:bCs/>
                <w:shd w:val="pct10" w:color="auto" w:fill="FFFFFF"/>
              </w:rPr>
              <w:t>定期存款业务</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定期存款业务办理邮箱</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mstgqs@cmbc.com.cn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证券业务总协调</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清算业务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b/>
                <w:bCs/>
                <w:shd w:val="pct10" w:color="auto" w:fill="FFFFFF"/>
              </w:rPr>
              <w:t>指令接收传真</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hd w:val="pct10" w:color="auto" w:fill="FFFFFF"/>
              </w:rPr>
            </w:pPr>
            <w:r>
              <w:rPr>
                <w:rFonts w:hint="eastAsia" w:ascii="宋体" w:hAnsi="宋体" w:cs="宋体"/>
                <w:shd w:val="pct10" w:color="auto" w:fill="FFFFFF"/>
              </w:rPr>
              <w:t>010-56368300，010-56368301，010-56368302，010-56368303，010-56368304，010-56368305，010-56368306，010-56368307，010-56368308，010-56368309,</w:t>
            </w:r>
          </w:p>
          <w:p>
            <w:pPr>
              <w:rPr>
                <w:rFonts w:ascii="宋体" w:hAnsi="宋体" w:cs="宋体"/>
                <w:shd w:val="pct10" w:color="auto" w:fill="FFFFFF"/>
              </w:rPr>
            </w:pPr>
            <w:r>
              <w:rPr>
                <w:rFonts w:hint="eastAsia" w:ascii="宋体" w:hAnsi="宋体" w:cs="宋体"/>
                <w:shd w:val="pct10" w:color="auto" w:fill="FFFFFF"/>
              </w:rPr>
              <w:t>010-56368310，010-56368311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shd w:val="pct10" w:color="auto" w:fill="FFFFFF"/>
              </w:rPr>
            </w:pPr>
            <w:r>
              <w:rPr>
                <w:rFonts w:hint="eastAsia" w:ascii="宋体" w:hAnsi="宋体" w:cs="宋体"/>
                <w:b/>
                <w:bCs/>
                <w:shd w:val="pct10" w:color="auto" w:fill="FFFFFF"/>
              </w:rPr>
              <w:t>QDII/QFI指令接收及境外托管行对接</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shd w:val="pct10" w:color="auto" w:fill="FFFFFF"/>
              </w:rPr>
            </w:pPr>
            <w:r>
              <w:rPr>
                <w:rFonts w:hint="eastAsia" w:ascii="宋体" w:hAnsi="宋体" w:cs="宋体"/>
                <w:b/>
                <w:bCs/>
                <w:shd w:val="pct10" w:color="auto" w:fill="FFFFFF"/>
              </w:rPr>
              <w:t>资金划拨、指令审核、定存协议审核业务紧急联系电话</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010-57093341</w:t>
            </w:r>
          </w:p>
          <w:p>
            <w:pPr>
              <w:rPr>
                <w:rFonts w:ascii="宋体" w:hAnsi="宋体" w:cs="宋体"/>
                <w:shd w:val="pct10" w:color="auto" w:fill="FFFFFF"/>
              </w:rPr>
            </w:pPr>
            <w:r>
              <w:rPr>
                <w:rFonts w:hint="eastAsia" w:ascii="宋体" w:hAnsi="宋体" w:cs="宋体"/>
                <w:shd w:val="pct10" w:color="auto" w:fill="FFFFFF"/>
              </w:rPr>
              <w:t>010-57093235</w:t>
            </w:r>
          </w:p>
          <w:p>
            <w:pPr>
              <w:rPr>
                <w:rFonts w:ascii="宋体" w:hAnsi="宋体" w:cs="宋体"/>
                <w:shd w:val="pct10" w:color="auto" w:fill="FFFFFF"/>
              </w:rPr>
            </w:pPr>
            <w:r>
              <w:rPr>
                <w:rFonts w:hint="eastAsia" w:ascii="宋体" w:hAnsi="宋体" w:cs="宋体"/>
                <w:shd w:val="pct10" w:color="auto" w:fill="FFFFFF"/>
              </w:rPr>
              <w:t>010-57093143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shd w:val="pct10" w:color="auto" w:fill="FFFFFF"/>
              </w:rPr>
            </w:pPr>
            <w:r>
              <w:rPr>
                <w:rFonts w:hint="eastAsia" w:ascii="宋体" w:hAnsi="宋体" w:cs="宋体"/>
                <w:b/>
                <w:bCs/>
                <w:shd w:val="pct10" w:color="auto" w:fill="FFFFFF"/>
              </w:rPr>
              <w:t>客户服务（指令确认、产品成立资料提交、年金缴费及待遇支付、指令执行情况/账户流水/余额查询）</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010-57093136</w:t>
            </w:r>
          </w:p>
          <w:p>
            <w:pPr>
              <w:rPr>
                <w:rFonts w:ascii="宋体" w:hAnsi="宋体" w:cs="宋体"/>
                <w:shd w:val="pct10" w:color="auto" w:fill="FFFFFF"/>
              </w:rPr>
            </w:pPr>
            <w:r>
              <w:rPr>
                <w:rFonts w:hint="eastAsia" w:ascii="宋体" w:hAnsi="宋体" w:cs="宋体"/>
                <w:shd w:val="pct10" w:color="auto" w:fill="FFFFFF"/>
              </w:rPr>
              <w:t>010-57093157</w:t>
            </w:r>
          </w:p>
          <w:p>
            <w:pPr>
              <w:rPr>
                <w:rFonts w:ascii="宋体" w:hAnsi="宋体" w:cs="宋体"/>
                <w:shd w:val="pct10" w:color="auto" w:fill="FFFFFF"/>
              </w:rPr>
            </w:pPr>
            <w:r>
              <w:rPr>
                <w:rFonts w:hint="eastAsia" w:ascii="宋体" w:hAnsi="宋体" w:cs="宋体"/>
                <w:shd w:val="pct10" w:color="auto" w:fill="FFFFFF"/>
              </w:rPr>
              <w:t>010-57093198</w:t>
            </w:r>
          </w:p>
          <w:p>
            <w:pPr>
              <w:rPr>
                <w:rFonts w:ascii="宋体" w:hAnsi="宋体" w:cs="宋体"/>
                <w:shd w:val="pct10" w:color="auto" w:fill="FFFFFF"/>
              </w:rPr>
            </w:pPr>
            <w:r>
              <w:rPr>
                <w:rFonts w:hint="eastAsia" w:ascii="宋体" w:hAnsi="宋体" w:cs="宋体"/>
                <w:shd w:val="pct10" w:color="auto" w:fill="FFFFFF"/>
              </w:rPr>
              <w:t>010-57093346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shd w:val="pct10" w:color="auto" w:fill="FFFFFF"/>
              </w:rPr>
            </w:pPr>
            <w:r>
              <w:rPr>
                <w:rFonts w:hint="eastAsia" w:ascii="宋体" w:hAnsi="宋体" w:cs="宋体"/>
                <w:b/>
                <w:shd w:val="pct10" w:color="auto" w:fill="FFFFFF"/>
              </w:rPr>
              <w:t>清算业务公共邮箱</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mstgqingsuan@cmbc.com.cn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清算业务总协调</w:t>
            </w:r>
          </w:p>
        </w:tc>
        <w:tc>
          <w:tcPr>
            <w:tcW w:w="4571" w:type="dxa"/>
            <w:tcBorders>
              <w:top w:val="single" w:color="auto" w:sz="4" w:space="0"/>
              <w:left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核算业务、报表报告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交易数据维护</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907"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交易数据接收</w:t>
            </w:r>
          </w:p>
        </w:tc>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shd w:val="pct10" w:color="auto" w:fill="FFFFFF"/>
              </w:rPr>
            </w:pPr>
            <w:r>
              <w:rPr>
                <w:rFonts w:hint="eastAsia" w:ascii="宋体" w:hAnsi="宋体" w:cs="宋体"/>
                <w:b/>
                <w:bCs/>
                <w:shd w:val="pct10" w:color="auto" w:fill="FFFFFF"/>
              </w:rPr>
              <w:t>深证通</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小站号k0241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7" w:type="dxa"/>
            <w:vMerge w:val="continue"/>
            <w:tcBorders>
              <w:left w:val="single" w:color="auto" w:sz="4" w:space="0"/>
              <w:bottom w:val="single" w:color="auto" w:sz="4" w:space="0"/>
              <w:right w:val="single" w:color="auto" w:sz="4" w:space="0"/>
            </w:tcBorders>
            <w:shd w:val="clear" w:color="auto" w:fill="auto"/>
            <w:vAlign w:val="center"/>
          </w:tcPr>
          <w:p>
            <w:pPr>
              <w:rPr>
                <w:rFonts w:ascii="宋体" w:hAnsi="宋体" w:cs="宋体"/>
                <w:b/>
                <w:bCs/>
                <w:shd w:val="pct10" w:color="auto" w:fill="FFFFFF"/>
              </w:rPr>
            </w:pPr>
          </w:p>
        </w:tc>
        <w:tc>
          <w:tcPr>
            <w:tcW w:w="27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shd w:val="pct10" w:color="auto" w:fill="FFFFFF"/>
              </w:rPr>
            </w:pPr>
            <w:r>
              <w:rPr>
                <w:rFonts w:hint="eastAsia" w:ascii="宋体" w:hAnsi="宋体" w:cs="宋体"/>
                <w:b/>
                <w:bCs/>
                <w:shd w:val="pct10" w:color="auto" w:fill="FFFFFF"/>
              </w:rPr>
              <w:t>邮箱</w:t>
            </w:r>
            <w:r>
              <w:rPr>
                <w:rFonts w:hint="eastAsia" w:ascii="宋体" w:hAnsi="宋体" w:cs="宋体"/>
                <w:b/>
                <w:shd w:val="pct10" w:color="auto" w:fill="FFFFFF"/>
              </w:rPr>
              <w:t>（仅用于紧急情况）</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宋体" w:hAnsi="宋体" w:cs="宋体"/>
                <w:shd w:val="pct10" w:color="auto" w:fill="FFFFFF"/>
              </w:rPr>
            </w:pPr>
            <w:r>
              <w:rPr>
                <w:rFonts w:hint="eastAsia" w:ascii="宋体" w:hAnsi="宋体" w:cs="宋体"/>
                <w:shd w:val="pct10" w:color="auto" w:fill="FFFFFF"/>
              </w:rPr>
              <w:t>custody@cmbc.com.cn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公募基金产品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基金资管产品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010-56362113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证券期货资管产品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022-58303506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widowControl/>
              <w:rPr>
                <w:rFonts w:ascii="宋体" w:hAnsi="宋体" w:cs="宋体"/>
                <w:b/>
                <w:bCs/>
                <w:shd w:val="pct10" w:color="auto" w:fill="FFFFFF"/>
              </w:rPr>
            </w:pPr>
            <w:r>
              <w:rPr>
                <w:rFonts w:hint="eastAsia" w:ascii="宋体" w:hAnsi="宋体" w:cs="宋体"/>
                <w:b/>
                <w:bCs/>
                <w:shd w:val="pct10" w:color="auto" w:fill="FFFFFF"/>
              </w:rPr>
              <w:t>QDII/QFI产品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010-57092987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保险产品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信托、私募产品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010-56362137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614" w:type="dxa"/>
            <w:gridSpan w:val="2"/>
            <w:tcBorders>
              <w:top w:val="single" w:color="auto" w:sz="4" w:space="0"/>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理财产品</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022-58303513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券商对账单/交易数据/特殊投资品种行情/特殊事项相关函件</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宋体" w:hAnsi="宋体" w:cs="宋体"/>
                <w:shd w:val="pct10" w:color="auto" w:fill="FFFFFF"/>
              </w:rPr>
            </w:pPr>
            <w:r>
              <w:rPr>
                <w:rFonts w:hint="eastAsia" w:ascii="宋体" w:hAnsi="宋体" w:cs="宋体"/>
                <w:shd w:val="pct10" w:color="auto" w:fill="FFFFFF"/>
              </w:rPr>
              <w:t>mstghesuan@cmbc.com.cn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核算业务总协调</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宋体" w:hAnsi="宋体" w:cs="宋体"/>
                <w:shd w:val="pct10" w:color="auto" w:fill="FFFFFF"/>
              </w:rPr>
            </w:pPr>
            <w:r>
              <w:rPr>
                <w:rFonts w:hint="eastAsia" w:ascii="宋体" w:hAnsi="宋体" w:cs="宋体"/>
                <w:bCs/>
                <w:shd w:val="pct10" w:color="auto" w:fill="FFFFFF"/>
              </w:rPr>
              <w:t>010-57093446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 xml:space="preserve">数据业务支持 </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宋体" w:hAnsi="宋体" w:cs="宋体"/>
                <w:bCs/>
                <w:shd w:val="pct10" w:color="auto" w:fill="FFFFFF"/>
              </w:rPr>
            </w:pPr>
            <w:r>
              <w:rPr>
                <w:rFonts w:hint="eastAsia" w:ascii="宋体" w:hAnsi="宋体" w:cs="宋体"/>
                <w:shd w:val="pct10" w:color="auto" w:fill="FFFFFF"/>
              </w:rPr>
              <w:t>010-57093127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 xml:space="preserve">运营技术支持负责人 </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宋体" w:hAnsi="宋体" w:cs="宋体"/>
                <w:bCs/>
                <w:shd w:val="pct10" w:color="auto" w:fill="FFFFFF"/>
              </w:rPr>
            </w:pPr>
            <w:r>
              <w:rPr>
                <w:rFonts w:hint="eastAsia" w:ascii="宋体" w:hAnsi="宋体" w:cs="宋体"/>
                <w:shd w:val="pct10" w:color="auto" w:fill="FFFFFF"/>
              </w:rPr>
              <w:t>010-57093836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运营作业团队总负责人</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宋体" w:hAnsi="宋体" w:cs="宋体"/>
                <w:bCs/>
                <w:shd w:val="pct10" w:color="auto" w:fill="FFFFFF"/>
              </w:rPr>
            </w:pPr>
            <w:r>
              <w:rPr>
                <w:rFonts w:hint="eastAsia" w:ascii="宋体" w:hAnsi="宋体" w:cs="宋体"/>
                <w:bCs/>
                <w:shd w:val="pct10" w:color="auto" w:fill="FFFFFF"/>
              </w:rPr>
              <w:t>010-57092100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185" w:type="dxa"/>
            <w:gridSpan w:val="3"/>
            <w:tcBorders>
              <w:left w:val="single" w:color="auto" w:sz="4" w:space="0"/>
              <w:right w:val="single" w:color="auto" w:sz="4" w:space="0"/>
            </w:tcBorders>
            <w:shd w:val="clear" w:color="auto" w:fill="auto"/>
            <w:vAlign w:val="center"/>
          </w:tcPr>
          <w:p>
            <w:pPr>
              <w:jc w:val="center"/>
              <w:rPr>
                <w:rFonts w:ascii="宋体" w:hAnsi="宋体" w:cs="宋体"/>
                <w:b/>
                <w:bCs/>
                <w:shd w:val="pct10" w:color="auto" w:fill="FFFFFF"/>
              </w:rPr>
            </w:pPr>
            <w:r>
              <w:rPr>
                <w:rFonts w:hint="eastAsia" w:ascii="宋体" w:hAnsi="宋体" w:cs="宋体"/>
                <w:b/>
                <w:bCs/>
                <w:shd w:val="pct10" w:color="auto" w:fill="FFFFFF"/>
              </w:rPr>
              <w:t>投资监督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公募基金产品</w:t>
            </w:r>
          </w:p>
        </w:tc>
        <w:tc>
          <w:tcPr>
            <w:tcW w:w="4571" w:type="dxa"/>
            <w:tcBorders>
              <w:left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010-57093891、010-57092604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证券期货经营机构私募资产管理计划</w:t>
            </w:r>
          </w:p>
        </w:tc>
        <w:tc>
          <w:tcPr>
            <w:tcW w:w="4571" w:type="dxa"/>
            <w:tcBorders>
              <w:left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010-57092604、010-57093365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信托产品、保险产品</w:t>
            </w:r>
          </w:p>
        </w:tc>
        <w:tc>
          <w:tcPr>
            <w:tcW w:w="4571" w:type="dxa"/>
            <w:tcBorders>
              <w:left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010-57093379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
                <w:bCs/>
                <w:shd w:val="pct10" w:color="auto" w:fill="FFFFFF"/>
              </w:rPr>
            </w:pPr>
            <w:r>
              <w:rPr>
                <w:rFonts w:hint="eastAsia" w:ascii="宋体" w:hAnsi="宋体" w:cs="宋体"/>
                <w:b/>
                <w:bCs/>
                <w:shd w:val="pct10" w:color="auto" w:fill="FFFFFF"/>
              </w:rPr>
              <w:t>理财产品、私募基金</w:t>
            </w:r>
          </w:p>
        </w:tc>
        <w:tc>
          <w:tcPr>
            <w:tcW w:w="4571" w:type="dxa"/>
            <w:tcBorders>
              <w:left w:val="single" w:color="auto" w:sz="4" w:space="0"/>
              <w:right w:val="single" w:color="auto" w:sz="4" w:space="0"/>
            </w:tcBorders>
            <w:shd w:val="clear" w:color="auto" w:fill="auto"/>
            <w:vAlign w:val="center"/>
          </w:tcPr>
          <w:p>
            <w:pPr>
              <w:rPr>
                <w:rFonts w:ascii="宋体" w:hAnsi="宋体" w:cs="宋体"/>
                <w:shd w:val="pct10" w:color="auto" w:fill="FFFFFF"/>
              </w:rPr>
            </w:pPr>
            <w:r>
              <w:rPr>
                <w:rFonts w:hint="eastAsia" w:ascii="宋体" w:hAnsi="宋体" w:cs="宋体"/>
                <w:shd w:val="pct10" w:color="auto" w:fill="FFFFFF"/>
              </w:rPr>
              <w:t>010-57092467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185" w:type="dxa"/>
            <w:gridSpan w:val="3"/>
            <w:tcBorders>
              <w:left w:val="single" w:color="auto" w:sz="4" w:space="0"/>
              <w:right w:val="single" w:color="auto" w:sz="4" w:space="0"/>
            </w:tcBorders>
            <w:shd w:val="clear" w:color="auto" w:fill="auto"/>
            <w:vAlign w:val="center"/>
          </w:tcPr>
          <w:p>
            <w:pPr>
              <w:jc w:val="center"/>
              <w:rPr>
                <w:rFonts w:ascii="宋体" w:hAnsi="宋体" w:cs="宋体"/>
                <w:shd w:val="pct10" w:color="auto" w:fill="FFFFFF"/>
              </w:rPr>
            </w:pPr>
            <w:r>
              <w:rPr>
                <w:rFonts w:hint="eastAsia" w:ascii="宋体" w:hAnsi="宋体" w:cs="宋体"/>
                <w:b/>
                <w:bCs/>
                <w:shd w:val="pct10" w:color="auto" w:fill="FFFFFF"/>
              </w:rPr>
              <w:t>科技支持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4614" w:type="dxa"/>
            <w:gridSpan w:val="2"/>
            <w:tcBorders>
              <w:left w:val="single" w:color="auto" w:sz="4" w:space="0"/>
              <w:right w:val="single" w:color="auto" w:sz="4" w:space="0"/>
            </w:tcBorders>
            <w:shd w:val="clear" w:color="auto" w:fill="auto"/>
            <w:vAlign w:val="center"/>
          </w:tcPr>
          <w:p>
            <w:pPr>
              <w:rPr>
                <w:rFonts w:ascii="宋体" w:hAnsi="宋体" w:cs="宋体"/>
                <w:bCs/>
                <w:shd w:val="pct10" w:color="auto" w:fill="FFFFFF"/>
              </w:rPr>
            </w:pPr>
            <w:r>
              <w:rPr>
                <w:rFonts w:hint="eastAsia" w:ascii="宋体" w:hAnsi="宋体" w:cs="宋体"/>
                <w:b/>
                <w:bCs/>
                <w:shd w:val="pct10" w:color="auto" w:fill="FFFFFF"/>
              </w:rPr>
              <w:t>业务联系</w:t>
            </w:r>
          </w:p>
        </w:tc>
        <w:tc>
          <w:tcPr>
            <w:tcW w:w="457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Cs/>
                <w:shd w:val="pct10" w:color="auto" w:fill="FFFFFF"/>
              </w:rPr>
            </w:pPr>
            <w:r>
              <w:rPr>
                <w:rFonts w:hint="eastAsia" w:ascii="宋体" w:hAnsi="宋体" w:cs="宋体"/>
                <w:shd w:val="pct10" w:color="auto" w:fill="FFFFFF"/>
              </w:rPr>
              <w:t>010-57093569、</w:t>
            </w:r>
            <w:r>
              <w:rPr>
                <w:rFonts w:hint="eastAsia" w:ascii="宋体" w:hAnsi="宋体" w:cs="宋体"/>
                <w:bCs/>
                <w:shd w:val="pct10" w:color="auto" w:fill="FFFFFF"/>
              </w:rPr>
              <w:t>010-57093756</w:t>
            </w:r>
          </w:p>
        </w:tc>
      </w:tr>
    </w:tbl>
    <w:p>
      <w:pPr>
        <w:ind w:left="-420" w:leftChars="-200"/>
        <w:jc w:val="left"/>
        <w:rPr>
          <w:rFonts w:asciiTheme="minorEastAsia" w:hAnsiTheme="minorEastAsia" w:eastAsiaTheme="minorEastAsia" w:cstheme="minorEastAsia"/>
        </w:rPr>
      </w:pPr>
      <w:r>
        <w:rPr>
          <w:rFonts w:hint="eastAsia" w:ascii="宋体" w:hAnsi="宋体" w:cs="宋体"/>
          <w:shd w:val="pct10" w:color="auto" w:fill="FFFFFF"/>
        </w:rPr>
        <w:fldChar w:fldCharType="end"/>
      </w:r>
      <w:bookmarkEnd w:id="259"/>
      <w:r>
        <w:rPr>
          <w:rFonts w:hint="eastAsia" w:asciiTheme="minorEastAsia" w:hAnsiTheme="minorEastAsia" w:eastAsiaTheme="minorEastAsia" w:cstheme="minorEastAsia"/>
        </w:rPr>
        <w:fldChar w:fldCharType="begin">
          <w:ffData>
            <w:name w:val="Text2"/>
            <w:enabled/>
            <w:calcOnExit w:val="0"/>
            <w:textInput/>
          </w:ffData>
        </w:fldChar>
      </w:r>
      <w:bookmarkStart w:id="260" w:name="Text2"/>
      <w:r>
        <w:rPr>
          <w:rFonts w:hint="eastAsia" w:asciiTheme="minorEastAsia" w:hAnsiTheme="minorEastAsia" w:eastAsiaTheme="minorEastAsia" w:cstheme="minorEastAsia"/>
        </w:rPr>
        <w:instrText xml:space="preserve">FORMTEXT</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注：1</w:t>
      </w:r>
      <w:r>
        <w:rPr>
          <w:rFonts w:hint="eastAsia" w:asciiTheme="minorEastAsia" w:hAnsiTheme="minorEastAsia" w:cstheme="minorEastAsia"/>
        </w:rPr>
        <w:t>.</w:t>
      </w:r>
      <w:r>
        <w:rPr>
          <w:rFonts w:hint="eastAsia" w:asciiTheme="minorEastAsia" w:hAnsiTheme="minorEastAsia" w:eastAsiaTheme="minorEastAsia" w:cstheme="minorEastAsia"/>
        </w:rPr>
        <w:t>所有数据请压缩成压缩包，文件命名格式为【产品名称yyyymmdd.rar/zip】，其中yyyymmdd为8位数日期，数据表示交易日期。</w:t>
      </w:r>
    </w:p>
    <w:p>
      <w:pPr>
        <w:ind w:left="-420" w:leftChars="-200" w:firstLine="367" w:firstLineChars="175"/>
        <w:jc w:val="left"/>
      </w:pPr>
      <w:r>
        <w:rPr>
          <w:rFonts w:hint="eastAsia" w:asciiTheme="minorEastAsia" w:hAnsiTheme="minorEastAsia" w:eastAsiaTheme="minorEastAsia" w:cstheme="minorEastAsia"/>
        </w:rPr>
        <w:t>2</w:t>
      </w:r>
      <w:r>
        <w:rPr>
          <w:rFonts w:hint="eastAsia" w:asciiTheme="minorEastAsia" w:hAnsiTheme="minorEastAsia" w:cstheme="minorEastAsia"/>
        </w:rPr>
        <w:t>.</w:t>
      </w:r>
      <w:r>
        <w:rPr>
          <w:rFonts w:hint="eastAsia" w:asciiTheme="minorEastAsia" w:hAnsiTheme="minorEastAsia" w:eastAsiaTheme="minorEastAsia" w:cstheme="minorEastAsia"/>
        </w:rPr>
        <w:t>对账单如选择邮箱发送邮件名称为【对账单-产品名称yyyymmdd】，其中yyyymmdd为8位数日期，数据表示交易日期。</w:t>
      </w:r>
      <w:r>
        <w:rPr>
          <w:rFonts w:asciiTheme="minorEastAsia" w:hAnsiTheme="minorEastAsia" w:eastAsiaTheme="minorEastAsia" w:cstheme="minorEastAsia"/>
        </w:rPr>
        <w:t>  </w:t>
      </w:r>
      <w:r>
        <w:rPr>
          <w:rFonts w:hint="eastAsia" w:asciiTheme="minorEastAsia" w:hAnsiTheme="minorEastAsia" w:eastAsiaTheme="minorEastAsia" w:cstheme="minorEastAsia"/>
        </w:rPr>
        <w:fldChar w:fldCharType="end"/>
      </w:r>
      <w:bookmarkEnd w:id="260"/>
    </w:p>
    <w:p>
      <w:pPr>
        <w:widowControl/>
        <w:ind w:right="-313" w:rightChars="-149"/>
        <w:jc w:val="left"/>
        <w:rPr>
          <w:rFonts w:ascii="宋体" w:hAnsi="宋体" w:cs="宋体"/>
          <w:sz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44</w: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2A111"/>
    <w:multiLevelType w:val="singleLevel"/>
    <w:tmpl w:val="CB32A111"/>
    <w:lvl w:ilvl="0" w:tentative="0">
      <w:start w:val="1"/>
      <w:numFmt w:val="decimal"/>
      <w:suff w:val="nothing"/>
      <w:lvlText w:val="%1、"/>
      <w:lvlJc w:val="left"/>
    </w:lvl>
  </w:abstractNum>
  <w:abstractNum w:abstractNumId="1">
    <w:nsid w:val="3C17083C"/>
    <w:multiLevelType w:val="multilevel"/>
    <w:tmpl w:val="3C17083C"/>
    <w:lvl w:ilvl="0" w:tentative="0">
      <w:start w:val="1"/>
      <w:numFmt w:val="decimal"/>
      <w:suff w:val="space"/>
      <w:lvlText w:val="（%1）"/>
      <w:lvlJc w:val="left"/>
      <w:pPr>
        <w:ind w:left="623" w:hanging="198"/>
      </w:pPr>
      <w:rPr>
        <w:rFonts w:hint="default" w:ascii="Arial" w:hAnsi="Arial" w:eastAsia="宋体" w:cs="Arial"/>
        <w:b w:val="0"/>
        <w:i w:val="0"/>
        <w:strike w:val="0"/>
        <w:dstrike w:val="0"/>
        <w:color w:val="000000"/>
        <w:sz w:val="22"/>
        <w:szCs w:val="22"/>
        <w:u w:val="none" w:color="000000"/>
        <w:vertAlign w:val="baseline"/>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1525326"/>
    <w:multiLevelType w:val="singleLevel"/>
    <w:tmpl w:val="51525326"/>
    <w:lvl w:ilvl="0" w:tentative="0">
      <w:start w:val="7"/>
      <w:numFmt w:val="chineseCounting"/>
      <w:suff w:val="space"/>
      <w:lvlText w:val="第%1章"/>
      <w:lvlJc w:val="left"/>
      <w:rPr>
        <w:rFonts w:hint="eastAsia"/>
      </w:rPr>
    </w:lvl>
  </w:abstractNum>
  <w:abstractNum w:abstractNumId="3">
    <w:nsid w:val="5F020CF9"/>
    <w:multiLevelType w:val="multilevel"/>
    <w:tmpl w:val="5F020CF9"/>
    <w:lvl w:ilvl="0" w:tentative="0">
      <w:start w:val="1"/>
      <w:numFmt w:val="decimal"/>
      <w:lvlText w:val="%1）"/>
      <w:lvlJc w:val="left"/>
      <w:pPr>
        <w:ind w:left="845" w:hanging="420"/>
      </w:pPr>
      <w:rPr>
        <w:rFonts w:hint="default" w:ascii="Arial" w:hAnsi="Arial" w:cs="Arial"/>
        <w:b w:val="0"/>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isplayBackgroundShape w:val="1"/>
  <w:bordersDoNotSurroundHeader w:val="1"/>
  <w:bordersDoNotSurroundFooter w:val="1"/>
  <w:documentProtection w:enforcement="0"/>
  <w:defaultTabStop w:val="420"/>
  <w:doNotHyphenateCaps/>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A0"/>
    <w:rsid w:val="00000AAD"/>
    <w:rsid w:val="00004E75"/>
    <w:rsid w:val="00004F1F"/>
    <w:rsid w:val="00016F5B"/>
    <w:rsid w:val="000222E6"/>
    <w:rsid w:val="00024EFC"/>
    <w:rsid w:val="00026BFA"/>
    <w:rsid w:val="00047F4C"/>
    <w:rsid w:val="00051822"/>
    <w:rsid w:val="000522A0"/>
    <w:rsid w:val="00061A2D"/>
    <w:rsid w:val="000677CD"/>
    <w:rsid w:val="0007275D"/>
    <w:rsid w:val="00073ED3"/>
    <w:rsid w:val="00076DEA"/>
    <w:rsid w:val="000906CB"/>
    <w:rsid w:val="00092D78"/>
    <w:rsid w:val="000959BC"/>
    <w:rsid w:val="000A4526"/>
    <w:rsid w:val="000A593E"/>
    <w:rsid w:val="000A67D2"/>
    <w:rsid w:val="000B08E5"/>
    <w:rsid w:val="000C1885"/>
    <w:rsid w:val="000C4646"/>
    <w:rsid w:val="000C6C7C"/>
    <w:rsid w:val="000D0CF0"/>
    <w:rsid w:val="000E1A6B"/>
    <w:rsid w:val="000E35EC"/>
    <w:rsid w:val="000E6F08"/>
    <w:rsid w:val="000F2AE6"/>
    <w:rsid w:val="000F38F8"/>
    <w:rsid w:val="001075C5"/>
    <w:rsid w:val="00114F02"/>
    <w:rsid w:val="00120D5F"/>
    <w:rsid w:val="001314B7"/>
    <w:rsid w:val="00131622"/>
    <w:rsid w:val="0013621A"/>
    <w:rsid w:val="00136DB4"/>
    <w:rsid w:val="00137FD7"/>
    <w:rsid w:val="001466DF"/>
    <w:rsid w:val="00147752"/>
    <w:rsid w:val="001524CD"/>
    <w:rsid w:val="00163F18"/>
    <w:rsid w:val="00172A27"/>
    <w:rsid w:val="00174B45"/>
    <w:rsid w:val="00180FE3"/>
    <w:rsid w:val="00197155"/>
    <w:rsid w:val="00197E07"/>
    <w:rsid w:val="001A08B0"/>
    <w:rsid w:val="001A21D0"/>
    <w:rsid w:val="001C43EE"/>
    <w:rsid w:val="001C554E"/>
    <w:rsid w:val="001D340B"/>
    <w:rsid w:val="001D4F54"/>
    <w:rsid w:val="001F2828"/>
    <w:rsid w:val="00233147"/>
    <w:rsid w:val="0024412D"/>
    <w:rsid w:val="00246F49"/>
    <w:rsid w:val="00263F36"/>
    <w:rsid w:val="002651C6"/>
    <w:rsid w:val="00270068"/>
    <w:rsid w:val="002740F8"/>
    <w:rsid w:val="0028103C"/>
    <w:rsid w:val="00287475"/>
    <w:rsid w:val="00290525"/>
    <w:rsid w:val="002A2B87"/>
    <w:rsid w:val="002A3BEC"/>
    <w:rsid w:val="002D6D61"/>
    <w:rsid w:val="002E6DF3"/>
    <w:rsid w:val="00302F00"/>
    <w:rsid w:val="00303932"/>
    <w:rsid w:val="003069ED"/>
    <w:rsid w:val="00310E4C"/>
    <w:rsid w:val="00334D0E"/>
    <w:rsid w:val="0033759E"/>
    <w:rsid w:val="0034483C"/>
    <w:rsid w:val="0036071C"/>
    <w:rsid w:val="00365D36"/>
    <w:rsid w:val="0038165C"/>
    <w:rsid w:val="00381CDC"/>
    <w:rsid w:val="003838E6"/>
    <w:rsid w:val="003A09B3"/>
    <w:rsid w:val="003A0DF5"/>
    <w:rsid w:val="003A4FB6"/>
    <w:rsid w:val="003C0518"/>
    <w:rsid w:val="003D0EA8"/>
    <w:rsid w:val="003E0082"/>
    <w:rsid w:val="003F0101"/>
    <w:rsid w:val="00400A65"/>
    <w:rsid w:val="004239E6"/>
    <w:rsid w:val="00434E13"/>
    <w:rsid w:val="004506E5"/>
    <w:rsid w:val="00456A9F"/>
    <w:rsid w:val="00460C8B"/>
    <w:rsid w:val="00462E3B"/>
    <w:rsid w:val="004634BC"/>
    <w:rsid w:val="00474566"/>
    <w:rsid w:val="00480CAF"/>
    <w:rsid w:val="0048688C"/>
    <w:rsid w:val="00487161"/>
    <w:rsid w:val="00495BF7"/>
    <w:rsid w:val="004A17E2"/>
    <w:rsid w:val="004B3429"/>
    <w:rsid w:val="004B3D64"/>
    <w:rsid w:val="004C0274"/>
    <w:rsid w:val="004C0D1F"/>
    <w:rsid w:val="004C4376"/>
    <w:rsid w:val="004C5204"/>
    <w:rsid w:val="004C58AE"/>
    <w:rsid w:val="004C7252"/>
    <w:rsid w:val="004D2BF6"/>
    <w:rsid w:val="004E07B0"/>
    <w:rsid w:val="004F4C40"/>
    <w:rsid w:val="004F6EC2"/>
    <w:rsid w:val="00501501"/>
    <w:rsid w:val="0050213A"/>
    <w:rsid w:val="00512F70"/>
    <w:rsid w:val="005207DA"/>
    <w:rsid w:val="00531F98"/>
    <w:rsid w:val="005533B0"/>
    <w:rsid w:val="0056635A"/>
    <w:rsid w:val="00570D6A"/>
    <w:rsid w:val="0058155D"/>
    <w:rsid w:val="00581D7F"/>
    <w:rsid w:val="005854A5"/>
    <w:rsid w:val="00591422"/>
    <w:rsid w:val="00595AB2"/>
    <w:rsid w:val="00597182"/>
    <w:rsid w:val="005A7F8A"/>
    <w:rsid w:val="005D7090"/>
    <w:rsid w:val="005D78DB"/>
    <w:rsid w:val="005E4795"/>
    <w:rsid w:val="005E66B6"/>
    <w:rsid w:val="005F77DD"/>
    <w:rsid w:val="00610772"/>
    <w:rsid w:val="006125A8"/>
    <w:rsid w:val="006157C9"/>
    <w:rsid w:val="00620405"/>
    <w:rsid w:val="00627508"/>
    <w:rsid w:val="00631EB0"/>
    <w:rsid w:val="00632351"/>
    <w:rsid w:val="006517E7"/>
    <w:rsid w:val="00665003"/>
    <w:rsid w:val="00667917"/>
    <w:rsid w:val="006704B6"/>
    <w:rsid w:val="0067527E"/>
    <w:rsid w:val="00676DD8"/>
    <w:rsid w:val="006934C4"/>
    <w:rsid w:val="0069785B"/>
    <w:rsid w:val="006B05E9"/>
    <w:rsid w:val="006B41C1"/>
    <w:rsid w:val="006C58B9"/>
    <w:rsid w:val="006D5D20"/>
    <w:rsid w:val="006D751A"/>
    <w:rsid w:val="006E3346"/>
    <w:rsid w:val="006F5AA6"/>
    <w:rsid w:val="00706161"/>
    <w:rsid w:val="0071205B"/>
    <w:rsid w:val="00714E23"/>
    <w:rsid w:val="007178C4"/>
    <w:rsid w:val="00717EB2"/>
    <w:rsid w:val="007201AD"/>
    <w:rsid w:val="00735A29"/>
    <w:rsid w:val="0074051F"/>
    <w:rsid w:val="00741F2E"/>
    <w:rsid w:val="0074323B"/>
    <w:rsid w:val="00744B59"/>
    <w:rsid w:val="00756933"/>
    <w:rsid w:val="00760236"/>
    <w:rsid w:val="00761D2C"/>
    <w:rsid w:val="00775DB8"/>
    <w:rsid w:val="007802BD"/>
    <w:rsid w:val="00782A65"/>
    <w:rsid w:val="00784E81"/>
    <w:rsid w:val="00796A4F"/>
    <w:rsid w:val="007A0EB5"/>
    <w:rsid w:val="007A1D03"/>
    <w:rsid w:val="007A2A09"/>
    <w:rsid w:val="007A7A93"/>
    <w:rsid w:val="007C0B66"/>
    <w:rsid w:val="007C32EB"/>
    <w:rsid w:val="007C36FA"/>
    <w:rsid w:val="007D756B"/>
    <w:rsid w:val="007E7557"/>
    <w:rsid w:val="00801FEB"/>
    <w:rsid w:val="00805D0D"/>
    <w:rsid w:val="0080733E"/>
    <w:rsid w:val="00817076"/>
    <w:rsid w:val="00817AC9"/>
    <w:rsid w:val="00834496"/>
    <w:rsid w:val="00834E12"/>
    <w:rsid w:val="00854744"/>
    <w:rsid w:val="00861D5B"/>
    <w:rsid w:val="00862FC8"/>
    <w:rsid w:val="00873EDE"/>
    <w:rsid w:val="008741B7"/>
    <w:rsid w:val="008B4BF2"/>
    <w:rsid w:val="008B5A6D"/>
    <w:rsid w:val="008B7417"/>
    <w:rsid w:val="008C3597"/>
    <w:rsid w:val="008C5EAE"/>
    <w:rsid w:val="008D0B8C"/>
    <w:rsid w:val="008D0D56"/>
    <w:rsid w:val="008F1935"/>
    <w:rsid w:val="008F3DEF"/>
    <w:rsid w:val="008F5850"/>
    <w:rsid w:val="0090034C"/>
    <w:rsid w:val="00934639"/>
    <w:rsid w:val="00935932"/>
    <w:rsid w:val="00940DFF"/>
    <w:rsid w:val="00943B85"/>
    <w:rsid w:val="00952880"/>
    <w:rsid w:val="00954929"/>
    <w:rsid w:val="009572EF"/>
    <w:rsid w:val="00960622"/>
    <w:rsid w:val="00962D0C"/>
    <w:rsid w:val="00963152"/>
    <w:rsid w:val="00976F1C"/>
    <w:rsid w:val="009841DC"/>
    <w:rsid w:val="00994C5E"/>
    <w:rsid w:val="00996C18"/>
    <w:rsid w:val="009979FF"/>
    <w:rsid w:val="009A593D"/>
    <w:rsid w:val="009B1331"/>
    <w:rsid w:val="009C30CF"/>
    <w:rsid w:val="009C7E05"/>
    <w:rsid w:val="009D1CE9"/>
    <w:rsid w:val="00A00E97"/>
    <w:rsid w:val="00A0405E"/>
    <w:rsid w:val="00A05105"/>
    <w:rsid w:val="00A13F6A"/>
    <w:rsid w:val="00A17BBE"/>
    <w:rsid w:val="00A259F0"/>
    <w:rsid w:val="00A40E52"/>
    <w:rsid w:val="00A67FBF"/>
    <w:rsid w:val="00A87B1B"/>
    <w:rsid w:val="00A92D93"/>
    <w:rsid w:val="00A93795"/>
    <w:rsid w:val="00A93C61"/>
    <w:rsid w:val="00AA2BDD"/>
    <w:rsid w:val="00AB3517"/>
    <w:rsid w:val="00AB776C"/>
    <w:rsid w:val="00AC483B"/>
    <w:rsid w:val="00AD1237"/>
    <w:rsid w:val="00AD5496"/>
    <w:rsid w:val="00AD70B4"/>
    <w:rsid w:val="00AD7F2B"/>
    <w:rsid w:val="00AE7F58"/>
    <w:rsid w:val="00AF0445"/>
    <w:rsid w:val="00AF4918"/>
    <w:rsid w:val="00B1111B"/>
    <w:rsid w:val="00B22071"/>
    <w:rsid w:val="00B24FE4"/>
    <w:rsid w:val="00B32C6B"/>
    <w:rsid w:val="00B50668"/>
    <w:rsid w:val="00B51A3A"/>
    <w:rsid w:val="00B61D21"/>
    <w:rsid w:val="00B64F54"/>
    <w:rsid w:val="00B74FF5"/>
    <w:rsid w:val="00B80B21"/>
    <w:rsid w:val="00B8261C"/>
    <w:rsid w:val="00B911E0"/>
    <w:rsid w:val="00B91465"/>
    <w:rsid w:val="00B9539B"/>
    <w:rsid w:val="00B967A6"/>
    <w:rsid w:val="00BA4EFA"/>
    <w:rsid w:val="00BA6A27"/>
    <w:rsid w:val="00BB43F4"/>
    <w:rsid w:val="00BC3A6D"/>
    <w:rsid w:val="00BD34B2"/>
    <w:rsid w:val="00BD40AC"/>
    <w:rsid w:val="00BD7F1B"/>
    <w:rsid w:val="00BE0597"/>
    <w:rsid w:val="00BE289B"/>
    <w:rsid w:val="00BE452A"/>
    <w:rsid w:val="00BE4A41"/>
    <w:rsid w:val="00BF2E94"/>
    <w:rsid w:val="00BF4FC4"/>
    <w:rsid w:val="00C0774F"/>
    <w:rsid w:val="00C12DE0"/>
    <w:rsid w:val="00C14878"/>
    <w:rsid w:val="00C23D60"/>
    <w:rsid w:val="00C37B45"/>
    <w:rsid w:val="00C442FB"/>
    <w:rsid w:val="00C44D89"/>
    <w:rsid w:val="00C45CBA"/>
    <w:rsid w:val="00C46756"/>
    <w:rsid w:val="00C50DFE"/>
    <w:rsid w:val="00C541CB"/>
    <w:rsid w:val="00C5534B"/>
    <w:rsid w:val="00C55C5E"/>
    <w:rsid w:val="00C5715C"/>
    <w:rsid w:val="00C67A34"/>
    <w:rsid w:val="00C75AAF"/>
    <w:rsid w:val="00C80B2F"/>
    <w:rsid w:val="00C87B71"/>
    <w:rsid w:val="00C925C7"/>
    <w:rsid w:val="00C97934"/>
    <w:rsid w:val="00CB6286"/>
    <w:rsid w:val="00CB6881"/>
    <w:rsid w:val="00CB7BD0"/>
    <w:rsid w:val="00CB7DDA"/>
    <w:rsid w:val="00CC3F87"/>
    <w:rsid w:val="00CC57AE"/>
    <w:rsid w:val="00CD0F11"/>
    <w:rsid w:val="00CD42B6"/>
    <w:rsid w:val="00CD7906"/>
    <w:rsid w:val="00CE0578"/>
    <w:rsid w:val="00CE1E41"/>
    <w:rsid w:val="00CF4642"/>
    <w:rsid w:val="00D01C90"/>
    <w:rsid w:val="00D02522"/>
    <w:rsid w:val="00D0421A"/>
    <w:rsid w:val="00D50F44"/>
    <w:rsid w:val="00D53CB5"/>
    <w:rsid w:val="00D54A11"/>
    <w:rsid w:val="00D555F2"/>
    <w:rsid w:val="00D57F39"/>
    <w:rsid w:val="00D62F38"/>
    <w:rsid w:val="00D64F1D"/>
    <w:rsid w:val="00D65DCF"/>
    <w:rsid w:val="00D710E2"/>
    <w:rsid w:val="00D75413"/>
    <w:rsid w:val="00D82200"/>
    <w:rsid w:val="00D8762E"/>
    <w:rsid w:val="00D9403D"/>
    <w:rsid w:val="00DA1764"/>
    <w:rsid w:val="00DB2898"/>
    <w:rsid w:val="00DB512F"/>
    <w:rsid w:val="00DB5330"/>
    <w:rsid w:val="00DC084D"/>
    <w:rsid w:val="00DC226F"/>
    <w:rsid w:val="00DC64C7"/>
    <w:rsid w:val="00DD703D"/>
    <w:rsid w:val="00DD75FA"/>
    <w:rsid w:val="00DE2752"/>
    <w:rsid w:val="00DF0135"/>
    <w:rsid w:val="00E107D7"/>
    <w:rsid w:val="00E12E0A"/>
    <w:rsid w:val="00E164A0"/>
    <w:rsid w:val="00E25AA9"/>
    <w:rsid w:val="00E32D6C"/>
    <w:rsid w:val="00E41B63"/>
    <w:rsid w:val="00E54C31"/>
    <w:rsid w:val="00E557DF"/>
    <w:rsid w:val="00E5713F"/>
    <w:rsid w:val="00E6030D"/>
    <w:rsid w:val="00E664E3"/>
    <w:rsid w:val="00E67C11"/>
    <w:rsid w:val="00E816E5"/>
    <w:rsid w:val="00E84A7F"/>
    <w:rsid w:val="00EA11BB"/>
    <w:rsid w:val="00EB1DAA"/>
    <w:rsid w:val="00EB5F68"/>
    <w:rsid w:val="00EB6AA9"/>
    <w:rsid w:val="00EC09A7"/>
    <w:rsid w:val="00EC1298"/>
    <w:rsid w:val="00ED1D91"/>
    <w:rsid w:val="00ED73F1"/>
    <w:rsid w:val="00EE1B3D"/>
    <w:rsid w:val="00EE4269"/>
    <w:rsid w:val="00EE5070"/>
    <w:rsid w:val="00EF0B24"/>
    <w:rsid w:val="00EF6192"/>
    <w:rsid w:val="00F006EE"/>
    <w:rsid w:val="00F06C8E"/>
    <w:rsid w:val="00F1136C"/>
    <w:rsid w:val="00F138A8"/>
    <w:rsid w:val="00F224E0"/>
    <w:rsid w:val="00F27CBD"/>
    <w:rsid w:val="00F327CC"/>
    <w:rsid w:val="00F339D2"/>
    <w:rsid w:val="00F34BB4"/>
    <w:rsid w:val="00F3533F"/>
    <w:rsid w:val="00F40019"/>
    <w:rsid w:val="00F47418"/>
    <w:rsid w:val="00F55345"/>
    <w:rsid w:val="00F611EA"/>
    <w:rsid w:val="00F7626B"/>
    <w:rsid w:val="00F829BD"/>
    <w:rsid w:val="00F92C6E"/>
    <w:rsid w:val="00F95301"/>
    <w:rsid w:val="00F958D4"/>
    <w:rsid w:val="00FA415A"/>
    <w:rsid w:val="00FA4D29"/>
    <w:rsid w:val="00FB78DD"/>
    <w:rsid w:val="00FC038F"/>
    <w:rsid w:val="00FC1AB8"/>
    <w:rsid w:val="00FC3DA0"/>
    <w:rsid w:val="00FC49C2"/>
    <w:rsid w:val="00FD3ECD"/>
    <w:rsid w:val="00FD71A7"/>
    <w:rsid w:val="00FE5521"/>
    <w:rsid w:val="00FE5537"/>
    <w:rsid w:val="00FF7EA0"/>
    <w:rsid w:val="01A069BF"/>
    <w:rsid w:val="02463468"/>
    <w:rsid w:val="05FD4A61"/>
    <w:rsid w:val="06DC5FEC"/>
    <w:rsid w:val="0740493C"/>
    <w:rsid w:val="0A792EFC"/>
    <w:rsid w:val="0AB74DAA"/>
    <w:rsid w:val="0C2E59B8"/>
    <w:rsid w:val="0F797040"/>
    <w:rsid w:val="0F9872C8"/>
    <w:rsid w:val="101A2783"/>
    <w:rsid w:val="10C73D36"/>
    <w:rsid w:val="12861517"/>
    <w:rsid w:val="1432365F"/>
    <w:rsid w:val="151A72F0"/>
    <w:rsid w:val="16A73E95"/>
    <w:rsid w:val="16B06886"/>
    <w:rsid w:val="173B1F13"/>
    <w:rsid w:val="17BC112A"/>
    <w:rsid w:val="18B275AE"/>
    <w:rsid w:val="19252E3B"/>
    <w:rsid w:val="19A17223"/>
    <w:rsid w:val="1AA83A19"/>
    <w:rsid w:val="1ADE03C9"/>
    <w:rsid w:val="1BC57D05"/>
    <w:rsid w:val="1CE4159C"/>
    <w:rsid w:val="1CE94216"/>
    <w:rsid w:val="1EF8560D"/>
    <w:rsid w:val="231C00E3"/>
    <w:rsid w:val="233D21E9"/>
    <w:rsid w:val="248B307E"/>
    <w:rsid w:val="249369E0"/>
    <w:rsid w:val="251D6B41"/>
    <w:rsid w:val="25E0663C"/>
    <w:rsid w:val="2676550D"/>
    <w:rsid w:val="268444E2"/>
    <w:rsid w:val="278705BA"/>
    <w:rsid w:val="2C2B384B"/>
    <w:rsid w:val="2EE73295"/>
    <w:rsid w:val="2FF17178"/>
    <w:rsid w:val="30345935"/>
    <w:rsid w:val="307001D3"/>
    <w:rsid w:val="35E00E7B"/>
    <w:rsid w:val="36C4362A"/>
    <w:rsid w:val="373578A1"/>
    <w:rsid w:val="37F7070F"/>
    <w:rsid w:val="38A228E6"/>
    <w:rsid w:val="3A063E93"/>
    <w:rsid w:val="3A255D48"/>
    <w:rsid w:val="3D297508"/>
    <w:rsid w:val="3E337C20"/>
    <w:rsid w:val="3E6651D4"/>
    <w:rsid w:val="3E9E6403"/>
    <w:rsid w:val="402B17C3"/>
    <w:rsid w:val="41BF5CF3"/>
    <w:rsid w:val="431A3701"/>
    <w:rsid w:val="43F45D52"/>
    <w:rsid w:val="44CE3BA6"/>
    <w:rsid w:val="455B2630"/>
    <w:rsid w:val="47AE0578"/>
    <w:rsid w:val="49256705"/>
    <w:rsid w:val="49A90FA3"/>
    <w:rsid w:val="4C5E6E12"/>
    <w:rsid w:val="4CA851A5"/>
    <w:rsid w:val="4D250DBE"/>
    <w:rsid w:val="4E756C88"/>
    <w:rsid w:val="503E4185"/>
    <w:rsid w:val="511F7800"/>
    <w:rsid w:val="54755E94"/>
    <w:rsid w:val="54795DF6"/>
    <w:rsid w:val="54C93631"/>
    <w:rsid w:val="55F31BEC"/>
    <w:rsid w:val="585D01BA"/>
    <w:rsid w:val="5A070418"/>
    <w:rsid w:val="60C32875"/>
    <w:rsid w:val="61367431"/>
    <w:rsid w:val="61C20CD3"/>
    <w:rsid w:val="620D4462"/>
    <w:rsid w:val="64555680"/>
    <w:rsid w:val="64C20932"/>
    <w:rsid w:val="65E705B2"/>
    <w:rsid w:val="66B74A79"/>
    <w:rsid w:val="67350F25"/>
    <w:rsid w:val="6793103A"/>
    <w:rsid w:val="691935E2"/>
    <w:rsid w:val="6AEA10CE"/>
    <w:rsid w:val="6AF41586"/>
    <w:rsid w:val="6F560C88"/>
    <w:rsid w:val="720024FF"/>
    <w:rsid w:val="720374F6"/>
    <w:rsid w:val="723853B3"/>
    <w:rsid w:val="72554C59"/>
    <w:rsid w:val="74206A62"/>
    <w:rsid w:val="76421424"/>
    <w:rsid w:val="77983289"/>
    <w:rsid w:val="78210315"/>
    <w:rsid w:val="79024668"/>
    <w:rsid w:val="79A174C5"/>
    <w:rsid w:val="79A47418"/>
    <w:rsid w:val="7C8179E9"/>
    <w:rsid w:val="7E744B39"/>
    <w:rsid w:val="7FE42B9D"/>
    <w:rsid w:val="E7FF9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iPriority="39" w:name="toc 2" w:locked="1"/>
    <w:lsdException w:qFormat="1" w:unhideWhenUsed="0" w:uiPriority="39" w:semiHidden="0" w:name="toc 3"/>
    <w:lsdException w:uiPriority="39" w:name="toc 4" w:locked="1"/>
    <w:lsdException w:qFormat="1" w:unhideWhenUsed="0" w:uiPriority="99" w:name="toc 5"/>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4">
    <w:name w:val="heading 3"/>
    <w:basedOn w:val="1"/>
    <w:next w:val="1"/>
    <w:qFormat/>
    <w:locked/>
    <w:uiPriority w:val="0"/>
    <w:pPr>
      <w:keepNext/>
      <w:keepLines/>
      <w:spacing w:before="260" w:after="26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标题 21"/>
    <w:basedOn w:val="1"/>
    <w:next w:val="1"/>
    <w:qFormat/>
    <w:uiPriority w:val="9"/>
    <w:pPr>
      <w:spacing w:line="360" w:lineRule="auto"/>
      <w:jc w:val="center"/>
      <w:outlineLvl w:val="1"/>
    </w:pPr>
    <w:rPr>
      <w:rFonts w:ascii="宋体" w:hAnsi="宋体" w:cs="宋体"/>
      <w:b/>
      <w:sz w:val="28"/>
      <w:szCs w:val="28"/>
    </w:rPr>
  </w:style>
  <w:style w:type="paragraph" w:styleId="5">
    <w:name w:val="annotation text"/>
    <w:basedOn w:val="1"/>
    <w:link w:val="29"/>
    <w:qFormat/>
    <w:uiPriority w:val="99"/>
    <w:pPr>
      <w:jc w:val="left"/>
    </w:pPr>
    <w:rPr>
      <w:rFonts w:ascii="等线" w:hAnsi="等线" w:cs="等线"/>
    </w:rPr>
  </w:style>
  <w:style w:type="paragraph" w:styleId="6">
    <w:name w:val="Body Text Indent"/>
    <w:basedOn w:val="1"/>
    <w:qFormat/>
    <w:locked/>
    <w:uiPriority w:val="0"/>
    <w:pPr>
      <w:spacing w:line="360" w:lineRule="auto"/>
      <w:ind w:firstLine="425"/>
    </w:pPr>
  </w:style>
  <w:style w:type="paragraph" w:styleId="7">
    <w:name w:val="toc 5"/>
    <w:basedOn w:val="1"/>
    <w:next w:val="1"/>
    <w:semiHidden/>
    <w:qFormat/>
    <w:uiPriority w:val="99"/>
    <w:pPr>
      <w:ind w:left="1680" w:leftChars="800"/>
    </w:pPr>
  </w:style>
  <w:style w:type="paragraph" w:styleId="8">
    <w:name w:val="toc 3"/>
    <w:basedOn w:val="1"/>
    <w:next w:val="1"/>
    <w:qFormat/>
    <w:uiPriority w:val="39"/>
    <w:pPr>
      <w:ind w:left="840" w:leftChars="400"/>
    </w:pPr>
  </w:style>
  <w:style w:type="paragraph" w:styleId="9">
    <w:name w:val="Plain Text"/>
    <w:basedOn w:val="1"/>
    <w:link w:val="30"/>
    <w:qFormat/>
    <w:uiPriority w:val="99"/>
    <w:rPr>
      <w:rFonts w:ascii="宋体" w:hAnsi="Courier New" w:cs="宋体"/>
      <w:lang w:val="zh-CN"/>
    </w:rPr>
  </w:style>
  <w:style w:type="paragraph" w:styleId="10">
    <w:name w:val="Body Text Indent 2"/>
    <w:basedOn w:val="1"/>
    <w:link w:val="31"/>
    <w:qFormat/>
    <w:uiPriority w:val="99"/>
    <w:pPr>
      <w:spacing w:after="120" w:line="480" w:lineRule="auto"/>
      <w:ind w:left="420" w:leftChars="200"/>
    </w:pPr>
    <w:rPr>
      <w:rFonts w:ascii="等线" w:hAnsi="等线" w:eastAsia="等线" w:cs="等线"/>
      <w:lang w:val="zh-CN"/>
    </w:rPr>
  </w:style>
  <w:style w:type="paragraph" w:styleId="11">
    <w:name w:val="Balloon Text"/>
    <w:basedOn w:val="1"/>
    <w:link w:val="32"/>
    <w:semiHidden/>
    <w:qFormat/>
    <w:uiPriority w:val="99"/>
    <w:rPr>
      <w:sz w:val="18"/>
      <w:szCs w:val="18"/>
    </w:rPr>
  </w:style>
  <w:style w:type="paragraph" w:styleId="12">
    <w:name w:val="footer"/>
    <w:basedOn w:val="1"/>
    <w:link w:val="33"/>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b/>
      <w:bCs/>
      <w:caps/>
      <w:sz w:val="20"/>
      <w:szCs w:val="20"/>
    </w:rPr>
  </w:style>
  <w:style w:type="paragraph" w:styleId="15">
    <w:name w:val="Body Text Indent 3"/>
    <w:basedOn w:val="1"/>
    <w:link w:val="35"/>
    <w:qFormat/>
    <w:uiPriority w:val="99"/>
    <w:pPr>
      <w:ind w:firstLine="560" w:firstLineChars="200"/>
    </w:pPr>
    <w:rPr>
      <w:rFonts w:ascii="仿宋_GB2312" w:eastAsia="仿宋_GB2312" w:cs="仿宋_GB2312"/>
      <w:sz w:val="28"/>
      <w:szCs w:val="28"/>
    </w:rPr>
  </w:style>
  <w:style w:type="paragraph" w:styleId="16">
    <w:name w:val="HTML Preformatted"/>
    <w:basedOn w:val="1"/>
    <w:link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5"/>
    <w:next w:val="5"/>
    <w:link w:val="37"/>
    <w:semiHidden/>
    <w:qFormat/>
    <w:uiPriority w:val="99"/>
    <w:rPr>
      <w:b/>
      <w:bCs/>
    </w:rPr>
  </w:style>
  <w:style w:type="table" w:styleId="20">
    <w:name w:val="Table Grid"/>
    <w:basedOn w:val="1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locked/>
    <w:uiPriority w:val="22"/>
    <w:rPr>
      <w:b/>
      <w:szCs w:val="20"/>
    </w:rPr>
  </w:style>
  <w:style w:type="character" w:styleId="23">
    <w:name w:val="page number"/>
    <w:qFormat/>
    <w:uiPriority w:val="99"/>
  </w:style>
  <w:style w:type="character" w:styleId="24">
    <w:name w:val="FollowedHyperlink"/>
    <w:qFormat/>
    <w:uiPriority w:val="99"/>
    <w:rPr>
      <w:color w:val="800080"/>
      <w:u w:val="single"/>
    </w:rPr>
  </w:style>
  <w:style w:type="character" w:styleId="25">
    <w:name w:val="Hyperlink"/>
    <w:qFormat/>
    <w:uiPriority w:val="99"/>
    <w:rPr>
      <w:color w:val="0000FF"/>
      <w:u w:val="single"/>
    </w:rPr>
  </w:style>
  <w:style w:type="character" w:styleId="26">
    <w:name w:val="annotation reference"/>
    <w:qFormat/>
    <w:uiPriority w:val="0"/>
    <w:rPr>
      <w:sz w:val="21"/>
      <w:szCs w:val="21"/>
    </w:rPr>
  </w:style>
  <w:style w:type="paragraph" w:customStyle="1" w:styleId="27">
    <w:name w:val="标题 211"/>
    <w:basedOn w:val="1"/>
    <w:next w:val="1"/>
    <w:qFormat/>
    <w:uiPriority w:val="9"/>
    <w:pPr>
      <w:spacing w:line="360" w:lineRule="auto"/>
      <w:jc w:val="center"/>
      <w:outlineLvl w:val="1"/>
    </w:pPr>
    <w:rPr>
      <w:rFonts w:ascii="宋体" w:hAnsi="宋体" w:cs="宋体"/>
      <w:b/>
      <w:sz w:val="28"/>
      <w:szCs w:val="28"/>
    </w:rPr>
  </w:style>
  <w:style w:type="character" w:customStyle="1" w:styleId="28">
    <w:name w:val="标题 1 字符"/>
    <w:link w:val="3"/>
    <w:qFormat/>
    <w:locked/>
    <w:uiPriority w:val="99"/>
    <w:rPr>
      <w:rFonts w:ascii="Times New Roman" w:hAnsi="Times New Roman" w:eastAsia="宋体" w:cs="Times New Roman"/>
      <w:b/>
      <w:bCs/>
      <w:kern w:val="44"/>
      <w:sz w:val="20"/>
      <w:szCs w:val="20"/>
    </w:rPr>
  </w:style>
  <w:style w:type="character" w:customStyle="1" w:styleId="29">
    <w:name w:val="批注文字 字符"/>
    <w:link w:val="5"/>
    <w:semiHidden/>
    <w:qFormat/>
    <w:locked/>
    <w:uiPriority w:val="0"/>
    <w:rPr>
      <w:rFonts w:eastAsia="宋体"/>
      <w:sz w:val="21"/>
      <w:szCs w:val="21"/>
    </w:rPr>
  </w:style>
  <w:style w:type="character" w:customStyle="1" w:styleId="30">
    <w:name w:val="纯文本 字符"/>
    <w:link w:val="9"/>
    <w:qFormat/>
    <w:locked/>
    <w:uiPriority w:val="99"/>
    <w:rPr>
      <w:rFonts w:ascii="宋体" w:hAnsi="Courier New" w:eastAsia="宋体" w:cs="宋体"/>
      <w:lang w:val="zh-CN"/>
    </w:rPr>
  </w:style>
  <w:style w:type="character" w:customStyle="1" w:styleId="31">
    <w:name w:val="正文文本缩进 2 字符"/>
    <w:link w:val="10"/>
    <w:qFormat/>
    <w:locked/>
    <w:uiPriority w:val="99"/>
    <w:rPr>
      <w:sz w:val="24"/>
      <w:szCs w:val="24"/>
      <w:lang w:val="zh-CN"/>
    </w:rPr>
  </w:style>
  <w:style w:type="character" w:customStyle="1" w:styleId="32">
    <w:name w:val="批注框文本 字符"/>
    <w:link w:val="11"/>
    <w:semiHidden/>
    <w:qFormat/>
    <w:locked/>
    <w:uiPriority w:val="99"/>
    <w:rPr>
      <w:rFonts w:ascii="Times New Roman" w:hAnsi="Times New Roman" w:eastAsia="宋体" w:cs="Times New Roman"/>
      <w:sz w:val="18"/>
      <w:szCs w:val="18"/>
    </w:rPr>
  </w:style>
  <w:style w:type="character" w:customStyle="1" w:styleId="33">
    <w:name w:val="页脚 字符"/>
    <w:link w:val="12"/>
    <w:qFormat/>
    <w:locked/>
    <w:uiPriority w:val="99"/>
    <w:rPr>
      <w:sz w:val="18"/>
      <w:szCs w:val="18"/>
    </w:rPr>
  </w:style>
  <w:style w:type="character" w:customStyle="1" w:styleId="34">
    <w:name w:val="页眉 字符"/>
    <w:link w:val="13"/>
    <w:qFormat/>
    <w:locked/>
    <w:uiPriority w:val="99"/>
    <w:rPr>
      <w:sz w:val="18"/>
      <w:szCs w:val="18"/>
    </w:rPr>
  </w:style>
  <w:style w:type="character" w:customStyle="1" w:styleId="35">
    <w:name w:val="正文文本缩进 3 字符"/>
    <w:link w:val="15"/>
    <w:qFormat/>
    <w:locked/>
    <w:uiPriority w:val="99"/>
    <w:rPr>
      <w:rFonts w:ascii="仿宋_GB2312" w:hAnsi="Times New Roman" w:eastAsia="仿宋_GB2312" w:cs="仿宋_GB2312"/>
      <w:sz w:val="20"/>
      <w:szCs w:val="20"/>
    </w:rPr>
  </w:style>
  <w:style w:type="character" w:customStyle="1" w:styleId="36">
    <w:name w:val="HTML 预设格式 字符"/>
    <w:link w:val="16"/>
    <w:qFormat/>
    <w:locked/>
    <w:uiPriority w:val="99"/>
    <w:rPr>
      <w:rFonts w:ascii="宋体" w:hAnsi="宋体" w:eastAsia="宋体" w:cs="宋体"/>
      <w:kern w:val="0"/>
      <w:sz w:val="24"/>
      <w:szCs w:val="24"/>
    </w:rPr>
  </w:style>
  <w:style w:type="character" w:customStyle="1" w:styleId="37">
    <w:name w:val="批注主题 字符"/>
    <w:link w:val="18"/>
    <w:semiHidden/>
    <w:qFormat/>
    <w:locked/>
    <w:uiPriority w:val="99"/>
    <w:rPr>
      <w:rFonts w:eastAsia="宋体"/>
      <w:b/>
      <w:bCs/>
      <w:sz w:val="21"/>
      <w:szCs w:val="21"/>
    </w:rPr>
  </w:style>
  <w:style w:type="character" w:customStyle="1" w:styleId="38">
    <w:name w:val="纯文本 Char1"/>
    <w:semiHidden/>
    <w:qFormat/>
    <w:uiPriority w:val="99"/>
    <w:rPr>
      <w:rFonts w:ascii="宋体" w:hAnsi="Courier New" w:eastAsia="宋体" w:cs="宋体"/>
      <w:sz w:val="21"/>
      <w:szCs w:val="21"/>
    </w:rPr>
  </w:style>
  <w:style w:type="character" w:customStyle="1" w:styleId="39">
    <w:name w:val="批注文字 Char1"/>
    <w:semiHidden/>
    <w:qFormat/>
    <w:uiPriority w:val="99"/>
    <w:rPr>
      <w:rFonts w:ascii="Times New Roman" w:hAnsi="Times New Roman" w:eastAsia="宋体" w:cs="Times New Roman"/>
      <w:sz w:val="21"/>
      <w:szCs w:val="21"/>
    </w:rPr>
  </w:style>
  <w:style w:type="character" w:customStyle="1" w:styleId="40">
    <w:name w:val="正文文本缩进 2 Char1"/>
    <w:semiHidden/>
    <w:qFormat/>
    <w:uiPriority w:val="99"/>
    <w:rPr>
      <w:rFonts w:ascii="Times New Roman" w:hAnsi="Times New Roman" w:eastAsia="宋体" w:cs="Times New Roman"/>
      <w:sz w:val="21"/>
      <w:szCs w:val="21"/>
    </w:rPr>
  </w:style>
  <w:style w:type="character" w:customStyle="1" w:styleId="41">
    <w:name w:val="正文文本 (2)_"/>
    <w:link w:val="42"/>
    <w:qFormat/>
    <w:locked/>
    <w:uiPriority w:val="99"/>
    <w:rPr>
      <w:rFonts w:ascii="MingLiU" w:hAnsi="MingLiU" w:eastAsia="MingLiU" w:cs="MingLiU"/>
      <w:spacing w:val="10"/>
      <w:sz w:val="22"/>
      <w:szCs w:val="22"/>
      <w:shd w:val="clear" w:color="auto" w:fill="FFFFFF"/>
    </w:rPr>
  </w:style>
  <w:style w:type="paragraph" w:customStyle="1" w:styleId="42">
    <w:name w:val="正文文本 (2)"/>
    <w:basedOn w:val="1"/>
    <w:link w:val="41"/>
    <w:qFormat/>
    <w:uiPriority w:val="99"/>
    <w:pPr>
      <w:shd w:val="clear" w:color="auto" w:fill="FFFFFF"/>
      <w:spacing w:before="360" w:after="780" w:line="240" w:lineRule="atLeast"/>
      <w:jc w:val="left"/>
    </w:pPr>
    <w:rPr>
      <w:rFonts w:ascii="MingLiU" w:hAnsi="MingLiU" w:eastAsia="MingLiU" w:cs="MingLiU"/>
      <w:spacing w:val="10"/>
      <w:kern w:val="0"/>
      <w:sz w:val="22"/>
      <w:szCs w:val="22"/>
      <w:shd w:val="clear" w:color="auto" w:fill="FFFFFF"/>
    </w:rPr>
  </w:style>
  <w:style w:type="paragraph" w:customStyle="1" w:styleId="43">
    <w:name w:val="列出段落1"/>
    <w:basedOn w:val="1"/>
    <w:qFormat/>
    <w:uiPriority w:val="34"/>
    <w:pPr>
      <w:ind w:firstLine="420" w:firstLineChars="200"/>
    </w:pPr>
  </w:style>
  <w:style w:type="paragraph" w:customStyle="1" w:styleId="44">
    <w:name w:val="WPSOffice手动目录 1"/>
    <w:qFormat/>
    <w:uiPriority w:val="99"/>
    <w:rPr>
      <w:rFonts w:ascii="等线" w:hAnsi="等线" w:eastAsia="等线" w:cs="等线"/>
      <w:lang w:val="en-US" w:eastAsia="zh-CN" w:bidi="ar-SA"/>
    </w:rPr>
  </w:style>
  <w:style w:type="paragraph" w:customStyle="1" w:styleId="45">
    <w:name w:val="列出段落11"/>
    <w:basedOn w:val="1"/>
    <w:qFormat/>
    <w:uiPriority w:val="99"/>
    <w:pPr>
      <w:ind w:firstLine="420" w:firstLineChars="200"/>
    </w:pPr>
  </w:style>
  <w:style w:type="paragraph" w:customStyle="1" w:styleId="46">
    <w:name w:val="TOC 标题1"/>
    <w:basedOn w:val="3"/>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47">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48">
    <w:name w:val="列出段落2"/>
    <w:basedOn w:val="1"/>
    <w:link w:val="49"/>
    <w:qFormat/>
    <w:uiPriority w:val="34"/>
    <w:pPr>
      <w:ind w:firstLine="420" w:firstLineChars="200"/>
    </w:pPr>
    <w:rPr>
      <w:szCs w:val="24"/>
    </w:rPr>
  </w:style>
  <w:style w:type="character" w:customStyle="1" w:styleId="49">
    <w:name w:val="列出段落 字符"/>
    <w:link w:val="48"/>
    <w:qFormat/>
    <w:uiPriority w:val="34"/>
    <w:rPr>
      <w:rFonts w:ascii="Times New Roman" w:hAnsi="Times New Roman" w:eastAsia="宋体"/>
      <w:kern w:val="2"/>
      <w:sz w:val="21"/>
      <w:szCs w:val="24"/>
    </w:rPr>
  </w:style>
  <w:style w:type="character" w:customStyle="1" w:styleId="50">
    <w:name w:val="批注文字 字符1"/>
    <w:qFormat/>
    <w:uiPriority w:val="99"/>
    <w:rPr>
      <w:rFonts w:ascii="Times New Roman" w:hAnsi="Times New Roman" w:eastAsia="宋体" w:cs="Times New Roman"/>
      <w:szCs w:val="24"/>
      <w:lang w:val="zh-CN" w:eastAsia="zh-CN"/>
    </w:rPr>
  </w:style>
  <w:style w:type="table" w:customStyle="1" w:styleId="51">
    <w:name w:val="网格型浅色1"/>
    <w:basedOn w:val="19"/>
    <w:qFormat/>
    <w:uiPriority w:val="40"/>
    <w:tblPr>
      <w:tblBorders>
        <w:top w:val="single" w:color="80C588" w:themeColor="background1" w:themeShade="BF" w:sz="4" w:space="0"/>
        <w:left w:val="single" w:color="80C588" w:themeColor="background1" w:themeShade="BF" w:sz="4" w:space="0"/>
        <w:bottom w:val="single" w:color="80C588" w:themeColor="background1" w:themeShade="BF" w:sz="4" w:space="0"/>
        <w:right w:val="single" w:color="80C588" w:themeColor="background1" w:themeShade="BF" w:sz="4" w:space="0"/>
        <w:insideH w:val="single" w:color="80C588" w:themeColor="background1" w:themeShade="BF" w:sz="4" w:space="0"/>
        <w:insideV w:val="single" w:color="80C588" w:themeColor="background1" w:themeShade="BF" w:sz="4" w:space="0"/>
      </w:tblBorders>
    </w:tblPr>
  </w:style>
  <w:style w:type="table" w:customStyle="1" w:styleId="52">
    <w:name w:val="网格表 1 浅色1"/>
    <w:basedOn w:val="1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53">
    <w:name w:val="Heading 21"/>
    <w:basedOn w:val="1"/>
    <w:next w:val="1"/>
    <w:qFormat/>
    <w:uiPriority w:val="9"/>
    <w:pPr>
      <w:spacing w:line="360" w:lineRule="auto"/>
      <w:jc w:val="center"/>
      <w:outlineLvl w:val="1"/>
    </w:pPr>
    <w:rPr>
      <w:rFonts w:ascii="宋体" w:hAnsi="宋体" w:cs="宋体"/>
      <w:b/>
      <w:sz w:val="28"/>
      <w:szCs w:val="28"/>
    </w:rPr>
  </w:style>
  <w:style w:type="paragraph" w:customStyle="1" w:styleId="54">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B7B84C-1E7F-42EF-A2BD-20532354B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4780</Words>
  <Characters>27252</Characters>
  <Lines>227</Lines>
  <Paragraphs>63</Paragraphs>
  <TotalTime>61</TotalTime>
  <ScaleCrop>false</ScaleCrop>
  <LinksUpToDate>false</LinksUpToDate>
  <CharactersWithSpaces>31969</CharactersWithSpaces>
  <Application>WPS Office_11.8.2.10329_F1E327BC-269C-435d-A152-05C5408002CA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2023-09-14T10:16:00Z</dcterms:created>
  <dc:creator>周昊</dc:creator>
  <cp:lastModifiedBy>haom</cp:lastModifiedBy>
  <cp:lastPrinted>2021-05-27T16:13:00Z</cp:lastPrinted>
  <dcterms:modified xsi:type="dcterms:W3CDTF">2023-09-21T02:46:58Z</dcterms:modified>
  <dc:title>云南红塔银行股份有限公司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2052-11.8.2.10329</vt:lpwstr>
  </property>
  <property fmtid="{D5CDD505-2E9C-101B-9397-08002B2CF9AE}" pid="3" name="ICV">
    <vt:lpwstr>5A9B55D389464AF990E9658F40A93627</vt:lpwstr>
  </property>
  <property fmtid="{D5CDD505-2E9C-101B-9397-08002B2CF9AE}" pid="4" name="_KSOProductBuildMID">
    <vt:lpwstr>SYWMP6GO79UQ00BGQPR8IL057NMMOAPR9U0XLJDVXF88TE5TZ0BJYCJXFSUTPCRRXFMXJOL9ZHJD8HNJQEFA0FF68RLMWHLB8JOO0HB3046435B61A2E2F3E9CAD4BBF96514EDC</vt:lpwstr>
  </property>
  <property fmtid="{D5CDD505-2E9C-101B-9397-08002B2CF9AE}" pid="5" name="_KSOProductBuildSID">
    <vt:lpwstr>CGWMI6GH797Q00TGQYRNILJZ7NMMOYYR9J06BJD7XGI8TFLTN0BRPCJVFY5HPFIRXFMX5OLRZIA78HXJQXFA0FFU8RF0WI5BAFOOKHB3F1546C4AAE279879919E642A88DB4DB4</vt:lpwstr>
  </property>
</Properties>
</file>