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504728" w14:textId="77777777" w:rsidR="007149DF" w:rsidRPr="00777BCD" w:rsidRDefault="007149DF">
      <w:pPr>
        <w:tabs>
          <w:tab w:val="center" w:pos="4153"/>
        </w:tabs>
        <w:spacing w:line="240" w:lineRule="auto"/>
        <w:ind w:firstLine="1044"/>
        <w:rPr>
          <w:rFonts w:ascii="Calibri" w:hAnsi="Calibri" w:cs="Calibri"/>
          <w:b/>
          <w:color w:val="000000" w:themeColor="text1"/>
          <w:sz w:val="52"/>
        </w:rPr>
      </w:pPr>
      <w:bookmarkStart w:id="0" w:name="CTS_8e92591b25ee42ac9ffb9e8dc60017ed"/>
      <w:bookmarkStart w:id="1" w:name="CLAUSE_8e92591b25ee42ac9ffb9e8dc60017ed"/>
      <w:bookmarkStart w:id="2" w:name="_Hlk103969922"/>
      <w:bookmarkEnd w:id="0"/>
    </w:p>
    <w:p w14:paraId="74C6CED3" w14:textId="77777777" w:rsidR="007149DF" w:rsidRPr="00777BCD" w:rsidRDefault="007149DF">
      <w:pPr>
        <w:ind w:firstLine="422"/>
        <w:rPr>
          <w:rFonts w:ascii="Calibri" w:hAnsi="Calibri" w:cs="Calibri"/>
          <w:b/>
          <w:color w:val="000000" w:themeColor="text1"/>
        </w:rPr>
      </w:pPr>
    </w:p>
    <w:p w14:paraId="09F97A41" w14:textId="77777777" w:rsidR="007149DF" w:rsidRPr="00777BCD" w:rsidRDefault="007149DF">
      <w:pPr>
        <w:ind w:firstLine="1044"/>
        <w:jc w:val="center"/>
        <w:rPr>
          <w:rFonts w:ascii="Calibri" w:hAnsi="Calibri" w:cs="Calibri"/>
          <w:b/>
          <w:color w:val="000000" w:themeColor="text1"/>
          <w:sz w:val="52"/>
        </w:rPr>
      </w:pPr>
    </w:p>
    <w:p w14:paraId="42D3BDFE" w14:textId="77777777" w:rsidR="007149DF" w:rsidRPr="00777BCD" w:rsidRDefault="007149DF">
      <w:pPr>
        <w:ind w:firstLine="1044"/>
        <w:jc w:val="center"/>
        <w:rPr>
          <w:rFonts w:ascii="Calibri" w:hAnsi="Calibri" w:cs="Calibri"/>
          <w:b/>
          <w:color w:val="000000" w:themeColor="text1"/>
          <w:sz w:val="52"/>
        </w:rPr>
      </w:pPr>
    </w:p>
    <w:p w14:paraId="502CA3D2" w14:textId="77777777" w:rsidR="007149DF" w:rsidRPr="00777BCD" w:rsidRDefault="00284640">
      <w:pPr>
        <w:ind w:firstLine="198"/>
        <w:jc w:val="center"/>
        <w:rPr>
          <w:rFonts w:ascii="Calibri" w:hAnsi="Calibri" w:cs="Calibri"/>
          <w:b/>
          <w:color w:val="000000" w:themeColor="text1"/>
          <w:sz w:val="52"/>
        </w:rPr>
      </w:pPr>
      <w:r w:rsidRPr="00777BCD">
        <w:rPr>
          <w:rFonts w:ascii="Calibri" w:hAnsi="Calibri" w:cs="Calibri"/>
          <w:b/>
          <w:color w:val="000000" w:themeColor="text1"/>
          <w:sz w:val="52"/>
        </w:rPr>
        <w:t>银河基金管理有限公司</w:t>
      </w:r>
    </w:p>
    <w:p w14:paraId="5B95945E" w14:textId="77777777" w:rsidR="007149DF" w:rsidRPr="00777BCD" w:rsidRDefault="007149DF">
      <w:pPr>
        <w:ind w:firstLine="422"/>
        <w:rPr>
          <w:rFonts w:ascii="Calibri" w:hAnsi="Calibri" w:cs="Calibri"/>
          <w:b/>
          <w:color w:val="000000" w:themeColor="text1"/>
        </w:rPr>
      </w:pPr>
    </w:p>
    <w:p w14:paraId="1469B544" w14:textId="77777777" w:rsidR="007149DF" w:rsidRPr="00D918A5" w:rsidRDefault="007149DF">
      <w:pPr>
        <w:ind w:firstLine="1044"/>
        <w:jc w:val="center"/>
        <w:rPr>
          <w:rFonts w:ascii="Calibri" w:hAnsi="Calibri" w:cs="Calibri"/>
          <w:b/>
          <w:color w:val="000000" w:themeColor="text1"/>
          <w:sz w:val="52"/>
        </w:rPr>
      </w:pPr>
    </w:p>
    <w:p w14:paraId="365BA062" w14:textId="28158AB6" w:rsidR="007149DF" w:rsidRPr="00D918A5" w:rsidRDefault="00284640" w:rsidP="00FD166D">
      <w:pPr>
        <w:ind w:firstLine="0"/>
        <w:jc w:val="center"/>
        <w:rPr>
          <w:rFonts w:ascii="Calibri" w:hAnsi="Calibri" w:cs="Calibri"/>
          <w:b/>
          <w:color w:val="000000" w:themeColor="text1"/>
          <w:sz w:val="48"/>
        </w:rPr>
      </w:pPr>
      <w:r w:rsidRPr="00777BCD">
        <w:rPr>
          <w:rFonts w:ascii="Calibri" w:hAnsi="Calibri" w:cs="Calibri"/>
          <w:b/>
          <w:color w:val="000000" w:themeColor="text1"/>
          <w:sz w:val="48"/>
        </w:rPr>
        <w:t>银河</w:t>
      </w:r>
      <w:r w:rsidR="00B43597">
        <w:rPr>
          <w:rFonts w:ascii="宋体" w:hAnsi="宋体" w:cs="Calibri"/>
          <w:b/>
          <w:color w:val="000000" w:themeColor="text1"/>
          <w:sz w:val="48"/>
        </w:rPr>
        <w:t>ESG主题</w:t>
      </w:r>
      <w:r w:rsidRPr="00777BCD">
        <w:rPr>
          <w:rFonts w:ascii="Calibri" w:hAnsi="Calibri" w:cs="Calibri"/>
          <w:b/>
          <w:color w:val="000000" w:themeColor="text1"/>
          <w:sz w:val="48"/>
        </w:rPr>
        <w:t>混合型发起式证券投资</w:t>
      </w:r>
      <w:proofErr w:type="gramStart"/>
      <w:r w:rsidRPr="00777BCD">
        <w:rPr>
          <w:rFonts w:ascii="Calibri" w:hAnsi="Calibri" w:cs="Calibri"/>
          <w:b/>
          <w:color w:val="000000" w:themeColor="text1"/>
          <w:sz w:val="48"/>
        </w:rPr>
        <w:t>基金基金</w:t>
      </w:r>
      <w:proofErr w:type="gramEnd"/>
      <w:r w:rsidRPr="00777BCD">
        <w:rPr>
          <w:rFonts w:ascii="Calibri" w:hAnsi="Calibri" w:cs="Calibri"/>
          <w:b/>
          <w:color w:val="000000" w:themeColor="text1"/>
          <w:sz w:val="48"/>
        </w:rPr>
        <w:t>合同</w:t>
      </w:r>
    </w:p>
    <w:p w14:paraId="7424AFA8" w14:textId="77777777" w:rsidR="007149DF" w:rsidRPr="00777BCD" w:rsidRDefault="007149DF">
      <w:pPr>
        <w:ind w:firstLine="1044"/>
        <w:jc w:val="center"/>
        <w:rPr>
          <w:rFonts w:ascii="Calibri" w:hAnsi="Calibri" w:cs="Calibri"/>
          <w:b/>
          <w:color w:val="000000" w:themeColor="text1"/>
          <w:sz w:val="52"/>
        </w:rPr>
      </w:pPr>
    </w:p>
    <w:p w14:paraId="3E73BAFD" w14:textId="77777777" w:rsidR="007149DF" w:rsidRPr="00777BCD" w:rsidRDefault="007149DF">
      <w:pPr>
        <w:ind w:firstLine="1044"/>
        <w:jc w:val="center"/>
        <w:rPr>
          <w:rFonts w:ascii="Calibri" w:hAnsi="Calibri" w:cs="Calibri"/>
          <w:b/>
          <w:color w:val="000000" w:themeColor="text1"/>
          <w:sz w:val="52"/>
        </w:rPr>
      </w:pPr>
    </w:p>
    <w:p w14:paraId="78D95898" w14:textId="77777777" w:rsidR="007149DF" w:rsidRPr="00777BCD" w:rsidRDefault="007149DF">
      <w:pPr>
        <w:ind w:firstLine="1044"/>
        <w:jc w:val="center"/>
        <w:rPr>
          <w:rFonts w:ascii="Calibri" w:hAnsi="Calibri" w:cs="Calibri"/>
          <w:b/>
          <w:color w:val="000000" w:themeColor="text1"/>
          <w:sz w:val="52"/>
        </w:rPr>
      </w:pPr>
    </w:p>
    <w:p w14:paraId="4528B382" w14:textId="77777777" w:rsidR="007149DF" w:rsidRPr="00777BCD" w:rsidRDefault="007149DF">
      <w:pPr>
        <w:ind w:firstLine="1044"/>
        <w:jc w:val="center"/>
        <w:rPr>
          <w:rFonts w:ascii="Calibri" w:hAnsi="Calibri" w:cs="Calibri"/>
          <w:b/>
          <w:color w:val="000000" w:themeColor="text1"/>
          <w:sz w:val="52"/>
        </w:rPr>
      </w:pPr>
    </w:p>
    <w:p w14:paraId="457B5878" w14:textId="77777777" w:rsidR="007149DF" w:rsidRPr="00777BCD" w:rsidRDefault="007149DF">
      <w:pPr>
        <w:ind w:firstLine="422"/>
        <w:rPr>
          <w:rFonts w:ascii="Calibri" w:hAnsi="Calibri" w:cs="Calibri"/>
          <w:b/>
          <w:color w:val="000000" w:themeColor="text1"/>
        </w:rPr>
      </w:pPr>
    </w:p>
    <w:p w14:paraId="27FDD00F" w14:textId="77777777" w:rsidR="007149DF" w:rsidRPr="00777BCD" w:rsidRDefault="00284640">
      <w:pPr>
        <w:ind w:firstLine="0"/>
        <w:jc w:val="center"/>
        <w:rPr>
          <w:rFonts w:ascii="Calibri" w:hAnsi="Calibri" w:cs="Calibri"/>
          <w:b/>
          <w:color w:val="000000" w:themeColor="text1"/>
          <w:sz w:val="36"/>
        </w:rPr>
      </w:pPr>
      <w:bookmarkStart w:id="3" w:name="_Toc123112224"/>
      <w:bookmarkStart w:id="4" w:name="_Toc123701383"/>
      <w:bookmarkStart w:id="5" w:name="_Toc139991726"/>
      <w:bookmarkStart w:id="6" w:name="_Toc139992301"/>
      <w:bookmarkStart w:id="7" w:name="_Toc123112263"/>
      <w:r w:rsidRPr="00777BCD">
        <w:rPr>
          <w:rFonts w:ascii="Calibri" w:hAnsi="Calibri" w:cs="Calibri"/>
          <w:b/>
          <w:color w:val="000000" w:themeColor="text1"/>
          <w:sz w:val="36"/>
        </w:rPr>
        <w:t>基金管理人：</w:t>
      </w:r>
      <w:bookmarkEnd w:id="3"/>
      <w:bookmarkEnd w:id="4"/>
      <w:bookmarkEnd w:id="5"/>
      <w:bookmarkEnd w:id="6"/>
      <w:bookmarkEnd w:id="7"/>
      <w:r w:rsidRPr="00777BCD">
        <w:rPr>
          <w:rFonts w:ascii="Calibri" w:hAnsi="Calibri" w:cs="Calibri"/>
          <w:b/>
          <w:color w:val="000000" w:themeColor="text1"/>
          <w:sz w:val="36"/>
        </w:rPr>
        <w:t>银河基金管理有限公司</w:t>
      </w:r>
    </w:p>
    <w:p w14:paraId="4F238878" w14:textId="77777777" w:rsidR="007149DF" w:rsidRPr="00777BCD" w:rsidRDefault="00284640">
      <w:pPr>
        <w:ind w:firstLine="0"/>
        <w:jc w:val="center"/>
        <w:rPr>
          <w:rFonts w:ascii="Calibri" w:hAnsi="Calibri" w:cs="Calibri"/>
          <w:b/>
          <w:color w:val="000000" w:themeColor="text1"/>
          <w:sz w:val="36"/>
        </w:rPr>
      </w:pPr>
      <w:bookmarkStart w:id="8" w:name="_Toc139992302"/>
      <w:bookmarkStart w:id="9" w:name="_Toc123112264"/>
      <w:bookmarkStart w:id="10" w:name="_Toc139991727"/>
      <w:bookmarkStart w:id="11" w:name="_Toc123701384"/>
      <w:bookmarkStart w:id="12" w:name="_Toc123112225"/>
      <w:r w:rsidRPr="00777BCD">
        <w:rPr>
          <w:rFonts w:ascii="Calibri" w:hAnsi="Calibri" w:cs="Calibri"/>
          <w:b/>
          <w:color w:val="000000" w:themeColor="text1"/>
          <w:sz w:val="36"/>
        </w:rPr>
        <w:t>基金托管人：</w:t>
      </w:r>
      <w:bookmarkEnd w:id="8"/>
      <w:bookmarkEnd w:id="9"/>
      <w:bookmarkEnd w:id="10"/>
      <w:bookmarkEnd w:id="11"/>
      <w:bookmarkEnd w:id="12"/>
      <w:r w:rsidRPr="00777BCD">
        <w:rPr>
          <w:rFonts w:ascii="Calibri" w:hAnsi="Calibri" w:cs="Calibri"/>
          <w:b/>
          <w:color w:val="000000" w:themeColor="text1"/>
          <w:sz w:val="36"/>
        </w:rPr>
        <w:t>中国民生银行股份有限公司</w:t>
      </w:r>
    </w:p>
    <w:p w14:paraId="198E213D" w14:textId="77777777" w:rsidR="007149DF" w:rsidRPr="00777BCD" w:rsidRDefault="007149DF" w:rsidP="00A92F35">
      <w:pPr>
        <w:ind w:firstLine="0"/>
        <w:rPr>
          <w:rFonts w:ascii="Calibri" w:hAnsi="Calibri" w:cs="Calibri"/>
          <w:b/>
          <w:bCs/>
          <w:color w:val="000000" w:themeColor="text1"/>
          <w:sz w:val="30"/>
        </w:rPr>
      </w:pPr>
      <w:bookmarkStart w:id="13" w:name="_Toc123701386"/>
      <w:bookmarkStart w:id="14" w:name="_Toc139991729"/>
      <w:bookmarkStart w:id="15" w:name="_Toc123112227"/>
      <w:bookmarkStart w:id="16" w:name="_Toc123112266"/>
    </w:p>
    <w:p w14:paraId="7C9DCE7D" w14:textId="77777777" w:rsidR="007149DF" w:rsidRPr="00777BCD" w:rsidRDefault="00284640">
      <w:pPr>
        <w:ind w:firstLine="0"/>
        <w:jc w:val="center"/>
        <w:rPr>
          <w:rFonts w:ascii="Calibri" w:hAnsi="Calibri" w:cs="Calibri"/>
          <w:b/>
          <w:bCs/>
          <w:color w:val="000000" w:themeColor="text1"/>
          <w:sz w:val="30"/>
        </w:rPr>
      </w:pPr>
      <w:r w:rsidRPr="00777BCD">
        <w:rPr>
          <w:rFonts w:ascii="Calibri" w:hAnsi="Calibri" w:cs="Calibri"/>
          <w:b/>
          <w:bCs/>
          <w:color w:val="000000" w:themeColor="text1"/>
          <w:sz w:val="30"/>
        </w:rPr>
        <w:br w:type="page"/>
      </w:r>
    </w:p>
    <w:p w14:paraId="4D078D7E" w14:textId="77777777" w:rsidR="007149DF" w:rsidRPr="00777BCD" w:rsidRDefault="007149DF">
      <w:pPr>
        <w:ind w:firstLine="560"/>
        <w:jc w:val="center"/>
        <w:rPr>
          <w:rFonts w:ascii="Calibri" w:hAnsi="Calibri" w:cs="Calibri"/>
          <w:bCs/>
          <w:color w:val="000000" w:themeColor="text1"/>
          <w:sz w:val="28"/>
        </w:rPr>
        <w:sectPr w:rsidR="007149DF" w:rsidRPr="00777BCD" w:rsidSect="00DB548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pgNumType w:start="1"/>
          <w:cols w:space="720"/>
          <w:titlePg/>
          <w:docGrid w:type="lines" w:linePitch="312"/>
        </w:sectPr>
      </w:pPr>
    </w:p>
    <w:p w14:paraId="35CBECD2" w14:textId="77777777" w:rsidR="007149DF" w:rsidRPr="00777BCD" w:rsidRDefault="00284640">
      <w:pPr>
        <w:ind w:firstLine="0"/>
        <w:jc w:val="center"/>
        <w:rPr>
          <w:rFonts w:ascii="Calibri" w:hAnsi="Calibri" w:cs="Calibri"/>
          <w:b/>
          <w:bCs/>
          <w:color w:val="000000" w:themeColor="text1"/>
          <w:sz w:val="28"/>
        </w:rPr>
      </w:pPr>
      <w:r w:rsidRPr="00777BCD">
        <w:rPr>
          <w:rFonts w:ascii="Calibri" w:hAnsi="Calibri" w:cs="Calibri"/>
          <w:b/>
          <w:bCs/>
          <w:color w:val="000000" w:themeColor="text1"/>
          <w:sz w:val="28"/>
        </w:rPr>
        <w:lastRenderedPageBreak/>
        <w:t>目</w:t>
      </w:r>
      <w:r w:rsidRPr="00777BCD">
        <w:rPr>
          <w:rFonts w:ascii="Calibri" w:hAnsi="Calibri" w:cs="Calibri"/>
          <w:b/>
          <w:bCs/>
          <w:color w:val="000000" w:themeColor="text1"/>
          <w:sz w:val="28"/>
        </w:rPr>
        <w:t xml:space="preserve">    </w:t>
      </w:r>
      <w:r w:rsidRPr="00777BCD">
        <w:rPr>
          <w:rFonts w:ascii="Calibri" w:hAnsi="Calibri" w:cs="Calibri"/>
          <w:b/>
          <w:bCs/>
          <w:color w:val="000000" w:themeColor="text1"/>
          <w:sz w:val="28"/>
        </w:rPr>
        <w:t>录</w:t>
      </w:r>
      <w:bookmarkEnd w:id="13"/>
      <w:bookmarkEnd w:id="14"/>
      <w:bookmarkEnd w:id="15"/>
      <w:bookmarkEnd w:id="16"/>
    </w:p>
    <w:bookmarkStart w:id="17" w:name="_Hlt46746972"/>
    <w:p w14:paraId="657BEE0B" w14:textId="57F6A40F" w:rsidR="00030B7D" w:rsidRPr="00777BCD" w:rsidRDefault="00284640">
      <w:pPr>
        <w:pStyle w:val="TOC1"/>
        <w:rPr>
          <w:rFonts w:ascii="Calibri" w:eastAsiaTheme="minorEastAsia" w:hAnsi="Calibri" w:cs="Calibri"/>
          <w:noProof/>
          <w:kern w:val="2"/>
        </w:rPr>
      </w:pPr>
      <w:r w:rsidRPr="00777BCD">
        <w:rPr>
          <w:rFonts w:ascii="Calibri" w:hAnsi="Calibri" w:cs="Calibri"/>
          <w:bCs/>
          <w:color w:val="000000" w:themeColor="text1"/>
          <w:sz w:val="24"/>
        </w:rPr>
        <w:fldChar w:fldCharType="begin"/>
      </w:r>
      <w:bookmarkEnd w:id="17"/>
      <w:r w:rsidRPr="00777BCD">
        <w:rPr>
          <w:rFonts w:ascii="Calibri" w:hAnsi="Calibri" w:cs="Calibri"/>
          <w:bCs/>
          <w:color w:val="000000" w:themeColor="text1"/>
          <w:sz w:val="24"/>
        </w:rPr>
        <w:instrText xml:space="preserve"> TOC \o "1-1" \h \z \u </w:instrText>
      </w:r>
      <w:r w:rsidRPr="00777BCD">
        <w:rPr>
          <w:rFonts w:ascii="Calibri" w:hAnsi="Calibri" w:cs="Calibri"/>
          <w:bCs/>
          <w:color w:val="000000" w:themeColor="text1"/>
          <w:sz w:val="24"/>
        </w:rPr>
        <w:fldChar w:fldCharType="separate"/>
      </w:r>
      <w:hyperlink w:anchor="_Toc160725899" w:history="1">
        <w:r w:rsidR="00030B7D" w:rsidRPr="00777BCD">
          <w:rPr>
            <w:rStyle w:val="af7"/>
            <w:rFonts w:ascii="Calibri" w:hAnsi="Calibri" w:cs="Calibri"/>
            <w:noProof/>
          </w:rPr>
          <w:t>第一部分</w:t>
        </w:r>
        <w:r w:rsidR="00030B7D" w:rsidRPr="00777BCD">
          <w:rPr>
            <w:rStyle w:val="af7"/>
            <w:rFonts w:ascii="Calibri" w:hAnsi="Calibri" w:cs="Calibri"/>
            <w:noProof/>
          </w:rPr>
          <w:t xml:space="preserve">  </w:t>
        </w:r>
        <w:r w:rsidR="00030B7D" w:rsidRPr="00777BCD">
          <w:rPr>
            <w:rStyle w:val="af7"/>
            <w:rFonts w:ascii="Calibri" w:hAnsi="Calibri" w:cs="Calibri"/>
            <w:noProof/>
          </w:rPr>
          <w:t>前言</w:t>
        </w:r>
        <w:r w:rsidR="00030B7D" w:rsidRPr="00777BCD">
          <w:rPr>
            <w:rFonts w:ascii="Calibri" w:hAnsi="Calibri" w:cs="Calibri"/>
            <w:noProof/>
            <w:webHidden/>
          </w:rPr>
          <w:tab/>
        </w:r>
        <w:r w:rsidR="00030B7D" w:rsidRPr="00777BCD">
          <w:rPr>
            <w:rFonts w:ascii="Calibri" w:hAnsi="Calibri" w:cs="Calibri"/>
            <w:noProof/>
            <w:webHidden/>
          </w:rPr>
          <w:fldChar w:fldCharType="begin"/>
        </w:r>
        <w:r w:rsidR="00030B7D" w:rsidRPr="00777BCD">
          <w:rPr>
            <w:rFonts w:ascii="Calibri" w:hAnsi="Calibri" w:cs="Calibri"/>
            <w:noProof/>
            <w:webHidden/>
          </w:rPr>
          <w:instrText xml:space="preserve"> PAGEREF _Toc160725899 \h </w:instrText>
        </w:r>
        <w:r w:rsidR="00030B7D" w:rsidRPr="00777BCD">
          <w:rPr>
            <w:rFonts w:ascii="Calibri" w:hAnsi="Calibri" w:cs="Calibri"/>
            <w:noProof/>
            <w:webHidden/>
          </w:rPr>
        </w:r>
        <w:r w:rsidR="00030B7D" w:rsidRPr="00777BCD">
          <w:rPr>
            <w:rFonts w:ascii="Calibri" w:hAnsi="Calibri" w:cs="Calibri"/>
            <w:noProof/>
            <w:webHidden/>
          </w:rPr>
          <w:fldChar w:fldCharType="separate"/>
        </w:r>
        <w:r w:rsidR="00A54EF8">
          <w:rPr>
            <w:rFonts w:ascii="Calibri" w:hAnsi="Calibri" w:cs="Calibri"/>
            <w:noProof/>
            <w:webHidden/>
          </w:rPr>
          <w:t>1</w:t>
        </w:r>
        <w:r w:rsidR="00030B7D" w:rsidRPr="00777BCD">
          <w:rPr>
            <w:rFonts w:ascii="Calibri" w:hAnsi="Calibri" w:cs="Calibri"/>
            <w:noProof/>
            <w:webHidden/>
          </w:rPr>
          <w:fldChar w:fldCharType="end"/>
        </w:r>
      </w:hyperlink>
    </w:p>
    <w:p w14:paraId="5E680113" w14:textId="6203DF20" w:rsidR="00030B7D" w:rsidRPr="00777BCD" w:rsidRDefault="00000000">
      <w:pPr>
        <w:pStyle w:val="TOC1"/>
        <w:rPr>
          <w:rFonts w:ascii="Calibri" w:eastAsiaTheme="minorEastAsia" w:hAnsi="Calibri" w:cs="Calibri"/>
          <w:noProof/>
          <w:kern w:val="2"/>
        </w:rPr>
      </w:pPr>
      <w:hyperlink w:anchor="_Toc160725900" w:history="1">
        <w:r w:rsidR="00030B7D" w:rsidRPr="00777BCD">
          <w:rPr>
            <w:rStyle w:val="af7"/>
            <w:rFonts w:ascii="Calibri" w:hAnsi="Calibri" w:cs="Calibri"/>
            <w:noProof/>
          </w:rPr>
          <w:t>第二部分</w:t>
        </w:r>
        <w:r w:rsidR="00030B7D" w:rsidRPr="00777BCD">
          <w:rPr>
            <w:rStyle w:val="af7"/>
            <w:rFonts w:ascii="Calibri" w:hAnsi="Calibri" w:cs="Calibri"/>
            <w:noProof/>
          </w:rPr>
          <w:t xml:space="preserve">  </w:t>
        </w:r>
        <w:r w:rsidR="00030B7D" w:rsidRPr="00777BCD">
          <w:rPr>
            <w:rStyle w:val="af7"/>
            <w:rFonts w:ascii="Calibri" w:hAnsi="Calibri" w:cs="Calibri"/>
            <w:noProof/>
          </w:rPr>
          <w:t>释义</w:t>
        </w:r>
        <w:r w:rsidR="00030B7D" w:rsidRPr="00777BCD">
          <w:rPr>
            <w:rFonts w:ascii="Calibri" w:hAnsi="Calibri" w:cs="Calibri"/>
            <w:noProof/>
            <w:webHidden/>
          </w:rPr>
          <w:tab/>
        </w:r>
        <w:r w:rsidR="00030B7D" w:rsidRPr="00777BCD">
          <w:rPr>
            <w:rFonts w:ascii="Calibri" w:hAnsi="Calibri" w:cs="Calibri"/>
            <w:noProof/>
            <w:webHidden/>
          </w:rPr>
          <w:fldChar w:fldCharType="begin"/>
        </w:r>
        <w:r w:rsidR="00030B7D" w:rsidRPr="00777BCD">
          <w:rPr>
            <w:rFonts w:ascii="Calibri" w:hAnsi="Calibri" w:cs="Calibri"/>
            <w:noProof/>
            <w:webHidden/>
          </w:rPr>
          <w:instrText xml:space="preserve"> PAGEREF _Toc160725900 \h </w:instrText>
        </w:r>
        <w:r w:rsidR="00030B7D" w:rsidRPr="00777BCD">
          <w:rPr>
            <w:rFonts w:ascii="Calibri" w:hAnsi="Calibri" w:cs="Calibri"/>
            <w:noProof/>
            <w:webHidden/>
          </w:rPr>
        </w:r>
        <w:r w:rsidR="00030B7D" w:rsidRPr="00777BCD">
          <w:rPr>
            <w:rFonts w:ascii="Calibri" w:hAnsi="Calibri" w:cs="Calibri"/>
            <w:noProof/>
            <w:webHidden/>
          </w:rPr>
          <w:fldChar w:fldCharType="separate"/>
        </w:r>
        <w:r w:rsidR="00A54EF8">
          <w:rPr>
            <w:rFonts w:ascii="Calibri" w:hAnsi="Calibri" w:cs="Calibri"/>
            <w:noProof/>
            <w:webHidden/>
          </w:rPr>
          <w:t>3</w:t>
        </w:r>
        <w:r w:rsidR="00030B7D" w:rsidRPr="00777BCD">
          <w:rPr>
            <w:rFonts w:ascii="Calibri" w:hAnsi="Calibri" w:cs="Calibri"/>
            <w:noProof/>
            <w:webHidden/>
          </w:rPr>
          <w:fldChar w:fldCharType="end"/>
        </w:r>
      </w:hyperlink>
    </w:p>
    <w:p w14:paraId="56FE1104" w14:textId="43DD4A6F" w:rsidR="00030B7D" w:rsidRPr="00777BCD" w:rsidRDefault="00000000">
      <w:pPr>
        <w:pStyle w:val="TOC1"/>
        <w:rPr>
          <w:rFonts w:ascii="Calibri" w:eastAsiaTheme="minorEastAsia" w:hAnsi="Calibri" w:cs="Calibri"/>
          <w:noProof/>
          <w:kern w:val="2"/>
        </w:rPr>
      </w:pPr>
      <w:hyperlink w:anchor="_Toc160725901" w:history="1">
        <w:r w:rsidR="00030B7D" w:rsidRPr="00777BCD">
          <w:rPr>
            <w:rStyle w:val="af7"/>
            <w:rFonts w:ascii="Calibri" w:hAnsi="Calibri" w:cs="Calibri"/>
            <w:noProof/>
          </w:rPr>
          <w:t>第三部分</w:t>
        </w:r>
        <w:r w:rsidR="00030B7D" w:rsidRPr="00777BCD">
          <w:rPr>
            <w:rStyle w:val="af7"/>
            <w:rFonts w:ascii="Calibri" w:hAnsi="Calibri" w:cs="Calibri"/>
            <w:noProof/>
          </w:rPr>
          <w:t xml:space="preserve">  </w:t>
        </w:r>
        <w:r w:rsidR="00030B7D" w:rsidRPr="00777BCD">
          <w:rPr>
            <w:rStyle w:val="af7"/>
            <w:rFonts w:ascii="Calibri" w:hAnsi="Calibri" w:cs="Calibri"/>
            <w:noProof/>
          </w:rPr>
          <w:t>基金的基本情况</w:t>
        </w:r>
        <w:r w:rsidR="00030B7D" w:rsidRPr="00777BCD">
          <w:rPr>
            <w:rFonts w:ascii="Calibri" w:hAnsi="Calibri" w:cs="Calibri"/>
            <w:noProof/>
            <w:webHidden/>
          </w:rPr>
          <w:tab/>
        </w:r>
        <w:r w:rsidR="00030B7D" w:rsidRPr="00777BCD">
          <w:rPr>
            <w:rFonts w:ascii="Calibri" w:hAnsi="Calibri" w:cs="Calibri"/>
            <w:noProof/>
            <w:webHidden/>
          </w:rPr>
          <w:fldChar w:fldCharType="begin"/>
        </w:r>
        <w:r w:rsidR="00030B7D" w:rsidRPr="00777BCD">
          <w:rPr>
            <w:rFonts w:ascii="Calibri" w:hAnsi="Calibri" w:cs="Calibri"/>
            <w:noProof/>
            <w:webHidden/>
          </w:rPr>
          <w:instrText xml:space="preserve"> PAGEREF _Toc160725901 \h </w:instrText>
        </w:r>
        <w:r w:rsidR="00030B7D" w:rsidRPr="00777BCD">
          <w:rPr>
            <w:rFonts w:ascii="Calibri" w:hAnsi="Calibri" w:cs="Calibri"/>
            <w:noProof/>
            <w:webHidden/>
          </w:rPr>
        </w:r>
        <w:r w:rsidR="00030B7D" w:rsidRPr="00777BCD">
          <w:rPr>
            <w:rFonts w:ascii="Calibri" w:hAnsi="Calibri" w:cs="Calibri"/>
            <w:noProof/>
            <w:webHidden/>
          </w:rPr>
          <w:fldChar w:fldCharType="separate"/>
        </w:r>
        <w:r w:rsidR="00A54EF8">
          <w:rPr>
            <w:rFonts w:ascii="Calibri" w:hAnsi="Calibri" w:cs="Calibri"/>
            <w:noProof/>
            <w:webHidden/>
          </w:rPr>
          <w:t>9</w:t>
        </w:r>
        <w:r w:rsidR="00030B7D" w:rsidRPr="00777BCD">
          <w:rPr>
            <w:rFonts w:ascii="Calibri" w:hAnsi="Calibri" w:cs="Calibri"/>
            <w:noProof/>
            <w:webHidden/>
          </w:rPr>
          <w:fldChar w:fldCharType="end"/>
        </w:r>
      </w:hyperlink>
    </w:p>
    <w:p w14:paraId="6BDF9B7F" w14:textId="31D1D71B" w:rsidR="00030B7D" w:rsidRPr="00777BCD" w:rsidRDefault="00000000">
      <w:pPr>
        <w:pStyle w:val="TOC1"/>
        <w:rPr>
          <w:rFonts w:ascii="Calibri" w:eastAsiaTheme="minorEastAsia" w:hAnsi="Calibri" w:cs="Calibri"/>
          <w:noProof/>
          <w:kern w:val="2"/>
        </w:rPr>
      </w:pPr>
      <w:hyperlink w:anchor="_Toc160725902" w:history="1">
        <w:r w:rsidR="00030B7D" w:rsidRPr="00777BCD">
          <w:rPr>
            <w:rStyle w:val="af7"/>
            <w:rFonts w:ascii="Calibri" w:hAnsi="Calibri" w:cs="Calibri"/>
            <w:noProof/>
          </w:rPr>
          <w:t>第四部分</w:t>
        </w:r>
        <w:r w:rsidR="00030B7D" w:rsidRPr="00777BCD">
          <w:rPr>
            <w:rStyle w:val="af7"/>
            <w:rFonts w:ascii="Calibri" w:hAnsi="Calibri" w:cs="Calibri"/>
            <w:noProof/>
          </w:rPr>
          <w:t xml:space="preserve">  </w:t>
        </w:r>
        <w:r w:rsidR="00030B7D" w:rsidRPr="00777BCD">
          <w:rPr>
            <w:rStyle w:val="af7"/>
            <w:rFonts w:ascii="Calibri" w:hAnsi="Calibri" w:cs="Calibri"/>
            <w:noProof/>
          </w:rPr>
          <w:t>基金份额的发售</w:t>
        </w:r>
        <w:r w:rsidR="00030B7D" w:rsidRPr="00777BCD">
          <w:rPr>
            <w:rFonts w:ascii="Calibri" w:hAnsi="Calibri" w:cs="Calibri"/>
            <w:noProof/>
            <w:webHidden/>
          </w:rPr>
          <w:tab/>
        </w:r>
        <w:r w:rsidR="00030B7D" w:rsidRPr="00777BCD">
          <w:rPr>
            <w:rFonts w:ascii="Calibri" w:hAnsi="Calibri" w:cs="Calibri"/>
            <w:noProof/>
            <w:webHidden/>
          </w:rPr>
          <w:fldChar w:fldCharType="begin"/>
        </w:r>
        <w:r w:rsidR="00030B7D" w:rsidRPr="00777BCD">
          <w:rPr>
            <w:rFonts w:ascii="Calibri" w:hAnsi="Calibri" w:cs="Calibri"/>
            <w:noProof/>
            <w:webHidden/>
          </w:rPr>
          <w:instrText xml:space="preserve"> PAGEREF _Toc160725902 \h </w:instrText>
        </w:r>
        <w:r w:rsidR="00030B7D" w:rsidRPr="00777BCD">
          <w:rPr>
            <w:rFonts w:ascii="Calibri" w:hAnsi="Calibri" w:cs="Calibri"/>
            <w:noProof/>
            <w:webHidden/>
          </w:rPr>
        </w:r>
        <w:r w:rsidR="00030B7D" w:rsidRPr="00777BCD">
          <w:rPr>
            <w:rFonts w:ascii="Calibri" w:hAnsi="Calibri" w:cs="Calibri"/>
            <w:noProof/>
            <w:webHidden/>
          </w:rPr>
          <w:fldChar w:fldCharType="separate"/>
        </w:r>
        <w:r w:rsidR="00A54EF8">
          <w:rPr>
            <w:rFonts w:ascii="Calibri" w:hAnsi="Calibri" w:cs="Calibri"/>
            <w:noProof/>
            <w:webHidden/>
          </w:rPr>
          <w:t>11</w:t>
        </w:r>
        <w:r w:rsidR="00030B7D" w:rsidRPr="00777BCD">
          <w:rPr>
            <w:rFonts w:ascii="Calibri" w:hAnsi="Calibri" w:cs="Calibri"/>
            <w:noProof/>
            <w:webHidden/>
          </w:rPr>
          <w:fldChar w:fldCharType="end"/>
        </w:r>
      </w:hyperlink>
    </w:p>
    <w:p w14:paraId="7C5D3731" w14:textId="634E02C9" w:rsidR="00030B7D" w:rsidRPr="00777BCD" w:rsidRDefault="00000000">
      <w:pPr>
        <w:pStyle w:val="TOC1"/>
        <w:rPr>
          <w:rFonts w:ascii="Calibri" w:eastAsiaTheme="minorEastAsia" w:hAnsi="Calibri" w:cs="Calibri"/>
          <w:noProof/>
          <w:kern w:val="2"/>
        </w:rPr>
      </w:pPr>
      <w:hyperlink w:anchor="_Toc160725903" w:history="1">
        <w:r w:rsidR="00030B7D" w:rsidRPr="00777BCD">
          <w:rPr>
            <w:rStyle w:val="af7"/>
            <w:rFonts w:ascii="Calibri" w:hAnsi="Calibri" w:cs="Calibri"/>
            <w:noProof/>
          </w:rPr>
          <w:t>第五部分</w:t>
        </w:r>
        <w:r w:rsidR="00030B7D" w:rsidRPr="00777BCD">
          <w:rPr>
            <w:rStyle w:val="af7"/>
            <w:rFonts w:ascii="Calibri" w:hAnsi="Calibri" w:cs="Calibri"/>
            <w:noProof/>
          </w:rPr>
          <w:t xml:space="preserve">  </w:t>
        </w:r>
        <w:r w:rsidR="00030B7D" w:rsidRPr="00777BCD">
          <w:rPr>
            <w:rStyle w:val="af7"/>
            <w:rFonts w:ascii="Calibri" w:hAnsi="Calibri" w:cs="Calibri"/>
            <w:noProof/>
          </w:rPr>
          <w:t>基金备案</w:t>
        </w:r>
        <w:r w:rsidR="00030B7D" w:rsidRPr="00777BCD">
          <w:rPr>
            <w:rFonts w:ascii="Calibri" w:hAnsi="Calibri" w:cs="Calibri"/>
            <w:noProof/>
            <w:webHidden/>
          </w:rPr>
          <w:tab/>
        </w:r>
        <w:r w:rsidR="00030B7D" w:rsidRPr="00777BCD">
          <w:rPr>
            <w:rFonts w:ascii="Calibri" w:hAnsi="Calibri" w:cs="Calibri"/>
            <w:noProof/>
            <w:webHidden/>
          </w:rPr>
          <w:fldChar w:fldCharType="begin"/>
        </w:r>
        <w:r w:rsidR="00030B7D" w:rsidRPr="00777BCD">
          <w:rPr>
            <w:rFonts w:ascii="Calibri" w:hAnsi="Calibri" w:cs="Calibri"/>
            <w:noProof/>
            <w:webHidden/>
          </w:rPr>
          <w:instrText xml:space="preserve"> PAGEREF _Toc160725903 \h </w:instrText>
        </w:r>
        <w:r w:rsidR="00030B7D" w:rsidRPr="00777BCD">
          <w:rPr>
            <w:rFonts w:ascii="Calibri" w:hAnsi="Calibri" w:cs="Calibri"/>
            <w:noProof/>
            <w:webHidden/>
          </w:rPr>
        </w:r>
        <w:r w:rsidR="00030B7D" w:rsidRPr="00777BCD">
          <w:rPr>
            <w:rFonts w:ascii="Calibri" w:hAnsi="Calibri" w:cs="Calibri"/>
            <w:noProof/>
            <w:webHidden/>
          </w:rPr>
          <w:fldChar w:fldCharType="separate"/>
        </w:r>
        <w:r w:rsidR="00A54EF8">
          <w:rPr>
            <w:rFonts w:ascii="Calibri" w:hAnsi="Calibri" w:cs="Calibri"/>
            <w:noProof/>
            <w:webHidden/>
          </w:rPr>
          <w:t>13</w:t>
        </w:r>
        <w:r w:rsidR="00030B7D" w:rsidRPr="00777BCD">
          <w:rPr>
            <w:rFonts w:ascii="Calibri" w:hAnsi="Calibri" w:cs="Calibri"/>
            <w:noProof/>
            <w:webHidden/>
          </w:rPr>
          <w:fldChar w:fldCharType="end"/>
        </w:r>
      </w:hyperlink>
    </w:p>
    <w:p w14:paraId="1F1B4DE9" w14:textId="6DCE347B" w:rsidR="00030B7D" w:rsidRPr="00777BCD" w:rsidRDefault="00000000">
      <w:pPr>
        <w:pStyle w:val="TOC1"/>
        <w:rPr>
          <w:rFonts w:ascii="Calibri" w:eastAsiaTheme="minorEastAsia" w:hAnsi="Calibri" w:cs="Calibri"/>
          <w:noProof/>
          <w:kern w:val="2"/>
        </w:rPr>
      </w:pPr>
      <w:hyperlink w:anchor="_Toc160725904" w:history="1">
        <w:r w:rsidR="00030B7D" w:rsidRPr="00777BCD">
          <w:rPr>
            <w:rStyle w:val="af7"/>
            <w:rFonts w:ascii="Calibri" w:hAnsi="Calibri" w:cs="Calibri"/>
            <w:noProof/>
          </w:rPr>
          <w:t>第六部分</w:t>
        </w:r>
        <w:r w:rsidR="00030B7D" w:rsidRPr="00777BCD">
          <w:rPr>
            <w:rStyle w:val="af7"/>
            <w:rFonts w:ascii="Calibri" w:hAnsi="Calibri" w:cs="Calibri"/>
            <w:noProof/>
          </w:rPr>
          <w:t xml:space="preserve">  </w:t>
        </w:r>
        <w:r w:rsidR="00030B7D" w:rsidRPr="00777BCD">
          <w:rPr>
            <w:rStyle w:val="af7"/>
            <w:rFonts w:ascii="Calibri" w:hAnsi="Calibri" w:cs="Calibri"/>
            <w:noProof/>
          </w:rPr>
          <w:t>基金份额的申购与赎回</w:t>
        </w:r>
        <w:r w:rsidR="00030B7D" w:rsidRPr="00777BCD">
          <w:rPr>
            <w:rFonts w:ascii="Calibri" w:hAnsi="Calibri" w:cs="Calibri"/>
            <w:noProof/>
            <w:webHidden/>
          </w:rPr>
          <w:tab/>
        </w:r>
        <w:r w:rsidR="00030B7D" w:rsidRPr="00777BCD">
          <w:rPr>
            <w:rFonts w:ascii="Calibri" w:hAnsi="Calibri" w:cs="Calibri"/>
            <w:noProof/>
            <w:webHidden/>
          </w:rPr>
          <w:fldChar w:fldCharType="begin"/>
        </w:r>
        <w:r w:rsidR="00030B7D" w:rsidRPr="00777BCD">
          <w:rPr>
            <w:rFonts w:ascii="Calibri" w:hAnsi="Calibri" w:cs="Calibri"/>
            <w:noProof/>
            <w:webHidden/>
          </w:rPr>
          <w:instrText xml:space="preserve"> PAGEREF _Toc160725904 \h </w:instrText>
        </w:r>
        <w:r w:rsidR="00030B7D" w:rsidRPr="00777BCD">
          <w:rPr>
            <w:rFonts w:ascii="Calibri" w:hAnsi="Calibri" w:cs="Calibri"/>
            <w:noProof/>
            <w:webHidden/>
          </w:rPr>
        </w:r>
        <w:r w:rsidR="00030B7D" w:rsidRPr="00777BCD">
          <w:rPr>
            <w:rFonts w:ascii="Calibri" w:hAnsi="Calibri" w:cs="Calibri"/>
            <w:noProof/>
            <w:webHidden/>
          </w:rPr>
          <w:fldChar w:fldCharType="separate"/>
        </w:r>
        <w:r w:rsidR="00A54EF8">
          <w:rPr>
            <w:rFonts w:ascii="Calibri" w:hAnsi="Calibri" w:cs="Calibri"/>
            <w:noProof/>
            <w:webHidden/>
          </w:rPr>
          <w:t>15</w:t>
        </w:r>
        <w:r w:rsidR="00030B7D" w:rsidRPr="00777BCD">
          <w:rPr>
            <w:rFonts w:ascii="Calibri" w:hAnsi="Calibri" w:cs="Calibri"/>
            <w:noProof/>
            <w:webHidden/>
          </w:rPr>
          <w:fldChar w:fldCharType="end"/>
        </w:r>
      </w:hyperlink>
    </w:p>
    <w:p w14:paraId="7588A7E7" w14:textId="5CBA7CEC" w:rsidR="00030B7D" w:rsidRPr="00777BCD" w:rsidRDefault="00000000">
      <w:pPr>
        <w:pStyle w:val="TOC1"/>
        <w:rPr>
          <w:rFonts w:ascii="Calibri" w:eastAsiaTheme="minorEastAsia" w:hAnsi="Calibri" w:cs="Calibri"/>
          <w:noProof/>
          <w:kern w:val="2"/>
        </w:rPr>
      </w:pPr>
      <w:hyperlink w:anchor="_Toc160725905" w:history="1">
        <w:r w:rsidR="00030B7D" w:rsidRPr="00777BCD">
          <w:rPr>
            <w:rStyle w:val="af7"/>
            <w:rFonts w:ascii="Calibri" w:hAnsi="Calibri" w:cs="Calibri"/>
            <w:noProof/>
          </w:rPr>
          <w:t>第七部分</w:t>
        </w:r>
        <w:r w:rsidR="00030B7D" w:rsidRPr="00777BCD">
          <w:rPr>
            <w:rStyle w:val="af7"/>
            <w:rFonts w:ascii="Calibri" w:hAnsi="Calibri" w:cs="Calibri"/>
            <w:noProof/>
          </w:rPr>
          <w:t xml:space="preserve">  </w:t>
        </w:r>
        <w:r w:rsidR="00030B7D" w:rsidRPr="00777BCD">
          <w:rPr>
            <w:rStyle w:val="af7"/>
            <w:rFonts w:ascii="Calibri" w:hAnsi="Calibri" w:cs="Calibri"/>
            <w:noProof/>
          </w:rPr>
          <w:t>基金合同当事人及权利义务</w:t>
        </w:r>
        <w:r w:rsidR="00030B7D" w:rsidRPr="00777BCD">
          <w:rPr>
            <w:rFonts w:ascii="Calibri" w:hAnsi="Calibri" w:cs="Calibri"/>
            <w:noProof/>
            <w:webHidden/>
          </w:rPr>
          <w:tab/>
        </w:r>
        <w:r w:rsidR="00030B7D" w:rsidRPr="00777BCD">
          <w:rPr>
            <w:rFonts w:ascii="Calibri" w:hAnsi="Calibri" w:cs="Calibri"/>
            <w:noProof/>
            <w:webHidden/>
          </w:rPr>
          <w:fldChar w:fldCharType="begin"/>
        </w:r>
        <w:r w:rsidR="00030B7D" w:rsidRPr="00777BCD">
          <w:rPr>
            <w:rFonts w:ascii="Calibri" w:hAnsi="Calibri" w:cs="Calibri"/>
            <w:noProof/>
            <w:webHidden/>
          </w:rPr>
          <w:instrText xml:space="preserve"> PAGEREF _Toc160725905 \h </w:instrText>
        </w:r>
        <w:r w:rsidR="00030B7D" w:rsidRPr="00777BCD">
          <w:rPr>
            <w:rFonts w:ascii="Calibri" w:hAnsi="Calibri" w:cs="Calibri"/>
            <w:noProof/>
            <w:webHidden/>
          </w:rPr>
        </w:r>
        <w:r w:rsidR="00030B7D" w:rsidRPr="00777BCD">
          <w:rPr>
            <w:rFonts w:ascii="Calibri" w:hAnsi="Calibri" w:cs="Calibri"/>
            <w:noProof/>
            <w:webHidden/>
          </w:rPr>
          <w:fldChar w:fldCharType="separate"/>
        </w:r>
        <w:r w:rsidR="00A54EF8">
          <w:rPr>
            <w:rFonts w:ascii="Calibri" w:hAnsi="Calibri" w:cs="Calibri"/>
            <w:noProof/>
            <w:webHidden/>
          </w:rPr>
          <w:t>26</w:t>
        </w:r>
        <w:r w:rsidR="00030B7D" w:rsidRPr="00777BCD">
          <w:rPr>
            <w:rFonts w:ascii="Calibri" w:hAnsi="Calibri" w:cs="Calibri"/>
            <w:noProof/>
            <w:webHidden/>
          </w:rPr>
          <w:fldChar w:fldCharType="end"/>
        </w:r>
      </w:hyperlink>
    </w:p>
    <w:p w14:paraId="169E34F8" w14:textId="23E20EEA" w:rsidR="00030B7D" w:rsidRPr="00777BCD" w:rsidRDefault="00000000">
      <w:pPr>
        <w:pStyle w:val="TOC1"/>
        <w:rPr>
          <w:rFonts w:ascii="Calibri" w:eastAsiaTheme="minorEastAsia" w:hAnsi="Calibri" w:cs="Calibri"/>
          <w:noProof/>
          <w:kern w:val="2"/>
        </w:rPr>
      </w:pPr>
      <w:hyperlink w:anchor="_Toc160725906" w:history="1">
        <w:r w:rsidR="00030B7D" w:rsidRPr="00777BCD">
          <w:rPr>
            <w:rStyle w:val="af7"/>
            <w:rFonts w:ascii="Calibri" w:hAnsi="Calibri" w:cs="Calibri"/>
            <w:noProof/>
          </w:rPr>
          <w:t>第八部分</w:t>
        </w:r>
        <w:r w:rsidR="00030B7D" w:rsidRPr="00777BCD">
          <w:rPr>
            <w:rStyle w:val="af7"/>
            <w:rFonts w:ascii="Calibri" w:hAnsi="Calibri" w:cs="Calibri"/>
            <w:noProof/>
          </w:rPr>
          <w:t xml:space="preserve">  </w:t>
        </w:r>
        <w:r w:rsidR="00030B7D" w:rsidRPr="00777BCD">
          <w:rPr>
            <w:rStyle w:val="af7"/>
            <w:rFonts w:ascii="Calibri" w:hAnsi="Calibri" w:cs="Calibri"/>
            <w:noProof/>
          </w:rPr>
          <w:t>基金份额持有人大会</w:t>
        </w:r>
        <w:r w:rsidR="00030B7D" w:rsidRPr="00777BCD">
          <w:rPr>
            <w:rFonts w:ascii="Calibri" w:hAnsi="Calibri" w:cs="Calibri"/>
            <w:noProof/>
            <w:webHidden/>
          </w:rPr>
          <w:tab/>
        </w:r>
        <w:r w:rsidR="00030B7D" w:rsidRPr="00777BCD">
          <w:rPr>
            <w:rFonts w:ascii="Calibri" w:hAnsi="Calibri" w:cs="Calibri"/>
            <w:noProof/>
            <w:webHidden/>
          </w:rPr>
          <w:fldChar w:fldCharType="begin"/>
        </w:r>
        <w:r w:rsidR="00030B7D" w:rsidRPr="00777BCD">
          <w:rPr>
            <w:rFonts w:ascii="Calibri" w:hAnsi="Calibri" w:cs="Calibri"/>
            <w:noProof/>
            <w:webHidden/>
          </w:rPr>
          <w:instrText xml:space="preserve"> PAGEREF _Toc160725906 \h </w:instrText>
        </w:r>
        <w:r w:rsidR="00030B7D" w:rsidRPr="00777BCD">
          <w:rPr>
            <w:rFonts w:ascii="Calibri" w:hAnsi="Calibri" w:cs="Calibri"/>
            <w:noProof/>
            <w:webHidden/>
          </w:rPr>
        </w:r>
        <w:r w:rsidR="00030B7D" w:rsidRPr="00777BCD">
          <w:rPr>
            <w:rFonts w:ascii="Calibri" w:hAnsi="Calibri" w:cs="Calibri"/>
            <w:noProof/>
            <w:webHidden/>
          </w:rPr>
          <w:fldChar w:fldCharType="separate"/>
        </w:r>
        <w:r w:rsidR="00A54EF8">
          <w:rPr>
            <w:rFonts w:ascii="Calibri" w:hAnsi="Calibri" w:cs="Calibri"/>
            <w:noProof/>
            <w:webHidden/>
          </w:rPr>
          <w:t>34</w:t>
        </w:r>
        <w:r w:rsidR="00030B7D" w:rsidRPr="00777BCD">
          <w:rPr>
            <w:rFonts w:ascii="Calibri" w:hAnsi="Calibri" w:cs="Calibri"/>
            <w:noProof/>
            <w:webHidden/>
          </w:rPr>
          <w:fldChar w:fldCharType="end"/>
        </w:r>
      </w:hyperlink>
    </w:p>
    <w:p w14:paraId="4E62BEDF" w14:textId="1587172B" w:rsidR="00030B7D" w:rsidRPr="00777BCD" w:rsidRDefault="00000000">
      <w:pPr>
        <w:pStyle w:val="TOC1"/>
        <w:rPr>
          <w:rFonts w:ascii="Calibri" w:eastAsiaTheme="minorEastAsia" w:hAnsi="Calibri" w:cs="Calibri"/>
          <w:noProof/>
          <w:kern w:val="2"/>
        </w:rPr>
      </w:pPr>
      <w:hyperlink w:anchor="_Toc160725907" w:history="1">
        <w:r w:rsidR="00030B7D" w:rsidRPr="00777BCD">
          <w:rPr>
            <w:rStyle w:val="af7"/>
            <w:rFonts w:ascii="Calibri" w:hAnsi="Calibri" w:cs="Calibri"/>
            <w:noProof/>
          </w:rPr>
          <w:t>第九部分</w:t>
        </w:r>
        <w:r w:rsidR="00030B7D" w:rsidRPr="00777BCD">
          <w:rPr>
            <w:rStyle w:val="af7"/>
            <w:rFonts w:ascii="Calibri" w:hAnsi="Calibri" w:cs="Calibri"/>
            <w:noProof/>
          </w:rPr>
          <w:t xml:space="preserve">  </w:t>
        </w:r>
        <w:r w:rsidR="00030B7D" w:rsidRPr="00777BCD">
          <w:rPr>
            <w:rStyle w:val="af7"/>
            <w:rFonts w:ascii="Calibri" w:hAnsi="Calibri" w:cs="Calibri"/>
            <w:noProof/>
          </w:rPr>
          <w:t>基金管理人、基金托管人的更换条件和程序</w:t>
        </w:r>
        <w:r w:rsidR="00030B7D" w:rsidRPr="00777BCD">
          <w:rPr>
            <w:rFonts w:ascii="Calibri" w:hAnsi="Calibri" w:cs="Calibri"/>
            <w:noProof/>
            <w:webHidden/>
          </w:rPr>
          <w:tab/>
        </w:r>
        <w:r w:rsidR="00030B7D" w:rsidRPr="00777BCD">
          <w:rPr>
            <w:rFonts w:ascii="Calibri" w:hAnsi="Calibri" w:cs="Calibri"/>
            <w:noProof/>
            <w:webHidden/>
          </w:rPr>
          <w:fldChar w:fldCharType="begin"/>
        </w:r>
        <w:r w:rsidR="00030B7D" w:rsidRPr="00777BCD">
          <w:rPr>
            <w:rFonts w:ascii="Calibri" w:hAnsi="Calibri" w:cs="Calibri"/>
            <w:noProof/>
            <w:webHidden/>
          </w:rPr>
          <w:instrText xml:space="preserve"> PAGEREF _Toc160725907 \h </w:instrText>
        </w:r>
        <w:r w:rsidR="00030B7D" w:rsidRPr="00777BCD">
          <w:rPr>
            <w:rFonts w:ascii="Calibri" w:hAnsi="Calibri" w:cs="Calibri"/>
            <w:noProof/>
            <w:webHidden/>
          </w:rPr>
        </w:r>
        <w:r w:rsidR="00030B7D" w:rsidRPr="00777BCD">
          <w:rPr>
            <w:rFonts w:ascii="Calibri" w:hAnsi="Calibri" w:cs="Calibri"/>
            <w:noProof/>
            <w:webHidden/>
          </w:rPr>
          <w:fldChar w:fldCharType="separate"/>
        </w:r>
        <w:r w:rsidR="00A54EF8">
          <w:rPr>
            <w:rFonts w:ascii="Calibri" w:hAnsi="Calibri" w:cs="Calibri"/>
            <w:noProof/>
            <w:webHidden/>
          </w:rPr>
          <w:t>44</w:t>
        </w:r>
        <w:r w:rsidR="00030B7D" w:rsidRPr="00777BCD">
          <w:rPr>
            <w:rFonts w:ascii="Calibri" w:hAnsi="Calibri" w:cs="Calibri"/>
            <w:noProof/>
            <w:webHidden/>
          </w:rPr>
          <w:fldChar w:fldCharType="end"/>
        </w:r>
      </w:hyperlink>
    </w:p>
    <w:p w14:paraId="3D41545E" w14:textId="18942275" w:rsidR="00030B7D" w:rsidRPr="00777BCD" w:rsidRDefault="00000000">
      <w:pPr>
        <w:pStyle w:val="TOC1"/>
        <w:rPr>
          <w:rFonts w:ascii="Calibri" w:eastAsiaTheme="minorEastAsia" w:hAnsi="Calibri" w:cs="Calibri"/>
          <w:noProof/>
          <w:kern w:val="2"/>
        </w:rPr>
      </w:pPr>
      <w:hyperlink w:anchor="_Toc160725908" w:history="1">
        <w:r w:rsidR="00030B7D" w:rsidRPr="00777BCD">
          <w:rPr>
            <w:rStyle w:val="af7"/>
            <w:rFonts w:ascii="Calibri" w:hAnsi="Calibri" w:cs="Calibri"/>
            <w:noProof/>
          </w:rPr>
          <w:t>第十部分</w:t>
        </w:r>
        <w:r w:rsidR="00030B7D" w:rsidRPr="00777BCD">
          <w:rPr>
            <w:rStyle w:val="af7"/>
            <w:rFonts w:ascii="Calibri" w:hAnsi="Calibri" w:cs="Calibri"/>
            <w:noProof/>
          </w:rPr>
          <w:t xml:space="preserve">  </w:t>
        </w:r>
        <w:r w:rsidR="00030B7D" w:rsidRPr="00777BCD">
          <w:rPr>
            <w:rStyle w:val="af7"/>
            <w:rFonts w:ascii="Calibri" w:hAnsi="Calibri" w:cs="Calibri"/>
            <w:noProof/>
          </w:rPr>
          <w:t>基金的托管</w:t>
        </w:r>
        <w:r w:rsidR="00030B7D" w:rsidRPr="00777BCD">
          <w:rPr>
            <w:rFonts w:ascii="Calibri" w:hAnsi="Calibri" w:cs="Calibri"/>
            <w:noProof/>
            <w:webHidden/>
          </w:rPr>
          <w:tab/>
        </w:r>
        <w:r w:rsidR="00030B7D" w:rsidRPr="00777BCD">
          <w:rPr>
            <w:rFonts w:ascii="Calibri" w:hAnsi="Calibri" w:cs="Calibri"/>
            <w:noProof/>
            <w:webHidden/>
          </w:rPr>
          <w:fldChar w:fldCharType="begin"/>
        </w:r>
        <w:r w:rsidR="00030B7D" w:rsidRPr="00777BCD">
          <w:rPr>
            <w:rFonts w:ascii="Calibri" w:hAnsi="Calibri" w:cs="Calibri"/>
            <w:noProof/>
            <w:webHidden/>
          </w:rPr>
          <w:instrText xml:space="preserve"> PAGEREF _Toc160725908 \h </w:instrText>
        </w:r>
        <w:r w:rsidR="00030B7D" w:rsidRPr="00777BCD">
          <w:rPr>
            <w:rFonts w:ascii="Calibri" w:hAnsi="Calibri" w:cs="Calibri"/>
            <w:noProof/>
            <w:webHidden/>
          </w:rPr>
        </w:r>
        <w:r w:rsidR="00030B7D" w:rsidRPr="00777BCD">
          <w:rPr>
            <w:rFonts w:ascii="Calibri" w:hAnsi="Calibri" w:cs="Calibri"/>
            <w:noProof/>
            <w:webHidden/>
          </w:rPr>
          <w:fldChar w:fldCharType="separate"/>
        </w:r>
        <w:r w:rsidR="00A54EF8">
          <w:rPr>
            <w:rFonts w:ascii="Calibri" w:hAnsi="Calibri" w:cs="Calibri"/>
            <w:noProof/>
            <w:webHidden/>
          </w:rPr>
          <w:t>47</w:t>
        </w:r>
        <w:r w:rsidR="00030B7D" w:rsidRPr="00777BCD">
          <w:rPr>
            <w:rFonts w:ascii="Calibri" w:hAnsi="Calibri" w:cs="Calibri"/>
            <w:noProof/>
            <w:webHidden/>
          </w:rPr>
          <w:fldChar w:fldCharType="end"/>
        </w:r>
      </w:hyperlink>
    </w:p>
    <w:p w14:paraId="0E4E6E72" w14:textId="7C666CAD" w:rsidR="00030B7D" w:rsidRPr="00777BCD" w:rsidRDefault="00000000">
      <w:pPr>
        <w:pStyle w:val="TOC1"/>
        <w:rPr>
          <w:rFonts w:ascii="Calibri" w:eastAsiaTheme="minorEastAsia" w:hAnsi="Calibri" w:cs="Calibri"/>
          <w:noProof/>
          <w:kern w:val="2"/>
        </w:rPr>
      </w:pPr>
      <w:hyperlink w:anchor="_Toc160725909" w:history="1">
        <w:r w:rsidR="00030B7D" w:rsidRPr="00777BCD">
          <w:rPr>
            <w:rStyle w:val="af7"/>
            <w:rFonts w:ascii="Calibri" w:hAnsi="Calibri" w:cs="Calibri"/>
            <w:noProof/>
          </w:rPr>
          <w:t>第十一部分</w:t>
        </w:r>
        <w:r w:rsidR="00030B7D" w:rsidRPr="00777BCD">
          <w:rPr>
            <w:rStyle w:val="af7"/>
            <w:rFonts w:ascii="Calibri" w:hAnsi="Calibri" w:cs="Calibri"/>
            <w:noProof/>
          </w:rPr>
          <w:t xml:space="preserve">  </w:t>
        </w:r>
        <w:r w:rsidR="00030B7D" w:rsidRPr="00777BCD">
          <w:rPr>
            <w:rStyle w:val="af7"/>
            <w:rFonts w:ascii="Calibri" w:hAnsi="Calibri" w:cs="Calibri"/>
            <w:noProof/>
          </w:rPr>
          <w:t>基金份额的登记</w:t>
        </w:r>
        <w:r w:rsidR="00030B7D" w:rsidRPr="00777BCD">
          <w:rPr>
            <w:rFonts w:ascii="Calibri" w:hAnsi="Calibri" w:cs="Calibri"/>
            <w:noProof/>
            <w:webHidden/>
          </w:rPr>
          <w:tab/>
        </w:r>
        <w:r w:rsidR="00030B7D" w:rsidRPr="00777BCD">
          <w:rPr>
            <w:rFonts w:ascii="Calibri" w:hAnsi="Calibri" w:cs="Calibri"/>
            <w:noProof/>
            <w:webHidden/>
          </w:rPr>
          <w:fldChar w:fldCharType="begin"/>
        </w:r>
        <w:r w:rsidR="00030B7D" w:rsidRPr="00777BCD">
          <w:rPr>
            <w:rFonts w:ascii="Calibri" w:hAnsi="Calibri" w:cs="Calibri"/>
            <w:noProof/>
            <w:webHidden/>
          </w:rPr>
          <w:instrText xml:space="preserve"> PAGEREF _Toc160725909 \h </w:instrText>
        </w:r>
        <w:r w:rsidR="00030B7D" w:rsidRPr="00777BCD">
          <w:rPr>
            <w:rFonts w:ascii="Calibri" w:hAnsi="Calibri" w:cs="Calibri"/>
            <w:noProof/>
            <w:webHidden/>
          </w:rPr>
        </w:r>
        <w:r w:rsidR="00030B7D" w:rsidRPr="00777BCD">
          <w:rPr>
            <w:rFonts w:ascii="Calibri" w:hAnsi="Calibri" w:cs="Calibri"/>
            <w:noProof/>
            <w:webHidden/>
          </w:rPr>
          <w:fldChar w:fldCharType="separate"/>
        </w:r>
        <w:r w:rsidR="00A54EF8">
          <w:rPr>
            <w:rFonts w:ascii="Calibri" w:hAnsi="Calibri" w:cs="Calibri"/>
            <w:noProof/>
            <w:webHidden/>
          </w:rPr>
          <w:t>48</w:t>
        </w:r>
        <w:r w:rsidR="00030B7D" w:rsidRPr="00777BCD">
          <w:rPr>
            <w:rFonts w:ascii="Calibri" w:hAnsi="Calibri" w:cs="Calibri"/>
            <w:noProof/>
            <w:webHidden/>
          </w:rPr>
          <w:fldChar w:fldCharType="end"/>
        </w:r>
      </w:hyperlink>
    </w:p>
    <w:p w14:paraId="71EFCC26" w14:textId="1C3478BB" w:rsidR="00030B7D" w:rsidRPr="00777BCD" w:rsidRDefault="00000000">
      <w:pPr>
        <w:pStyle w:val="TOC1"/>
        <w:rPr>
          <w:rFonts w:ascii="Calibri" w:eastAsiaTheme="minorEastAsia" w:hAnsi="Calibri" w:cs="Calibri"/>
          <w:noProof/>
          <w:kern w:val="2"/>
        </w:rPr>
      </w:pPr>
      <w:hyperlink w:anchor="_Toc160725910" w:history="1">
        <w:r w:rsidR="00030B7D" w:rsidRPr="00777BCD">
          <w:rPr>
            <w:rStyle w:val="af7"/>
            <w:rFonts w:ascii="Calibri" w:hAnsi="Calibri" w:cs="Calibri"/>
            <w:noProof/>
          </w:rPr>
          <w:t>第十二部分</w:t>
        </w:r>
        <w:r w:rsidR="00030B7D" w:rsidRPr="00777BCD">
          <w:rPr>
            <w:rStyle w:val="af7"/>
            <w:rFonts w:ascii="Calibri" w:hAnsi="Calibri" w:cs="Calibri"/>
            <w:noProof/>
          </w:rPr>
          <w:t xml:space="preserve">  </w:t>
        </w:r>
        <w:r w:rsidR="00030B7D" w:rsidRPr="00777BCD">
          <w:rPr>
            <w:rStyle w:val="af7"/>
            <w:rFonts w:ascii="Calibri" w:hAnsi="Calibri" w:cs="Calibri"/>
            <w:noProof/>
          </w:rPr>
          <w:t>基金的投资</w:t>
        </w:r>
        <w:r w:rsidR="00030B7D" w:rsidRPr="00777BCD">
          <w:rPr>
            <w:rFonts w:ascii="Calibri" w:hAnsi="Calibri" w:cs="Calibri"/>
            <w:noProof/>
            <w:webHidden/>
          </w:rPr>
          <w:tab/>
        </w:r>
        <w:r w:rsidR="00030B7D" w:rsidRPr="00777BCD">
          <w:rPr>
            <w:rFonts w:ascii="Calibri" w:hAnsi="Calibri" w:cs="Calibri"/>
            <w:noProof/>
            <w:webHidden/>
          </w:rPr>
          <w:fldChar w:fldCharType="begin"/>
        </w:r>
        <w:r w:rsidR="00030B7D" w:rsidRPr="00777BCD">
          <w:rPr>
            <w:rFonts w:ascii="Calibri" w:hAnsi="Calibri" w:cs="Calibri"/>
            <w:noProof/>
            <w:webHidden/>
          </w:rPr>
          <w:instrText xml:space="preserve"> PAGEREF _Toc160725910 \h </w:instrText>
        </w:r>
        <w:r w:rsidR="00030B7D" w:rsidRPr="00777BCD">
          <w:rPr>
            <w:rFonts w:ascii="Calibri" w:hAnsi="Calibri" w:cs="Calibri"/>
            <w:noProof/>
            <w:webHidden/>
          </w:rPr>
        </w:r>
        <w:r w:rsidR="00030B7D" w:rsidRPr="00777BCD">
          <w:rPr>
            <w:rFonts w:ascii="Calibri" w:hAnsi="Calibri" w:cs="Calibri"/>
            <w:noProof/>
            <w:webHidden/>
          </w:rPr>
          <w:fldChar w:fldCharType="separate"/>
        </w:r>
        <w:r w:rsidR="00A54EF8">
          <w:rPr>
            <w:rFonts w:ascii="Calibri" w:hAnsi="Calibri" w:cs="Calibri"/>
            <w:noProof/>
            <w:webHidden/>
          </w:rPr>
          <w:t>50</w:t>
        </w:r>
        <w:r w:rsidR="00030B7D" w:rsidRPr="00777BCD">
          <w:rPr>
            <w:rFonts w:ascii="Calibri" w:hAnsi="Calibri" w:cs="Calibri"/>
            <w:noProof/>
            <w:webHidden/>
          </w:rPr>
          <w:fldChar w:fldCharType="end"/>
        </w:r>
      </w:hyperlink>
    </w:p>
    <w:p w14:paraId="1777CB9D" w14:textId="7304B134" w:rsidR="00030B7D" w:rsidRPr="00777BCD" w:rsidRDefault="00000000">
      <w:pPr>
        <w:pStyle w:val="TOC1"/>
        <w:rPr>
          <w:rFonts w:ascii="Calibri" w:eastAsiaTheme="minorEastAsia" w:hAnsi="Calibri" w:cs="Calibri"/>
          <w:noProof/>
          <w:kern w:val="2"/>
        </w:rPr>
      </w:pPr>
      <w:hyperlink w:anchor="_Toc160725911" w:history="1">
        <w:r w:rsidR="00030B7D" w:rsidRPr="00777BCD">
          <w:rPr>
            <w:rStyle w:val="af7"/>
            <w:rFonts w:ascii="Calibri" w:hAnsi="Calibri" w:cs="Calibri"/>
            <w:noProof/>
          </w:rPr>
          <w:t>第十三部分</w:t>
        </w:r>
        <w:r w:rsidR="00030B7D" w:rsidRPr="00777BCD">
          <w:rPr>
            <w:rStyle w:val="af7"/>
            <w:rFonts w:ascii="Calibri" w:hAnsi="Calibri" w:cs="Calibri"/>
            <w:noProof/>
          </w:rPr>
          <w:t xml:space="preserve">  </w:t>
        </w:r>
        <w:r w:rsidR="00030B7D" w:rsidRPr="00777BCD">
          <w:rPr>
            <w:rStyle w:val="af7"/>
            <w:rFonts w:ascii="Calibri" w:hAnsi="Calibri" w:cs="Calibri"/>
            <w:noProof/>
          </w:rPr>
          <w:t>基金的财产</w:t>
        </w:r>
        <w:r w:rsidR="00030B7D" w:rsidRPr="00777BCD">
          <w:rPr>
            <w:rFonts w:ascii="Calibri" w:hAnsi="Calibri" w:cs="Calibri"/>
            <w:noProof/>
            <w:webHidden/>
          </w:rPr>
          <w:tab/>
        </w:r>
        <w:r w:rsidR="00030B7D" w:rsidRPr="00777BCD">
          <w:rPr>
            <w:rFonts w:ascii="Calibri" w:hAnsi="Calibri" w:cs="Calibri"/>
            <w:noProof/>
            <w:webHidden/>
          </w:rPr>
          <w:fldChar w:fldCharType="begin"/>
        </w:r>
        <w:r w:rsidR="00030B7D" w:rsidRPr="00777BCD">
          <w:rPr>
            <w:rFonts w:ascii="Calibri" w:hAnsi="Calibri" w:cs="Calibri"/>
            <w:noProof/>
            <w:webHidden/>
          </w:rPr>
          <w:instrText xml:space="preserve"> PAGEREF _Toc160725911 \h </w:instrText>
        </w:r>
        <w:r w:rsidR="00030B7D" w:rsidRPr="00777BCD">
          <w:rPr>
            <w:rFonts w:ascii="Calibri" w:hAnsi="Calibri" w:cs="Calibri"/>
            <w:noProof/>
            <w:webHidden/>
          </w:rPr>
        </w:r>
        <w:r w:rsidR="00030B7D" w:rsidRPr="00777BCD">
          <w:rPr>
            <w:rFonts w:ascii="Calibri" w:hAnsi="Calibri" w:cs="Calibri"/>
            <w:noProof/>
            <w:webHidden/>
          </w:rPr>
          <w:fldChar w:fldCharType="separate"/>
        </w:r>
        <w:r w:rsidR="00A54EF8">
          <w:rPr>
            <w:rFonts w:ascii="Calibri" w:hAnsi="Calibri" w:cs="Calibri"/>
            <w:noProof/>
            <w:webHidden/>
          </w:rPr>
          <w:t>61</w:t>
        </w:r>
        <w:r w:rsidR="00030B7D" w:rsidRPr="00777BCD">
          <w:rPr>
            <w:rFonts w:ascii="Calibri" w:hAnsi="Calibri" w:cs="Calibri"/>
            <w:noProof/>
            <w:webHidden/>
          </w:rPr>
          <w:fldChar w:fldCharType="end"/>
        </w:r>
      </w:hyperlink>
    </w:p>
    <w:p w14:paraId="69CAF89C" w14:textId="585EED9B" w:rsidR="00030B7D" w:rsidRPr="00777BCD" w:rsidRDefault="00000000">
      <w:pPr>
        <w:pStyle w:val="TOC1"/>
        <w:rPr>
          <w:rFonts w:ascii="Calibri" w:eastAsiaTheme="minorEastAsia" w:hAnsi="Calibri" w:cs="Calibri"/>
          <w:noProof/>
          <w:kern w:val="2"/>
        </w:rPr>
      </w:pPr>
      <w:hyperlink w:anchor="_Toc160725912" w:history="1">
        <w:r w:rsidR="00030B7D" w:rsidRPr="00777BCD">
          <w:rPr>
            <w:rStyle w:val="af7"/>
            <w:rFonts w:ascii="Calibri" w:hAnsi="Calibri" w:cs="Calibri"/>
            <w:noProof/>
          </w:rPr>
          <w:t>第十四部分</w:t>
        </w:r>
        <w:r w:rsidR="00030B7D" w:rsidRPr="00777BCD">
          <w:rPr>
            <w:rStyle w:val="af7"/>
            <w:rFonts w:ascii="Calibri" w:hAnsi="Calibri" w:cs="Calibri"/>
            <w:noProof/>
          </w:rPr>
          <w:t xml:space="preserve">  </w:t>
        </w:r>
        <w:r w:rsidR="00030B7D" w:rsidRPr="00777BCD">
          <w:rPr>
            <w:rStyle w:val="af7"/>
            <w:rFonts w:ascii="Calibri" w:hAnsi="Calibri" w:cs="Calibri"/>
            <w:noProof/>
          </w:rPr>
          <w:t>基金资产估值</w:t>
        </w:r>
        <w:r w:rsidR="00030B7D" w:rsidRPr="00777BCD">
          <w:rPr>
            <w:rFonts w:ascii="Calibri" w:hAnsi="Calibri" w:cs="Calibri"/>
            <w:noProof/>
            <w:webHidden/>
          </w:rPr>
          <w:tab/>
        </w:r>
        <w:r w:rsidR="00030B7D" w:rsidRPr="00777BCD">
          <w:rPr>
            <w:rFonts w:ascii="Calibri" w:hAnsi="Calibri" w:cs="Calibri"/>
            <w:noProof/>
            <w:webHidden/>
          </w:rPr>
          <w:fldChar w:fldCharType="begin"/>
        </w:r>
        <w:r w:rsidR="00030B7D" w:rsidRPr="00777BCD">
          <w:rPr>
            <w:rFonts w:ascii="Calibri" w:hAnsi="Calibri" w:cs="Calibri"/>
            <w:noProof/>
            <w:webHidden/>
          </w:rPr>
          <w:instrText xml:space="preserve"> PAGEREF _Toc160725912 \h </w:instrText>
        </w:r>
        <w:r w:rsidR="00030B7D" w:rsidRPr="00777BCD">
          <w:rPr>
            <w:rFonts w:ascii="Calibri" w:hAnsi="Calibri" w:cs="Calibri"/>
            <w:noProof/>
            <w:webHidden/>
          </w:rPr>
        </w:r>
        <w:r w:rsidR="00030B7D" w:rsidRPr="00777BCD">
          <w:rPr>
            <w:rFonts w:ascii="Calibri" w:hAnsi="Calibri" w:cs="Calibri"/>
            <w:noProof/>
            <w:webHidden/>
          </w:rPr>
          <w:fldChar w:fldCharType="separate"/>
        </w:r>
        <w:r w:rsidR="00A54EF8">
          <w:rPr>
            <w:rFonts w:ascii="Calibri" w:hAnsi="Calibri" w:cs="Calibri"/>
            <w:noProof/>
            <w:webHidden/>
          </w:rPr>
          <w:t>62</w:t>
        </w:r>
        <w:r w:rsidR="00030B7D" w:rsidRPr="00777BCD">
          <w:rPr>
            <w:rFonts w:ascii="Calibri" w:hAnsi="Calibri" w:cs="Calibri"/>
            <w:noProof/>
            <w:webHidden/>
          </w:rPr>
          <w:fldChar w:fldCharType="end"/>
        </w:r>
      </w:hyperlink>
    </w:p>
    <w:p w14:paraId="2AB069D1" w14:textId="1D5BF455" w:rsidR="00030B7D" w:rsidRPr="00777BCD" w:rsidRDefault="00000000">
      <w:pPr>
        <w:pStyle w:val="TOC1"/>
        <w:rPr>
          <w:rFonts w:ascii="Calibri" w:eastAsiaTheme="minorEastAsia" w:hAnsi="Calibri" w:cs="Calibri"/>
          <w:noProof/>
          <w:kern w:val="2"/>
        </w:rPr>
      </w:pPr>
      <w:hyperlink w:anchor="_Toc160725913" w:history="1">
        <w:r w:rsidR="00030B7D" w:rsidRPr="00777BCD">
          <w:rPr>
            <w:rStyle w:val="af7"/>
            <w:rFonts w:ascii="Calibri" w:hAnsi="Calibri" w:cs="Calibri"/>
            <w:noProof/>
          </w:rPr>
          <w:t>第十五部分</w:t>
        </w:r>
        <w:r w:rsidR="00030B7D" w:rsidRPr="00777BCD">
          <w:rPr>
            <w:rStyle w:val="af7"/>
            <w:rFonts w:ascii="Calibri" w:hAnsi="Calibri" w:cs="Calibri"/>
            <w:noProof/>
          </w:rPr>
          <w:t xml:space="preserve">  </w:t>
        </w:r>
        <w:r w:rsidR="00030B7D" w:rsidRPr="00777BCD">
          <w:rPr>
            <w:rStyle w:val="af7"/>
            <w:rFonts w:ascii="Calibri" w:hAnsi="Calibri" w:cs="Calibri"/>
            <w:noProof/>
          </w:rPr>
          <w:t>基金费用与税收</w:t>
        </w:r>
        <w:r w:rsidR="00030B7D" w:rsidRPr="00777BCD">
          <w:rPr>
            <w:rFonts w:ascii="Calibri" w:hAnsi="Calibri" w:cs="Calibri"/>
            <w:noProof/>
            <w:webHidden/>
          </w:rPr>
          <w:tab/>
        </w:r>
        <w:r w:rsidR="00030B7D" w:rsidRPr="00777BCD">
          <w:rPr>
            <w:rFonts w:ascii="Calibri" w:hAnsi="Calibri" w:cs="Calibri"/>
            <w:noProof/>
            <w:webHidden/>
          </w:rPr>
          <w:fldChar w:fldCharType="begin"/>
        </w:r>
        <w:r w:rsidR="00030B7D" w:rsidRPr="00777BCD">
          <w:rPr>
            <w:rFonts w:ascii="Calibri" w:hAnsi="Calibri" w:cs="Calibri"/>
            <w:noProof/>
            <w:webHidden/>
          </w:rPr>
          <w:instrText xml:space="preserve"> PAGEREF _Toc160725913 \h </w:instrText>
        </w:r>
        <w:r w:rsidR="00030B7D" w:rsidRPr="00777BCD">
          <w:rPr>
            <w:rFonts w:ascii="Calibri" w:hAnsi="Calibri" w:cs="Calibri"/>
            <w:noProof/>
            <w:webHidden/>
          </w:rPr>
        </w:r>
        <w:r w:rsidR="00030B7D" w:rsidRPr="00777BCD">
          <w:rPr>
            <w:rFonts w:ascii="Calibri" w:hAnsi="Calibri" w:cs="Calibri"/>
            <w:noProof/>
            <w:webHidden/>
          </w:rPr>
          <w:fldChar w:fldCharType="separate"/>
        </w:r>
        <w:r w:rsidR="00A54EF8">
          <w:rPr>
            <w:rFonts w:ascii="Calibri" w:hAnsi="Calibri" w:cs="Calibri"/>
            <w:noProof/>
            <w:webHidden/>
          </w:rPr>
          <w:t>69</w:t>
        </w:r>
        <w:r w:rsidR="00030B7D" w:rsidRPr="00777BCD">
          <w:rPr>
            <w:rFonts w:ascii="Calibri" w:hAnsi="Calibri" w:cs="Calibri"/>
            <w:noProof/>
            <w:webHidden/>
          </w:rPr>
          <w:fldChar w:fldCharType="end"/>
        </w:r>
      </w:hyperlink>
    </w:p>
    <w:p w14:paraId="4CD8350A" w14:textId="37938A1E" w:rsidR="00030B7D" w:rsidRPr="00777BCD" w:rsidRDefault="00000000">
      <w:pPr>
        <w:pStyle w:val="TOC1"/>
        <w:rPr>
          <w:rFonts w:ascii="Calibri" w:eastAsiaTheme="minorEastAsia" w:hAnsi="Calibri" w:cs="Calibri"/>
          <w:noProof/>
          <w:kern w:val="2"/>
        </w:rPr>
      </w:pPr>
      <w:hyperlink w:anchor="_Toc160725914" w:history="1">
        <w:r w:rsidR="00030B7D" w:rsidRPr="00777BCD">
          <w:rPr>
            <w:rStyle w:val="af7"/>
            <w:rFonts w:ascii="Calibri" w:hAnsi="Calibri" w:cs="Calibri"/>
            <w:noProof/>
          </w:rPr>
          <w:t>第十六部分</w:t>
        </w:r>
        <w:r w:rsidR="00030B7D" w:rsidRPr="00777BCD">
          <w:rPr>
            <w:rStyle w:val="af7"/>
            <w:rFonts w:ascii="Calibri" w:hAnsi="Calibri" w:cs="Calibri"/>
            <w:noProof/>
          </w:rPr>
          <w:t xml:space="preserve">  </w:t>
        </w:r>
        <w:r w:rsidR="00030B7D" w:rsidRPr="00777BCD">
          <w:rPr>
            <w:rStyle w:val="af7"/>
            <w:rFonts w:ascii="Calibri" w:hAnsi="Calibri" w:cs="Calibri"/>
            <w:noProof/>
          </w:rPr>
          <w:t>基金的收益与分配</w:t>
        </w:r>
        <w:r w:rsidR="00030B7D" w:rsidRPr="00777BCD">
          <w:rPr>
            <w:rFonts w:ascii="Calibri" w:hAnsi="Calibri" w:cs="Calibri"/>
            <w:noProof/>
            <w:webHidden/>
          </w:rPr>
          <w:tab/>
        </w:r>
        <w:r w:rsidR="00030B7D" w:rsidRPr="00777BCD">
          <w:rPr>
            <w:rFonts w:ascii="Calibri" w:hAnsi="Calibri" w:cs="Calibri"/>
            <w:noProof/>
            <w:webHidden/>
          </w:rPr>
          <w:fldChar w:fldCharType="begin"/>
        </w:r>
        <w:r w:rsidR="00030B7D" w:rsidRPr="00777BCD">
          <w:rPr>
            <w:rFonts w:ascii="Calibri" w:hAnsi="Calibri" w:cs="Calibri"/>
            <w:noProof/>
            <w:webHidden/>
          </w:rPr>
          <w:instrText xml:space="preserve"> PAGEREF _Toc160725914 \h </w:instrText>
        </w:r>
        <w:r w:rsidR="00030B7D" w:rsidRPr="00777BCD">
          <w:rPr>
            <w:rFonts w:ascii="Calibri" w:hAnsi="Calibri" w:cs="Calibri"/>
            <w:noProof/>
            <w:webHidden/>
          </w:rPr>
        </w:r>
        <w:r w:rsidR="00030B7D" w:rsidRPr="00777BCD">
          <w:rPr>
            <w:rFonts w:ascii="Calibri" w:hAnsi="Calibri" w:cs="Calibri"/>
            <w:noProof/>
            <w:webHidden/>
          </w:rPr>
          <w:fldChar w:fldCharType="separate"/>
        </w:r>
        <w:r w:rsidR="00A54EF8">
          <w:rPr>
            <w:rFonts w:ascii="Calibri" w:hAnsi="Calibri" w:cs="Calibri"/>
            <w:noProof/>
            <w:webHidden/>
          </w:rPr>
          <w:t>72</w:t>
        </w:r>
        <w:r w:rsidR="00030B7D" w:rsidRPr="00777BCD">
          <w:rPr>
            <w:rFonts w:ascii="Calibri" w:hAnsi="Calibri" w:cs="Calibri"/>
            <w:noProof/>
            <w:webHidden/>
          </w:rPr>
          <w:fldChar w:fldCharType="end"/>
        </w:r>
      </w:hyperlink>
    </w:p>
    <w:p w14:paraId="1D77B0BA" w14:textId="0865002A" w:rsidR="00030B7D" w:rsidRPr="00777BCD" w:rsidRDefault="00000000">
      <w:pPr>
        <w:pStyle w:val="TOC1"/>
        <w:rPr>
          <w:rFonts w:ascii="Calibri" w:eastAsiaTheme="minorEastAsia" w:hAnsi="Calibri" w:cs="Calibri"/>
          <w:noProof/>
          <w:kern w:val="2"/>
        </w:rPr>
      </w:pPr>
      <w:hyperlink w:anchor="_Toc160725915" w:history="1">
        <w:r w:rsidR="00030B7D" w:rsidRPr="00777BCD">
          <w:rPr>
            <w:rStyle w:val="af7"/>
            <w:rFonts w:ascii="Calibri" w:hAnsi="Calibri" w:cs="Calibri"/>
            <w:noProof/>
          </w:rPr>
          <w:t>第十七部分</w:t>
        </w:r>
        <w:r w:rsidR="00030B7D" w:rsidRPr="00777BCD">
          <w:rPr>
            <w:rStyle w:val="af7"/>
            <w:rFonts w:ascii="Calibri" w:hAnsi="Calibri" w:cs="Calibri"/>
            <w:noProof/>
          </w:rPr>
          <w:t xml:space="preserve">  </w:t>
        </w:r>
        <w:r w:rsidR="00030B7D" w:rsidRPr="00777BCD">
          <w:rPr>
            <w:rStyle w:val="af7"/>
            <w:rFonts w:ascii="Calibri" w:hAnsi="Calibri" w:cs="Calibri"/>
            <w:noProof/>
          </w:rPr>
          <w:t>基金的会计与审计</w:t>
        </w:r>
        <w:r w:rsidR="00030B7D" w:rsidRPr="00777BCD">
          <w:rPr>
            <w:rFonts w:ascii="Calibri" w:hAnsi="Calibri" w:cs="Calibri"/>
            <w:noProof/>
            <w:webHidden/>
          </w:rPr>
          <w:tab/>
        </w:r>
        <w:r w:rsidR="00030B7D" w:rsidRPr="00777BCD">
          <w:rPr>
            <w:rFonts w:ascii="Calibri" w:hAnsi="Calibri" w:cs="Calibri"/>
            <w:noProof/>
            <w:webHidden/>
          </w:rPr>
          <w:fldChar w:fldCharType="begin"/>
        </w:r>
        <w:r w:rsidR="00030B7D" w:rsidRPr="00777BCD">
          <w:rPr>
            <w:rFonts w:ascii="Calibri" w:hAnsi="Calibri" w:cs="Calibri"/>
            <w:noProof/>
            <w:webHidden/>
          </w:rPr>
          <w:instrText xml:space="preserve"> PAGEREF _Toc160725915 \h </w:instrText>
        </w:r>
        <w:r w:rsidR="00030B7D" w:rsidRPr="00777BCD">
          <w:rPr>
            <w:rFonts w:ascii="Calibri" w:hAnsi="Calibri" w:cs="Calibri"/>
            <w:noProof/>
            <w:webHidden/>
          </w:rPr>
        </w:r>
        <w:r w:rsidR="00030B7D" w:rsidRPr="00777BCD">
          <w:rPr>
            <w:rFonts w:ascii="Calibri" w:hAnsi="Calibri" w:cs="Calibri"/>
            <w:noProof/>
            <w:webHidden/>
          </w:rPr>
          <w:fldChar w:fldCharType="separate"/>
        </w:r>
        <w:r w:rsidR="00A54EF8">
          <w:rPr>
            <w:rFonts w:ascii="Calibri" w:hAnsi="Calibri" w:cs="Calibri"/>
            <w:noProof/>
            <w:webHidden/>
          </w:rPr>
          <w:t>74</w:t>
        </w:r>
        <w:r w:rsidR="00030B7D" w:rsidRPr="00777BCD">
          <w:rPr>
            <w:rFonts w:ascii="Calibri" w:hAnsi="Calibri" w:cs="Calibri"/>
            <w:noProof/>
            <w:webHidden/>
          </w:rPr>
          <w:fldChar w:fldCharType="end"/>
        </w:r>
      </w:hyperlink>
    </w:p>
    <w:p w14:paraId="13C39F39" w14:textId="6BF079E1" w:rsidR="00030B7D" w:rsidRPr="00777BCD" w:rsidRDefault="00000000">
      <w:pPr>
        <w:pStyle w:val="TOC1"/>
        <w:rPr>
          <w:rFonts w:ascii="Calibri" w:eastAsiaTheme="minorEastAsia" w:hAnsi="Calibri" w:cs="Calibri"/>
          <w:noProof/>
          <w:kern w:val="2"/>
        </w:rPr>
      </w:pPr>
      <w:hyperlink w:anchor="_Toc160725916" w:history="1">
        <w:r w:rsidR="00030B7D" w:rsidRPr="00777BCD">
          <w:rPr>
            <w:rStyle w:val="af7"/>
            <w:rFonts w:ascii="Calibri" w:hAnsi="Calibri" w:cs="Calibri"/>
            <w:noProof/>
          </w:rPr>
          <w:t>第十八部分</w:t>
        </w:r>
        <w:r w:rsidR="00030B7D" w:rsidRPr="00777BCD">
          <w:rPr>
            <w:rStyle w:val="af7"/>
            <w:rFonts w:ascii="Calibri" w:hAnsi="Calibri" w:cs="Calibri"/>
            <w:noProof/>
          </w:rPr>
          <w:t xml:space="preserve">  </w:t>
        </w:r>
        <w:r w:rsidR="00030B7D" w:rsidRPr="00777BCD">
          <w:rPr>
            <w:rStyle w:val="af7"/>
            <w:rFonts w:ascii="Calibri" w:hAnsi="Calibri" w:cs="Calibri"/>
            <w:noProof/>
          </w:rPr>
          <w:t>基金的信息披露</w:t>
        </w:r>
        <w:r w:rsidR="00030B7D" w:rsidRPr="00777BCD">
          <w:rPr>
            <w:rFonts w:ascii="Calibri" w:hAnsi="Calibri" w:cs="Calibri"/>
            <w:noProof/>
            <w:webHidden/>
          </w:rPr>
          <w:tab/>
        </w:r>
        <w:r w:rsidR="00030B7D" w:rsidRPr="00777BCD">
          <w:rPr>
            <w:rFonts w:ascii="Calibri" w:hAnsi="Calibri" w:cs="Calibri"/>
            <w:noProof/>
            <w:webHidden/>
          </w:rPr>
          <w:fldChar w:fldCharType="begin"/>
        </w:r>
        <w:r w:rsidR="00030B7D" w:rsidRPr="00777BCD">
          <w:rPr>
            <w:rFonts w:ascii="Calibri" w:hAnsi="Calibri" w:cs="Calibri"/>
            <w:noProof/>
            <w:webHidden/>
          </w:rPr>
          <w:instrText xml:space="preserve"> PAGEREF _Toc160725916 \h </w:instrText>
        </w:r>
        <w:r w:rsidR="00030B7D" w:rsidRPr="00777BCD">
          <w:rPr>
            <w:rFonts w:ascii="Calibri" w:hAnsi="Calibri" w:cs="Calibri"/>
            <w:noProof/>
            <w:webHidden/>
          </w:rPr>
        </w:r>
        <w:r w:rsidR="00030B7D" w:rsidRPr="00777BCD">
          <w:rPr>
            <w:rFonts w:ascii="Calibri" w:hAnsi="Calibri" w:cs="Calibri"/>
            <w:noProof/>
            <w:webHidden/>
          </w:rPr>
          <w:fldChar w:fldCharType="separate"/>
        </w:r>
        <w:r w:rsidR="00A54EF8">
          <w:rPr>
            <w:rFonts w:ascii="Calibri" w:hAnsi="Calibri" w:cs="Calibri"/>
            <w:noProof/>
            <w:webHidden/>
          </w:rPr>
          <w:t>75</w:t>
        </w:r>
        <w:r w:rsidR="00030B7D" w:rsidRPr="00777BCD">
          <w:rPr>
            <w:rFonts w:ascii="Calibri" w:hAnsi="Calibri" w:cs="Calibri"/>
            <w:noProof/>
            <w:webHidden/>
          </w:rPr>
          <w:fldChar w:fldCharType="end"/>
        </w:r>
      </w:hyperlink>
    </w:p>
    <w:p w14:paraId="52C00467" w14:textId="78388529" w:rsidR="00030B7D" w:rsidRPr="00777BCD" w:rsidRDefault="00000000">
      <w:pPr>
        <w:pStyle w:val="TOC1"/>
        <w:rPr>
          <w:rFonts w:ascii="Calibri" w:eastAsiaTheme="minorEastAsia" w:hAnsi="Calibri" w:cs="Calibri"/>
          <w:noProof/>
          <w:kern w:val="2"/>
        </w:rPr>
      </w:pPr>
      <w:hyperlink w:anchor="_Toc160725917" w:history="1">
        <w:r w:rsidR="00030B7D" w:rsidRPr="00777BCD">
          <w:rPr>
            <w:rStyle w:val="af7"/>
            <w:rFonts w:ascii="Calibri" w:hAnsi="Calibri" w:cs="Calibri"/>
            <w:noProof/>
          </w:rPr>
          <w:t>第十九部分</w:t>
        </w:r>
        <w:r w:rsidR="00030B7D" w:rsidRPr="00777BCD">
          <w:rPr>
            <w:rStyle w:val="af7"/>
            <w:rFonts w:ascii="Calibri" w:hAnsi="Calibri" w:cs="Calibri"/>
            <w:noProof/>
          </w:rPr>
          <w:t xml:space="preserve">  </w:t>
        </w:r>
        <w:r w:rsidR="00030B7D" w:rsidRPr="00777BCD">
          <w:rPr>
            <w:rStyle w:val="af7"/>
            <w:rFonts w:ascii="Calibri" w:hAnsi="Calibri" w:cs="Calibri"/>
            <w:noProof/>
          </w:rPr>
          <w:t>基金合同的变更、终止与基金财产的清算</w:t>
        </w:r>
        <w:r w:rsidR="00030B7D" w:rsidRPr="00777BCD">
          <w:rPr>
            <w:rFonts w:ascii="Calibri" w:hAnsi="Calibri" w:cs="Calibri"/>
            <w:noProof/>
            <w:webHidden/>
          </w:rPr>
          <w:tab/>
        </w:r>
        <w:r w:rsidR="00030B7D" w:rsidRPr="00777BCD">
          <w:rPr>
            <w:rFonts w:ascii="Calibri" w:hAnsi="Calibri" w:cs="Calibri"/>
            <w:noProof/>
            <w:webHidden/>
          </w:rPr>
          <w:fldChar w:fldCharType="begin"/>
        </w:r>
        <w:r w:rsidR="00030B7D" w:rsidRPr="00777BCD">
          <w:rPr>
            <w:rFonts w:ascii="Calibri" w:hAnsi="Calibri" w:cs="Calibri"/>
            <w:noProof/>
            <w:webHidden/>
          </w:rPr>
          <w:instrText xml:space="preserve"> PAGEREF _Toc160725917 \h </w:instrText>
        </w:r>
        <w:r w:rsidR="00030B7D" w:rsidRPr="00777BCD">
          <w:rPr>
            <w:rFonts w:ascii="Calibri" w:hAnsi="Calibri" w:cs="Calibri"/>
            <w:noProof/>
            <w:webHidden/>
          </w:rPr>
        </w:r>
        <w:r w:rsidR="00030B7D" w:rsidRPr="00777BCD">
          <w:rPr>
            <w:rFonts w:ascii="Calibri" w:hAnsi="Calibri" w:cs="Calibri"/>
            <w:noProof/>
            <w:webHidden/>
          </w:rPr>
          <w:fldChar w:fldCharType="separate"/>
        </w:r>
        <w:r w:rsidR="00A54EF8">
          <w:rPr>
            <w:rFonts w:ascii="Calibri" w:hAnsi="Calibri" w:cs="Calibri"/>
            <w:noProof/>
            <w:webHidden/>
          </w:rPr>
          <w:t>83</w:t>
        </w:r>
        <w:r w:rsidR="00030B7D" w:rsidRPr="00777BCD">
          <w:rPr>
            <w:rFonts w:ascii="Calibri" w:hAnsi="Calibri" w:cs="Calibri"/>
            <w:noProof/>
            <w:webHidden/>
          </w:rPr>
          <w:fldChar w:fldCharType="end"/>
        </w:r>
      </w:hyperlink>
    </w:p>
    <w:p w14:paraId="2B75D430" w14:textId="2017A5CC" w:rsidR="00030B7D" w:rsidRPr="00777BCD" w:rsidRDefault="00000000">
      <w:pPr>
        <w:pStyle w:val="TOC1"/>
        <w:rPr>
          <w:rFonts w:ascii="Calibri" w:eastAsiaTheme="minorEastAsia" w:hAnsi="Calibri" w:cs="Calibri"/>
          <w:noProof/>
          <w:kern w:val="2"/>
        </w:rPr>
      </w:pPr>
      <w:hyperlink w:anchor="_Toc160725918" w:history="1">
        <w:r w:rsidR="00030B7D" w:rsidRPr="00777BCD">
          <w:rPr>
            <w:rStyle w:val="af7"/>
            <w:rFonts w:ascii="Calibri" w:hAnsi="Calibri" w:cs="Calibri"/>
            <w:noProof/>
          </w:rPr>
          <w:t>第二十部分</w:t>
        </w:r>
        <w:r w:rsidR="00030B7D" w:rsidRPr="00777BCD">
          <w:rPr>
            <w:rStyle w:val="af7"/>
            <w:rFonts w:ascii="Calibri" w:hAnsi="Calibri" w:cs="Calibri"/>
            <w:noProof/>
          </w:rPr>
          <w:t xml:space="preserve">  </w:t>
        </w:r>
        <w:r w:rsidR="00030B7D" w:rsidRPr="00777BCD">
          <w:rPr>
            <w:rStyle w:val="af7"/>
            <w:rFonts w:ascii="Calibri" w:hAnsi="Calibri" w:cs="Calibri"/>
            <w:noProof/>
          </w:rPr>
          <w:t>违约责任</w:t>
        </w:r>
        <w:r w:rsidR="00030B7D" w:rsidRPr="00777BCD">
          <w:rPr>
            <w:rFonts w:ascii="Calibri" w:hAnsi="Calibri" w:cs="Calibri"/>
            <w:noProof/>
            <w:webHidden/>
          </w:rPr>
          <w:tab/>
        </w:r>
        <w:r w:rsidR="00030B7D" w:rsidRPr="00777BCD">
          <w:rPr>
            <w:rFonts w:ascii="Calibri" w:hAnsi="Calibri" w:cs="Calibri"/>
            <w:noProof/>
            <w:webHidden/>
          </w:rPr>
          <w:fldChar w:fldCharType="begin"/>
        </w:r>
        <w:r w:rsidR="00030B7D" w:rsidRPr="00777BCD">
          <w:rPr>
            <w:rFonts w:ascii="Calibri" w:hAnsi="Calibri" w:cs="Calibri"/>
            <w:noProof/>
            <w:webHidden/>
          </w:rPr>
          <w:instrText xml:space="preserve"> PAGEREF _Toc160725918 \h </w:instrText>
        </w:r>
        <w:r w:rsidR="00030B7D" w:rsidRPr="00777BCD">
          <w:rPr>
            <w:rFonts w:ascii="Calibri" w:hAnsi="Calibri" w:cs="Calibri"/>
            <w:noProof/>
            <w:webHidden/>
          </w:rPr>
        </w:r>
        <w:r w:rsidR="00030B7D" w:rsidRPr="00777BCD">
          <w:rPr>
            <w:rFonts w:ascii="Calibri" w:hAnsi="Calibri" w:cs="Calibri"/>
            <w:noProof/>
            <w:webHidden/>
          </w:rPr>
          <w:fldChar w:fldCharType="separate"/>
        </w:r>
        <w:r w:rsidR="00A54EF8">
          <w:rPr>
            <w:rFonts w:ascii="Calibri" w:hAnsi="Calibri" w:cs="Calibri"/>
            <w:noProof/>
            <w:webHidden/>
          </w:rPr>
          <w:t>86</w:t>
        </w:r>
        <w:r w:rsidR="00030B7D" w:rsidRPr="00777BCD">
          <w:rPr>
            <w:rFonts w:ascii="Calibri" w:hAnsi="Calibri" w:cs="Calibri"/>
            <w:noProof/>
            <w:webHidden/>
          </w:rPr>
          <w:fldChar w:fldCharType="end"/>
        </w:r>
      </w:hyperlink>
    </w:p>
    <w:p w14:paraId="6259F713" w14:textId="2A9471FB" w:rsidR="00030B7D" w:rsidRPr="00777BCD" w:rsidRDefault="00000000">
      <w:pPr>
        <w:pStyle w:val="TOC1"/>
        <w:rPr>
          <w:rFonts w:ascii="Calibri" w:eastAsiaTheme="minorEastAsia" w:hAnsi="Calibri" w:cs="Calibri"/>
          <w:noProof/>
          <w:kern w:val="2"/>
        </w:rPr>
      </w:pPr>
      <w:hyperlink w:anchor="_Toc160725919" w:history="1">
        <w:r w:rsidR="00030B7D" w:rsidRPr="00777BCD">
          <w:rPr>
            <w:rStyle w:val="af7"/>
            <w:rFonts w:ascii="Calibri" w:hAnsi="Calibri" w:cs="Calibri"/>
            <w:noProof/>
          </w:rPr>
          <w:t>第二十一部分</w:t>
        </w:r>
        <w:r w:rsidR="00030B7D" w:rsidRPr="00777BCD">
          <w:rPr>
            <w:rStyle w:val="af7"/>
            <w:rFonts w:ascii="Calibri" w:hAnsi="Calibri" w:cs="Calibri"/>
            <w:noProof/>
          </w:rPr>
          <w:t xml:space="preserve">  </w:t>
        </w:r>
        <w:r w:rsidR="00030B7D" w:rsidRPr="00777BCD">
          <w:rPr>
            <w:rStyle w:val="af7"/>
            <w:rFonts w:ascii="Calibri" w:hAnsi="Calibri" w:cs="Calibri"/>
            <w:noProof/>
          </w:rPr>
          <w:t>争议的处理和适用的法律</w:t>
        </w:r>
        <w:r w:rsidR="00030B7D" w:rsidRPr="00777BCD">
          <w:rPr>
            <w:rFonts w:ascii="Calibri" w:hAnsi="Calibri" w:cs="Calibri"/>
            <w:noProof/>
            <w:webHidden/>
          </w:rPr>
          <w:tab/>
        </w:r>
        <w:r w:rsidR="00030B7D" w:rsidRPr="00777BCD">
          <w:rPr>
            <w:rFonts w:ascii="Calibri" w:hAnsi="Calibri" w:cs="Calibri"/>
            <w:noProof/>
            <w:webHidden/>
          </w:rPr>
          <w:fldChar w:fldCharType="begin"/>
        </w:r>
        <w:r w:rsidR="00030B7D" w:rsidRPr="00777BCD">
          <w:rPr>
            <w:rFonts w:ascii="Calibri" w:hAnsi="Calibri" w:cs="Calibri"/>
            <w:noProof/>
            <w:webHidden/>
          </w:rPr>
          <w:instrText xml:space="preserve"> PAGEREF _Toc160725919 \h </w:instrText>
        </w:r>
        <w:r w:rsidR="00030B7D" w:rsidRPr="00777BCD">
          <w:rPr>
            <w:rFonts w:ascii="Calibri" w:hAnsi="Calibri" w:cs="Calibri"/>
            <w:noProof/>
            <w:webHidden/>
          </w:rPr>
        </w:r>
        <w:r w:rsidR="00030B7D" w:rsidRPr="00777BCD">
          <w:rPr>
            <w:rFonts w:ascii="Calibri" w:hAnsi="Calibri" w:cs="Calibri"/>
            <w:noProof/>
            <w:webHidden/>
          </w:rPr>
          <w:fldChar w:fldCharType="separate"/>
        </w:r>
        <w:r w:rsidR="00A54EF8">
          <w:rPr>
            <w:rFonts w:ascii="Calibri" w:hAnsi="Calibri" w:cs="Calibri"/>
            <w:noProof/>
            <w:webHidden/>
          </w:rPr>
          <w:t>87</w:t>
        </w:r>
        <w:r w:rsidR="00030B7D" w:rsidRPr="00777BCD">
          <w:rPr>
            <w:rFonts w:ascii="Calibri" w:hAnsi="Calibri" w:cs="Calibri"/>
            <w:noProof/>
            <w:webHidden/>
          </w:rPr>
          <w:fldChar w:fldCharType="end"/>
        </w:r>
      </w:hyperlink>
    </w:p>
    <w:p w14:paraId="3068723D" w14:textId="4E741272" w:rsidR="00030B7D" w:rsidRPr="00777BCD" w:rsidRDefault="00000000">
      <w:pPr>
        <w:pStyle w:val="TOC1"/>
        <w:rPr>
          <w:rFonts w:ascii="Calibri" w:eastAsiaTheme="minorEastAsia" w:hAnsi="Calibri" w:cs="Calibri"/>
          <w:noProof/>
          <w:kern w:val="2"/>
        </w:rPr>
      </w:pPr>
      <w:hyperlink w:anchor="_Toc160725920" w:history="1">
        <w:r w:rsidR="00030B7D" w:rsidRPr="00777BCD">
          <w:rPr>
            <w:rStyle w:val="af7"/>
            <w:rFonts w:ascii="Calibri" w:hAnsi="Calibri" w:cs="Calibri"/>
            <w:noProof/>
          </w:rPr>
          <w:t>第二十二部分</w:t>
        </w:r>
        <w:r w:rsidR="00030B7D" w:rsidRPr="00777BCD">
          <w:rPr>
            <w:rStyle w:val="af7"/>
            <w:rFonts w:ascii="Calibri" w:hAnsi="Calibri" w:cs="Calibri"/>
            <w:noProof/>
          </w:rPr>
          <w:t xml:space="preserve">  </w:t>
        </w:r>
        <w:r w:rsidR="00030B7D" w:rsidRPr="00777BCD">
          <w:rPr>
            <w:rStyle w:val="af7"/>
            <w:rFonts w:ascii="Calibri" w:hAnsi="Calibri" w:cs="Calibri"/>
            <w:noProof/>
          </w:rPr>
          <w:t>基金合同的效力</w:t>
        </w:r>
        <w:r w:rsidR="00030B7D" w:rsidRPr="00777BCD">
          <w:rPr>
            <w:rFonts w:ascii="Calibri" w:hAnsi="Calibri" w:cs="Calibri"/>
            <w:noProof/>
            <w:webHidden/>
          </w:rPr>
          <w:tab/>
        </w:r>
        <w:r w:rsidR="00030B7D" w:rsidRPr="00777BCD">
          <w:rPr>
            <w:rFonts w:ascii="Calibri" w:hAnsi="Calibri" w:cs="Calibri"/>
            <w:noProof/>
            <w:webHidden/>
          </w:rPr>
          <w:fldChar w:fldCharType="begin"/>
        </w:r>
        <w:r w:rsidR="00030B7D" w:rsidRPr="00777BCD">
          <w:rPr>
            <w:rFonts w:ascii="Calibri" w:hAnsi="Calibri" w:cs="Calibri"/>
            <w:noProof/>
            <w:webHidden/>
          </w:rPr>
          <w:instrText xml:space="preserve"> PAGEREF _Toc160725920 \h </w:instrText>
        </w:r>
        <w:r w:rsidR="00030B7D" w:rsidRPr="00777BCD">
          <w:rPr>
            <w:rFonts w:ascii="Calibri" w:hAnsi="Calibri" w:cs="Calibri"/>
            <w:noProof/>
            <w:webHidden/>
          </w:rPr>
        </w:r>
        <w:r w:rsidR="00030B7D" w:rsidRPr="00777BCD">
          <w:rPr>
            <w:rFonts w:ascii="Calibri" w:hAnsi="Calibri" w:cs="Calibri"/>
            <w:noProof/>
            <w:webHidden/>
          </w:rPr>
          <w:fldChar w:fldCharType="separate"/>
        </w:r>
        <w:r w:rsidR="00A54EF8">
          <w:rPr>
            <w:rFonts w:ascii="Calibri" w:hAnsi="Calibri" w:cs="Calibri"/>
            <w:noProof/>
            <w:webHidden/>
          </w:rPr>
          <w:t>88</w:t>
        </w:r>
        <w:r w:rsidR="00030B7D" w:rsidRPr="00777BCD">
          <w:rPr>
            <w:rFonts w:ascii="Calibri" w:hAnsi="Calibri" w:cs="Calibri"/>
            <w:noProof/>
            <w:webHidden/>
          </w:rPr>
          <w:fldChar w:fldCharType="end"/>
        </w:r>
      </w:hyperlink>
    </w:p>
    <w:p w14:paraId="31F35BF0" w14:textId="218B8561" w:rsidR="00030B7D" w:rsidRPr="00777BCD" w:rsidRDefault="00000000">
      <w:pPr>
        <w:pStyle w:val="TOC1"/>
        <w:rPr>
          <w:rFonts w:ascii="Calibri" w:eastAsiaTheme="minorEastAsia" w:hAnsi="Calibri" w:cs="Calibri"/>
          <w:noProof/>
          <w:kern w:val="2"/>
        </w:rPr>
      </w:pPr>
      <w:hyperlink w:anchor="_Toc160725921" w:history="1">
        <w:r w:rsidR="00030B7D" w:rsidRPr="00777BCD">
          <w:rPr>
            <w:rStyle w:val="af7"/>
            <w:rFonts w:ascii="Calibri" w:hAnsi="Calibri" w:cs="Calibri"/>
            <w:noProof/>
          </w:rPr>
          <w:t>第二十三部分</w:t>
        </w:r>
        <w:r w:rsidR="00030B7D" w:rsidRPr="00777BCD">
          <w:rPr>
            <w:rStyle w:val="af7"/>
            <w:rFonts w:ascii="Calibri" w:hAnsi="Calibri" w:cs="Calibri"/>
            <w:noProof/>
          </w:rPr>
          <w:t xml:space="preserve">  </w:t>
        </w:r>
        <w:r w:rsidR="00030B7D" w:rsidRPr="00777BCD">
          <w:rPr>
            <w:rStyle w:val="af7"/>
            <w:rFonts w:ascii="Calibri" w:hAnsi="Calibri" w:cs="Calibri"/>
            <w:noProof/>
          </w:rPr>
          <w:t>其他事项</w:t>
        </w:r>
        <w:r w:rsidR="00030B7D" w:rsidRPr="00777BCD">
          <w:rPr>
            <w:rFonts w:ascii="Calibri" w:hAnsi="Calibri" w:cs="Calibri"/>
            <w:noProof/>
            <w:webHidden/>
          </w:rPr>
          <w:tab/>
        </w:r>
        <w:r w:rsidR="00030B7D" w:rsidRPr="00777BCD">
          <w:rPr>
            <w:rFonts w:ascii="Calibri" w:hAnsi="Calibri" w:cs="Calibri"/>
            <w:noProof/>
            <w:webHidden/>
          </w:rPr>
          <w:fldChar w:fldCharType="begin"/>
        </w:r>
        <w:r w:rsidR="00030B7D" w:rsidRPr="00777BCD">
          <w:rPr>
            <w:rFonts w:ascii="Calibri" w:hAnsi="Calibri" w:cs="Calibri"/>
            <w:noProof/>
            <w:webHidden/>
          </w:rPr>
          <w:instrText xml:space="preserve"> PAGEREF _Toc160725921 \h </w:instrText>
        </w:r>
        <w:r w:rsidR="00030B7D" w:rsidRPr="00777BCD">
          <w:rPr>
            <w:rFonts w:ascii="Calibri" w:hAnsi="Calibri" w:cs="Calibri"/>
            <w:noProof/>
            <w:webHidden/>
          </w:rPr>
        </w:r>
        <w:r w:rsidR="00030B7D" w:rsidRPr="00777BCD">
          <w:rPr>
            <w:rFonts w:ascii="Calibri" w:hAnsi="Calibri" w:cs="Calibri"/>
            <w:noProof/>
            <w:webHidden/>
          </w:rPr>
          <w:fldChar w:fldCharType="separate"/>
        </w:r>
        <w:r w:rsidR="00A54EF8">
          <w:rPr>
            <w:rFonts w:ascii="Calibri" w:hAnsi="Calibri" w:cs="Calibri"/>
            <w:noProof/>
            <w:webHidden/>
          </w:rPr>
          <w:t>89</w:t>
        </w:r>
        <w:r w:rsidR="00030B7D" w:rsidRPr="00777BCD">
          <w:rPr>
            <w:rFonts w:ascii="Calibri" w:hAnsi="Calibri" w:cs="Calibri"/>
            <w:noProof/>
            <w:webHidden/>
          </w:rPr>
          <w:fldChar w:fldCharType="end"/>
        </w:r>
      </w:hyperlink>
    </w:p>
    <w:p w14:paraId="601ACE7E" w14:textId="13804255" w:rsidR="00030B7D" w:rsidRPr="00777BCD" w:rsidRDefault="00000000">
      <w:pPr>
        <w:pStyle w:val="TOC1"/>
        <w:rPr>
          <w:rFonts w:ascii="Calibri" w:eastAsiaTheme="minorEastAsia" w:hAnsi="Calibri" w:cs="Calibri"/>
          <w:noProof/>
          <w:kern w:val="2"/>
        </w:rPr>
      </w:pPr>
      <w:hyperlink w:anchor="_Toc160725922" w:history="1">
        <w:r w:rsidR="00030B7D" w:rsidRPr="00777BCD">
          <w:rPr>
            <w:rStyle w:val="af7"/>
            <w:rFonts w:ascii="Calibri" w:hAnsi="Calibri" w:cs="Calibri"/>
            <w:noProof/>
          </w:rPr>
          <w:t>第二十四部分</w:t>
        </w:r>
        <w:r w:rsidR="00030B7D" w:rsidRPr="00777BCD">
          <w:rPr>
            <w:rStyle w:val="af7"/>
            <w:rFonts w:ascii="Calibri" w:hAnsi="Calibri" w:cs="Calibri"/>
            <w:noProof/>
          </w:rPr>
          <w:t xml:space="preserve">  </w:t>
        </w:r>
        <w:r w:rsidR="00030B7D" w:rsidRPr="00777BCD">
          <w:rPr>
            <w:rStyle w:val="af7"/>
            <w:rFonts w:ascii="Calibri" w:hAnsi="Calibri" w:cs="Calibri"/>
            <w:noProof/>
          </w:rPr>
          <w:t>基金合同内容摘要</w:t>
        </w:r>
        <w:r w:rsidR="00030B7D" w:rsidRPr="00777BCD">
          <w:rPr>
            <w:rFonts w:ascii="Calibri" w:hAnsi="Calibri" w:cs="Calibri"/>
            <w:noProof/>
            <w:webHidden/>
          </w:rPr>
          <w:tab/>
        </w:r>
        <w:r w:rsidR="00030B7D" w:rsidRPr="00777BCD">
          <w:rPr>
            <w:rFonts w:ascii="Calibri" w:hAnsi="Calibri" w:cs="Calibri"/>
            <w:noProof/>
            <w:webHidden/>
          </w:rPr>
          <w:fldChar w:fldCharType="begin"/>
        </w:r>
        <w:r w:rsidR="00030B7D" w:rsidRPr="00777BCD">
          <w:rPr>
            <w:rFonts w:ascii="Calibri" w:hAnsi="Calibri" w:cs="Calibri"/>
            <w:noProof/>
            <w:webHidden/>
          </w:rPr>
          <w:instrText xml:space="preserve"> PAGEREF _Toc160725922 \h </w:instrText>
        </w:r>
        <w:r w:rsidR="00030B7D" w:rsidRPr="00777BCD">
          <w:rPr>
            <w:rFonts w:ascii="Calibri" w:hAnsi="Calibri" w:cs="Calibri"/>
            <w:noProof/>
            <w:webHidden/>
          </w:rPr>
        </w:r>
        <w:r w:rsidR="00030B7D" w:rsidRPr="00777BCD">
          <w:rPr>
            <w:rFonts w:ascii="Calibri" w:hAnsi="Calibri" w:cs="Calibri"/>
            <w:noProof/>
            <w:webHidden/>
          </w:rPr>
          <w:fldChar w:fldCharType="separate"/>
        </w:r>
        <w:r w:rsidR="00A54EF8">
          <w:rPr>
            <w:rFonts w:ascii="Calibri" w:hAnsi="Calibri" w:cs="Calibri"/>
            <w:noProof/>
            <w:webHidden/>
          </w:rPr>
          <w:t>90</w:t>
        </w:r>
        <w:r w:rsidR="00030B7D" w:rsidRPr="00777BCD">
          <w:rPr>
            <w:rFonts w:ascii="Calibri" w:hAnsi="Calibri" w:cs="Calibri"/>
            <w:noProof/>
            <w:webHidden/>
          </w:rPr>
          <w:fldChar w:fldCharType="end"/>
        </w:r>
      </w:hyperlink>
    </w:p>
    <w:p w14:paraId="79925622" w14:textId="51E1FB8B" w:rsidR="007149DF" w:rsidRPr="00777BCD" w:rsidRDefault="00284640">
      <w:pPr>
        <w:pStyle w:val="TOC1"/>
        <w:ind w:firstLine="0"/>
        <w:rPr>
          <w:rFonts w:ascii="Calibri" w:hAnsi="Calibri" w:cs="Calibri"/>
          <w:b/>
          <w:bCs/>
          <w:color w:val="000000" w:themeColor="text1"/>
        </w:rPr>
        <w:sectPr w:rsidR="007149DF" w:rsidRPr="00777BCD" w:rsidSect="00DB5482">
          <w:headerReference w:type="default" r:id="rId14"/>
          <w:pgSz w:w="11906" w:h="16838"/>
          <w:pgMar w:top="1440" w:right="1800" w:bottom="1440" w:left="1800" w:header="851" w:footer="992" w:gutter="0"/>
          <w:pgNumType w:start="1"/>
          <w:cols w:space="720"/>
          <w:docGrid w:type="lines" w:linePitch="312"/>
        </w:sectPr>
      </w:pPr>
      <w:r w:rsidRPr="00777BCD">
        <w:rPr>
          <w:rFonts w:ascii="Calibri" w:hAnsi="Calibri" w:cs="Calibri"/>
          <w:b/>
          <w:bCs/>
          <w:color w:val="000000" w:themeColor="text1"/>
        </w:rPr>
        <w:fldChar w:fldCharType="end"/>
      </w:r>
      <w:bookmarkStart w:id="18" w:name="CTS_05007290b9d94821b265dcdeec0618a2"/>
      <w:bookmarkStart w:id="19" w:name="CLAUSE_05007290b9d94821b265dcdeec0618a2"/>
      <w:bookmarkStart w:id="20" w:name="_Toc29629"/>
      <w:bookmarkStart w:id="21" w:name="_Toc6306"/>
      <w:bookmarkStart w:id="22" w:name="_Toc139991730"/>
      <w:bookmarkStart w:id="23" w:name="_Toc26897"/>
      <w:bookmarkStart w:id="24" w:name="_Toc30935"/>
      <w:bookmarkStart w:id="25" w:name="_Toc141703880"/>
      <w:bookmarkStart w:id="26" w:name="_Toc4966"/>
      <w:bookmarkStart w:id="27" w:name="_Toc15517"/>
      <w:bookmarkStart w:id="28" w:name="_Toc32639"/>
      <w:bookmarkStart w:id="29" w:name="_Toc23386"/>
      <w:bookmarkStart w:id="30" w:name="_Toc4867"/>
      <w:bookmarkStart w:id="31" w:name="_Toc8727"/>
      <w:bookmarkStart w:id="32" w:name="_Toc123112268"/>
      <w:bookmarkStart w:id="33" w:name="_Toc123112229"/>
      <w:bookmarkStart w:id="34" w:name="_Toc123701389"/>
      <w:bookmarkStart w:id="35" w:name="_Toc233456271"/>
      <w:bookmarkEnd w:id="1"/>
      <w:bookmarkEnd w:id="18"/>
    </w:p>
    <w:p w14:paraId="7DFF5175" w14:textId="77777777" w:rsidR="007149DF" w:rsidRPr="00777BCD" w:rsidRDefault="00284640">
      <w:pPr>
        <w:pStyle w:val="11"/>
        <w:spacing w:before="0" w:after="0"/>
        <w:ind w:firstLine="0"/>
        <w:jc w:val="center"/>
        <w:rPr>
          <w:rFonts w:ascii="Calibri" w:hAnsi="Calibri" w:cs="Calibri"/>
          <w:color w:val="000000" w:themeColor="text1"/>
          <w:sz w:val="30"/>
        </w:rPr>
      </w:pPr>
      <w:bookmarkStart w:id="36" w:name="CTS_ed196ac53ada4bd7bfb3522c7056a81d"/>
      <w:bookmarkStart w:id="37" w:name="_Toc6820020"/>
      <w:bookmarkStart w:id="38" w:name="_Toc160725899"/>
      <w:bookmarkStart w:id="39" w:name="CLAUSE_ed196ac53ada4bd7bfb3522c7056a81d"/>
      <w:bookmarkEnd w:id="19"/>
      <w:bookmarkEnd w:id="36"/>
      <w:r w:rsidRPr="00777BCD">
        <w:rPr>
          <w:rFonts w:ascii="Calibri" w:hAnsi="Calibri" w:cs="Calibri"/>
          <w:color w:val="000000" w:themeColor="text1"/>
          <w:sz w:val="30"/>
        </w:rPr>
        <w:lastRenderedPageBreak/>
        <w:t>第一部分</w:t>
      </w:r>
      <w:r w:rsidRPr="00777BCD">
        <w:rPr>
          <w:rFonts w:ascii="Calibri" w:hAnsi="Calibri" w:cs="Calibri"/>
          <w:color w:val="000000" w:themeColor="text1"/>
          <w:sz w:val="30"/>
        </w:rPr>
        <w:t xml:space="preserve">  </w:t>
      </w:r>
      <w:r w:rsidRPr="00777BCD">
        <w:rPr>
          <w:rFonts w:ascii="Calibri" w:hAnsi="Calibri" w:cs="Calibri"/>
          <w:color w:val="000000" w:themeColor="text1"/>
          <w:sz w:val="30"/>
        </w:rPr>
        <w:t>前言</w:t>
      </w:r>
      <w:bookmarkEnd w:id="20"/>
      <w:bookmarkEnd w:id="21"/>
      <w:bookmarkEnd w:id="22"/>
      <w:bookmarkEnd w:id="23"/>
      <w:bookmarkEnd w:id="24"/>
      <w:bookmarkEnd w:id="25"/>
      <w:bookmarkEnd w:id="26"/>
      <w:bookmarkEnd w:id="27"/>
      <w:bookmarkEnd w:id="28"/>
      <w:bookmarkEnd w:id="29"/>
      <w:bookmarkEnd w:id="30"/>
      <w:bookmarkEnd w:id="31"/>
      <w:bookmarkEnd w:id="37"/>
      <w:bookmarkEnd w:id="38"/>
    </w:p>
    <w:p w14:paraId="46E4E020" w14:textId="77777777" w:rsidR="007149DF" w:rsidRPr="00777BCD" w:rsidRDefault="007149DF">
      <w:pPr>
        <w:ind w:firstLine="420"/>
        <w:rPr>
          <w:rFonts w:ascii="Calibri" w:hAnsi="Calibri" w:cs="Calibri"/>
          <w:bCs/>
          <w:color w:val="000000" w:themeColor="text1"/>
        </w:rPr>
      </w:pPr>
      <w:bookmarkStart w:id="40" w:name="_Toc139991731"/>
    </w:p>
    <w:p w14:paraId="557717BF" w14:textId="77777777" w:rsidR="007149DF" w:rsidRPr="00777BCD" w:rsidRDefault="00284640">
      <w:pPr>
        <w:ind w:firstLine="480"/>
        <w:rPr>
          <w:rFonts w:ascii="Calibri" w:hAnsi="Calibri" w:cs="Calibri"/>
          <w:bCs/>
          <w:color w:val="000000" w:themeColor="text1"/>
          <w:sz w:val="24"/>
        </w:rPr>
      </w:pPr>
      <w:bookmarkStart w:id="41" w:name="_Toc258829399"/>
      <w:bookmarkEnd w:id="32"/>
      <w:bookmarkEnd w:id="33"/>
      <w:bookmarkEnd w:id="34"/>
      <w:bookmarkEnd w:id="40"/>
      <w:r w:rsidRPr="00777BCD">
        <w:rPr>
          <w:rFonts w:ascii="Calibri" w:hAnsi="Calibri" w:cs="Calibri"/>
          <w:bCs/>
          <w:color w:val="000000" w:themeColor="text1"/>
          <w:sz w:val="24"/>
        </w:rPr>
        <w:t>一、订立本基金合同的目的、依据和原则</w:t>
      </w:r>
    </w:p>
    <w:p w14:paraId="54D6D85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、订立本基金合同的目的是保护投资人合法权益，明确基金合同当事人的权利义务，规范基金运作。</w:t>
      </w:r>
    </w:p>
    <w:p w14:paraId="51369FA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、订立本基金合同的依据是《</w:t>
      </w:r>
      <w:r w:rsidRPr="00777BCD">
        <w:rPr>
          <w:rFonts w:ascii="Calibri" w:hAnsi="Calibri" w:cs="Calibri"/>
          <w:bCs/>
          <w:sz w:val="24"/>
        </w:rPr>
        <w:t>中华人民共和国民法典</w:t>
      </w:r>
      <w:r w:rsidRPr="00777BCD">
        <w:rPr>
          <w:rFonts w:ascii="Calibri" w:hAnsi="Calibri" w:cs="Calibri"/>
          <w:bCs/>
          <w:color w:val="000000" w:themeColor="text1"/>
          <w:sz w:val="24"/>
        </w:rPr>
        <w:t>》、《中华人民共和国证券投资基金法》</w:t>
      </w:r>
      <w:r w:rsidRPr="00777BCD">
        <w:rPr>
          <w:rFonts w:ascii="Calibri" w:hAnsi="Calibri" w:cs="Calibri"/>
          <w:bCs/>
          <w:color w:val="000000" w:themeColor="text1"/>
          <w:sz w:val="24"/>
        </w:rPr>
        <w:t>(</w:t>
      </w:r>
      <w:r w:rsidRPr="00777BCD">
        <w:rPr>
          <w:rFonts w:ascii="Calibri" w:hAnsi="Calibri" w:cs="Calibri"/>
          <w:bCs/>
          <w:color w:val="000000" w:themeColor="text1"/>
          <w:sz w:val="24"/>
        </w:rPr>
        <w:t>以下简称</w:t>
      </w:r>
      <w:r w:rsidRPr="00777BCD">
        <w:rPr>
          <w:rFonts w:ascii="Calibri" w:hAnsi="Calibri" w:cs="Calibri"/>
          <w:bCs/>
          <w:color w:val="000000" w:themeColor="text1"/>
          <w:sz w:val="24"/>
        </w:rPr>
        <w:t>“</w:t>
      </w:r>
      <w:r w:rsidRPr="00777BCD">
        <w:rPr>
          <w:rFonts w:ascii="Calibri" w:hAnsi="Calibri" w:cs="Calibri"/>
          <w:bCs/>
          <w:color w:val="000000" w:themeColor="text1"/>
          <w:sz w:val="24"/>
        </w:rPr>
        <w:t>《基金法》</w:t>
      </w:r>
      <w:r w:rsidRPr="00777BCD">
        <w:rPr>
          <w:rFonts w:ascii="Calibri" w:hAnsi="Calibri" w:cs="Calibri"/>
          <w:bCs/>
          <w:color w:val="000000" w:themeColor="text1"/>
          <w:sz w:val="24"/>
        </w:rPr>
        <w:t>”)</w:t>
      </w:r>
      <w:r w:rsidRPr="00777BCD">
        <w:rPr>
          <w:rFonts w:ascii="Calibri" w:hAnsi="Calibri" w:cs="Calibri"/>
          <w:bCs/>
          <w:color w:val="000000" w:themeColor="text1"/>
          <w:sz w:val="24"/>
        </w:rPr>
        <w:t>、《公开募集证券投资基金运作管理办法》</w:t>
      </w:r>
      <w:r w:rsidRPr="00777BCD">
        <w:rPr>
          <w:rFonts w:ascii="Calibri" w:hAnsi="Calibri" w:cs="Calibri"/>
          <w:bCs/>
          <w:color w:val="000000" w:themeColor="text1"/>
          <w:sz w:val="24"/>
        </w:rPr>
        <w:t>(</w:t>
      </w:r>
      <w:r w:rsidRPr="00777BCD">
        <w:rPr>
          <w:rFonts w:ascii="Calibri" w:hAnsi="Calibri" w:cs="Calibri"/>
          <w:bCs/>
          <w:color w:val="000000" w:themeColor="text1"/>
          <w:sz w:val="24"/>
        </w:rPr>
        <w:t>以下简称</w:t>
      </w:r>
      <w:r w:rsidRPr="00777BCD">
        <w:rPr>
          <w:rFonts w:ascii="Calibri" w:hAnsi="Calibri" w:cs="Calibri"/>
          <w:bCs/>
          <w:color w:val="000000" w:themeColor="text1"/>
          <w:sz w:val="24"/>
        </w:rPr>
        <w:t>“</w:t>
      </w:r>
      <w:r w:rsidRPr="00777BCD">
        <w:rPr>
          <w:rFonts w:ascii="Calibri" w:hAnsi="Calibri" w:cs="Calibri"/>
          <w:bCs/>
          <w:color w:val="000000" w:themeColor="text1"/>
          <w:sz w:val="24"/>
        </w:rPr>
        <w:t>《运作办法》</w:t>
      </w:r>
      <w:r w:rsidRPr="00777BCD">
        <w:rPr>
          <w:rFonts w:ascii="Calibri" w:hAnsi="Calibri" w:cs="Calibri"/>
          <w:bCs/>
          <w:color w:val="000000" w:themeColor="text1"/>
          <w:sz w:val="24"/>
        </w:rPr>
        <w:t>”)</w:t>
      </w:r>
      <w:r w:rsidRPr="00777BCD">
        <w:rPr>
          <w:rFonts w:ascii="Calibri" w:hAnsi="Calibri" w:cs="Calibri"/>
          <w:bCs/>
          <w:color w:val="000000" w:themeColor="text1"/>
          <w:sz w:val="24"/>
        </w:rPr>
        <w:t>、《公开募集证券投资基金销售机构监督管理办法》</w:t>
      </w:r>
      <w:r w:rsidRPr="00777BCD">
        <w:rPr>
          <w:rFonts w:ascii="Calibri" w:hAnsi="Calibri" w:cs="Calibri"/>
          <w:bCs/>
          <w:color w:val="000000" w:themeColor="text1"/>
          <w:sz w:val="24"/>
        </w:rPr>
        <w:t>(</w:t>
      </w:r>
      <w:r w:rsidRPr="00777BCD">
        <w:rPr>
          <w:rFonts w:ascii="Calibri" w:hAnsi="Calibri" w:cs="Calibri"/>
          <w:bCs/>
          <w:color w:val="000000" w:themeColor="text1"/>
          <w:sz w:val="24"/>
        </w:rPr>
        <w:t>以下简称</w:t>
      </w:r>
      <w:r w:rsidRPr="00777BCD">
        <w:rPr>
          <w:rFonts w:ascii="Calibri" w:hAnsi="Calibri" w:cs="Calibri"/>
          <w:bCs/>
          <w:color w:val="000000" w:themeColor="text1"/>
          <w:sz w:val="24"/>
        </w:rPr>
        <w:t>“</w:t>
      </w:r>
      <w:r w:rsidRPr="00777BCD">
        <w:rPr>
          <w:rFonts w:ascii="Calibri" w:hAnsi="Calibri" w:cs="Calibri"/>
          <w:bCs/>
          <w:color w:val="000000" w:themeColor="text1"/>
          <w:sz w:val="24"/>
        </w:rPr>
        <w:t>《销售办法》</w:t>
      </w:r>
      <w:r w:rsidRPr="00777BCD">
        <w:rPr>
          <w:rFonts w:ascii="Calibri" w:hAnsi="Calibri" w:cs="Calibri"/>
          <w:bCs/>
          <w:color w:val="000000" w:themeColor="text1"/>
          <w:sz w:val="24"/>
        </w:rPr>
        <w:t>”)</w:t>
      </w:r>
      <w:r w:rsidRPr="00777BCD">
        <w:rPr>
          <w:rFonts w:ascii="Calibri" w:hAnsi="Calibri" w:cs="Calibri"/>
          <w:bCs/>
          <w:color w:val="000000" w:themeColor="text1"/>
          <w:sz w:val="24"/>
        </w:rPr>
        <w:t>、《公开募集证券投资基金信息披露管理办法》</w:t>
      </w:r>
      <w:r w:rsidRPr="00777BCD">
        <w:rPr>
          <w:rFonts w:ascii="Calibri" w:hAnsi="Calibri" w:cs="Calibri"/>
          <w:bCs/>
          <w:color w:val="000000" w:themeColor="text1"/>
          <w:sz w:val="24"/>
        </w:rPr>
        <w:t>(</w:t>
      </w:r>
      <w:r w:rsidRPr="00777BCD">
        <w:rPr>
          <w:rFonts w:ascii="Calibri" w:hAnsi="Calibri" w:cs="Calibri"/>
          <w:bCs/>
          <w:color w:val="000000" w:themeColor="text1"/>
          <w:sz w:val="24"/>
        </w:rPr>
        <w:t>以下简称</w:t>
      </w:r>
      <w:r w:rsidRPr="00777BCD">
        <w:rPr>
          <w:rFonts w:ascii="Calibri" w:hAnsi="Calibri" w:cs="Calibri"/>
          <w:bCs/>
          <w:color w:val="000000" w:themeColor="text1"/>
          <w:sz w:val="24"/>
        </w:rPr>
        <w:t>“</w:t>
      </w:r>
      <w:r w:rsidRPr="00777BCD">
        <w:rPr>
          <w:rFonts w:ascii="Calibri" w:hAnsi="Calibri" w:cs="Calibri"/>
          <w:bCs/>
          <w:color w:val="000000" w:themeColor="text1"/>
          <w:sz w:val="24"/>
        </w:rPr>
        <w:t>《信息披露办法》</w:t>
      </w:r>
      <w:r w:rsidRPr="00777BCD">
        <w:rPr>
          <w:rFonts w:ascii="Calibri" w:hAnsi="Calibri" w:cs="Calibri"/>
          <w:bCs/>
          <w:color w:val="000000" w:themeColor="text1"/>
          <w:sz w:val="24"/>
        </w:rPr>
        <w:t>”)</w:t>
      </w:r>
      <w:r w:rsidRPr="00777BCD">
        <w:rPr>
          <w:rFonts w:ascii="Calibri" w:hAnsi="Calibri" w:cs="Calibri"/>
          <w:bCs/>
          <w:color w:val="000000" w:themeColor="text1"/>
          <w:sz w:val="24"/>
        </w:rPr>
        <w:t>、《公开募集开放式证券投资基金流动性风险管理规定》（以下简称</w:t>
      </w:r>
      <w:r w:rsidRPr="00777BCD">
        <w:rPr>
          <w:rFonts w:ascii="Calibri" w:hAnsi="Calibri" w:cs="Calibri"/>
          <w:bCs/>
          <w:color w:val="000000" w:themeColor="text1"/>
          <w:sz w:val="24"/>
        </w:rPr>
        <w:t>“</w:t>
      </w:r>
      <w:r w:rsidRPr="00777BCD">
        <w:rPr>
          <w:rFonts w:ascii="Calibri" w:hAnsi="Calibri" w:cs="Calibri"/>
          <w:bCs/>
          <w:color w:val="000000" w:themeColor="text1"/>
          <w:sz w:val="24"/>
        </w:rPr>
        <w:t>《流动性风险管理规定》</w:t>
      </w:r>
      <w:r w:rsidRPr="00777BCD">
        <w:rPr>
          <w:rFonts w:ascii="Calibri" w:hAnsi="Calibri" w:cs="Calibri"/>
          <w:bCs/>
          <w:color w:val="000000" w:themeColor="text1"/>
          <w:sz w:val="24"/>
        </w:rPr>
        <w:t>”</w:t>
      </w:r>
      <w:r w:rsidRPr="00777BCD">
        <w:rPr>
          <w:rFonts w:ascii="Calibri" w:hAnsi="Calibri" w:cs="Calibri"/>
          <w:bCs/>
          <w:color w:val="000000" w:themeColor="text1"/>
          <w:sz w:val="24"/>
        </w:rPr>
        <w:t>）和其他有关法律法规。</w:t>
      </w:r>
    </w:p>
    <w:p w14:paraId="3796C066"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、订立本基金合同的原则是平等自愿、诚实信用、充分保护投资人合法权益。</w:t>
      </w:r>
    </w:p>
    <w:p w14:paraId="2D5FEBE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二、基金合同是规定基金合同当事人之间权利义务关系的基本法律文件，其他与基金相关的涉及基金合同当事人之间权利义务关系的任何文件或表述，如与基金合同有冲突，均以基金合同为准。基金合同当事人按照《基金法》、基金合同及其他有关规定享有权利、承担义务。</w:t>
      </w:r>
    </w:p>
    <w:p w14:paraId="53E92D58" w14:textId="77777777" w:rsidR="007149DF" w:rsidRPr="00777BCD" w:rsidRDefault="00284640">
      <w:pPr>
        <w:ind w:firstLine="480"/>
        <w:rPr>
          <w:rFonts w:ascii="Calibri" w:hAnsi="Calibri" w:cs="Calibri"/>
          <w:color w:val="000000" w:themeColor="text1"/>
          <w:sz w:val="24"/>
        </w:rPr>
      </w:pPr>
      <w:r w:rsidRPr="00777BCD">
        <w:rPr>
          <w:rFonts w:ascii="Calibri" w:hAnsi="Calibri" w:cs="Calibri"/>
          <w:bCs/>
          <w:color w:val="000000" w:themeColor="text1"/>
          <w:sz w:val="24"/>
        </w:rPr>
        <w:t>基金合同的当事人包括基金管理人、基金托管人和基金份额持有人。基金投资人自依本基金合同取得基金份额，即成为基金份额持有人和本基金合同的当事人，其持有基金份额的行为本身即表明其对基金合同的承认和接受。</w:t>
      </w:r>
    </w:p>
    <w:p w14:paraId="337D668E" w14:textId="3651DAE2"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三、银河</w:t>
      </w:r>
      <w:r w:rsidR="00B43597">
        <w:rPr>
          <w:rFonts w:ascii="Calibri" w:hAnsi="Calibri" w:cs="Calibri"/>
          <w:bCs/>
          <w:color w:val="000000" w:themeColor="text1"/>
          <w:sz w:val="24"/>
        </w:rPr>
        <w:t>ESG</w:t>
      </w:r>
      <w:r w:rsidR="00B43597">
        <w:rPr>
          <w:rFonts w:ascii="Calibri" w:hAnsi="Calibri" w:cs="Calibri"/>
          <w:bCs/>
          <w:color w:val="000000" w:themeColor="text1"/>
          <w:sz w:val="24"/>
        </w:rPr>
        <w:t>主题</w:t>
      </w:r>
      <w:r w:rsidRPr="00777BCD">
        <w:rPr>
          <w:rFonts w:ascii="Calibri" w:hAnsi="Calibri" w:cs="Calibri"/>
          <w:bCs/>
          <w:color w:val="000000" w:themeColor="text1"/>
          <w:sz w:val="24"/>
        </w:rPr>
        <w:t>混合型发起式证券投资基金由基金管理人依照《基金法》、《银河</w:t>
      </w:r>
      <w:r w:rsidR="00B43597">
        <w:rPr>
          <w:rFonts w:ascii="Calibri" w:hAnsi="Calibri" w:cs="Calibri"/>
          <w:bCs/>
          <w:color w:val="000000" w:themeColor="text1"/>
          <w:sz w:val="24"/>
        </w:rPr>
        <w:t>ESG</w:t>
      </w:r>
      <w:r w:rsidR="00B43597">
        <w:rPr>
          <w:rFonts w:ascii="Calibri" w:hAnsi="Calibri" w:cs="Calibri"/>
          <w:bCs/>
          <w:color w:val="000000" w:themeColor="text1"/>
          <w:sz w:val="24"/>
        </w:rPr>
        <w:t>主题</w:t>
      </w:r>
      <w:r w:rsidRPr="00777BCD">
        <w:rPr>
          <w:rFonts w:ascii="Calibri" w:hAnsi="Calibri" w:cs="Calibri"/>
          <w:bCs/>
          <w:color w:val="000000" w:themeColor="text1"/>
          <w:sz w:val="24"/>
        </w:rPr>
        <w:t>混合型发起式证券投资基金基金合同》及其他有关规定募集，并经中国证券监督管理委员会</w:t>
      </w:r>
      <w:r w:rsidRPr="00777BCD">
        <w:rPr>
          <w:rFonts w:ascii="Calibri" w:hAnsi="Calibri" w:cs="Calibri"/>
          <w:bCs/>
          <w:color w:val="000000" w:themeColor="text1"/>
          <w:sz w:val="24"/>
        </w:rPr>
        <w:t>(</w:t>
      </w:r>
      <w:r w:rsidRPr="00777BCD">
        <w:rPr>
          <w:rFonts w:ascii="Calibri" w:hAnsi="Calibri" w:cs="Calibri"/>
          <w:bCs/>
          <w:color w:val="000000" w:themeColor="text1"/>
          <w:sz w:val="24"/>
        </w:rPr>
        <w:t>以下简称</w:t>
      </w:r>
      <w:r w:rsidRPr="00777BCD">
        <w:rPr>
          <w:rFonts w:ascii="Calibri" w:hAnsi="Calibri" w:cs="Calibri"/>
          <w:bCs/>
          <w:color w:val="000000" w:themeColor="text1"/>
          <w:sz w:val="24"/>
        </w:rPr>
        <w:t>“</w:t>
      </w:r>
      <w:r w:rsidRPr="00777BCD">
        <w:rPr>
          <w:rFonts w:ascii="Calibri" w:hAnsi="Calibri" w:cs="Calibri"/>
          <w:bCs/>
          <w:color w:val="000000" w:themeColor="text1"/>
          <w:sz w:val="24"/>
        </w:rPr>
        <w:t>中国证监会</w:t>
      </w:r>
      <w:r w:rsidRPr="00777BCD">
        <w:rPr>
          <w:rFonts w:ascii="Calibri" w:hAnsi="Calibri" w:cs="Calibri"/>
          <w:bCs/>
          <w:color w:val="000000" w:themeColor="text1"/>
          <w:sz w:val="24"/>
        </w:rPr>
        <w:t>”)</w:t>
      </w:r>
      <w:r w:rsidRPr="00777BCD">
        <w:rPr>
          <w:rFonts w:ascii="Calibri" w:hAnsi="Calibri" w:cs="Calibri"/>
          <w:bCs/>
          <w:color w:val="000000" w:themeColor="text1"/>
          <w:sz w:val="24"/>
        </w:rPr>
        <w:t>注册。</w:t>
      </w:r>
    </w:p>
    <w:p w14:paraId="6CD42A67" w14:textId="77777777" w:rsidR="007149DF" w:rsidRPr="00777BCD" w:rsidRDefault="00284640">
      <w:pPr>
        <w:ind w:firstLineChars="200" w:firstLine="480"/>
        <w:rPr>
          <w:rFonts w:ascii="Calibri" w:hAnsi="Calibri" w:cs="Calibri"/>
          <w:bCs/>
          <w:color w:val="000000" w:themeColor="text1"/>
          <w:sz w:val="24"/>
        </w:rPr>
      </w:pPr>
      <w:r w:rsidRPr="00777BCD">
        <w:rPr>
          <w:rFonts w:ascii="Calibri" w:hAnsi="Calibri" w:cs="Calibri"/>
          <w:bCs/>
          <w:color w:val="000000" w:themeColor="text1"/>
          <w:sz w:val="24"/>
        </w:rPr>
        <w:t>中国证监会对本基金募集的注册，并不表明其对本基金的投资价值和市场前景做出实质性判断或保证，也不表明投资于本基金没有风险。</w:t>
      </w:r>
    </w:p>
    <w:p w14:paraId="226BA2F0" w14:textId="77777777" w:rsidR="007149DF" w:rsidRPr="00777BCD" w:rsidRDefault="00284640">
      <w:pPr>
        <w:ind w:firstLineChars="200" w:firstLine="480"/>
        <w:rPr>
          <w:rFonts w:ascii="Calibri" w:hAnsi="Calibri" w:cs="Calibri"/>
          <w:bCs/>
          <w:color w:val="000000" w:themeColor="text1"/>
          <w:sz w:val="24"/>
        </w:rPr>
      </w:pPr>
      <w:r w:rsidRPr="00777BCD">
        <w:rPr>
          <w:rFonts w:ascii="Calibri" w:hAnsi="Calibri" w:cs="Calibri"/>
          <w:bCs/>
          <w:color w:val="000000" w:themeColor="text1"/>
          <w:sz w:val="24"/>
        </w:rPr>
        <w:t>基金管理人依照恪尽职守、诚实信用、谨慎勤勉的原则管理和运用基金财产，但不保证投资于本基金一定盈利，也不保证最低收益</w:t>
      </w:r>
      <w:r w:rsidRPr="00777BCD">
        <w:rPr>
          <w:rFonts w:ascii="Calibri" w:hAnsi="Calibri" w:cs="Calibri"/>
          <w:bCs/>
          <w:sz w:val="24"/>
          <w:szCs w:val="24"/>
        </w:rPr>
        <w:t>，也不保证本金不受损失</w:t>
      </w:r>
      <w:r w:rsidRPr="00777BCD">
        <w:rPr>
          <w:rFonts w:ascii="Calibri" w:hAnsi="Calibri" w:cs="Calibri"/>
          <w:bCs/>
          <w:color w:val="000000" w:themeColor="text1"/>
          <w:sz w:val="24"/>
        </w:rPr>
        <w:t>。</w:t>
      </w:r>
    </w:p>
    <w:p w14:paraId="16568BD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投资者应当认真阅读基金招募说明书、基金合同</w:t>
      </w:r>
      <w:r w:rsidRPr="00777BCD">
        <w:rPr>
          <w:rFonts w:ascii="Calibri" w:hAnsi="Calibri" w:cs="Calibri"/>
          <w:color w:val="000000" w:themeColor="text1"/>
          <w:sz w:val="24"/>
        </w:rPr>
        <w:t>、基金产品资料概要</w:t>
      </w:r>
      <w:r w:rsidRPr="00777BCD">
        <w:rPr>
          <w:rFonts w:ascii="Calibri" w:hAnsi="Calibri" w:cs="Calibri"/>
          <w:bCs/>
          <w:color w:val="000000" w:themeColor="text1"/>
          <w:sz w:val="24"/>
        </w:rPr>
        <w:t>等信息披露文件，自主判断基金的投资价值，自主做出投资决策，自行承担投资风险。</w:t>
      </w:r>
    </w:p>
    <w:p w14:paraId="11403304" w14:textId="77777777" w:rsidR="007149DF" w:rsidRPr="00777BCD" w:rsidRDefault="00284640">
      <w:pPr>
        <w:shd w:val="clear" w:color="auto" w:fill="FFFFFF"/>
        <w:tabs>
          <w:tab w:val="left" w:pos="360"/>
        </w:tabs>
        <w:ind w:firstLine="480"/>
        <w:rPr>
          <w:rFonts w:ascii="Calibri" w:hAnsi="Calibri" w:cs="Calibri"/>
          <w:bCs/>
          <w:color w:val="000000" w:themeColor="text1"/>
          <w:sz w:val="24"/>
        </w:rPr>
      </w:pPr>
      <w:r w:rsidRPr="00777BCD">
        <w:rPr>
          <w:rFonts w:ascii="Calibri" w:hAnsi="Calibri" w:cs="Calibri"/>
          <w:bCs/>
          <w:color w:val="000000" w:themeColor="text1"/>
          <w:sz w:val="24"/>
        </w:rPr>
        <w:t>四、基金管理人、基金托管人在本基金合同之外披露涉及本基金的信息，其内容涉及界定基金合同当事人之间权利义务关系的，如与基金合同有冲突，以基金合同为准。</w:t>
      </w:r>
    </w:p>
    <w:p w14:paraId="66F1EDD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五、本基金按照中国法律法规成立并运作，</w:t>
      </w:r>
      <w:proofErr w:type="gramStart"/>
      <w:r w:rsidRPr="00777BCD">
        <w:rPr>
          <w:rFonts w:ascii="Calibri" w:hAnsi="Calibri" w:cs="Calibri"/>
          <w:bCs/>
          <w:color w:val="000000" w:themeColor="text1"/>
          <w:sz w:val="24"/>
        </w:rPr>
        <w:t>若基金</w:t>
      </w:r>
      <w:proofErr w:type="gramEnd"/>
      <w:r w:rsidRPr="00777BCD">
        <w:rPr>
          <w:rFonts w:ascii="Calibri" w:hAnsi="Calibri" w:cs="Calibri"/>
          <w:bCs/>
          <w:color w:val="000000" w:themeColor="text1"/>
          <w:sz w:val="24"/>
        </w:rPr>
        <w:t>合同的内容与届时有效的法律法规的强制性规定不一致，应当以届时有效的法律法规的规定为准。</w:t>
      </w:r>
    </w:p>
    <w:p w14:paraId="6A3EB66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六、当本基金持有特定资产且存在或潜在大额赎回申请时，基金管理人履行相应程序后，可以</w:t>
      </w:r>
      <w:proofErr w:type="gramStart"/>
      <w:r w:rsidRPr="00777BCD">
        <w:rPr>
          <w:rFonts w:ascii="Calibri" w:hAnsi="Calibri" w:cs="Calibri"/>
          <w:bCs/>
          <w:color w:val="000000" w:themeColor="text1"/>
          <w:sz w:val="24"/>
        </w:rPr>
        <w:t>启用侧袋机制</w:t>
      </w:r>
      <w:proofErr w:type="gramEnd"/>
      <w:r w:rsidRPr="00777BCD">
        <w:rPr>
          <w:rFonts w:ascii="Calibri" w:hAnsi="Calibri" w:cs="Calibri"/>
          <w:bCs/>
          <w:color w:val="000000" w:themeColor="text1"/>
          <w:sz w:val="24"/>
        </w:rPr>
        <w:t>，具体详见基金合同和招募说明书的有关章节。</w:t>
      </w:r>
      <w:proofErr w:type="gramStart"/>
      <w:r w:rsidRPr="00777BCD">
        <w:rPr>
          <w:rFonts w:ascii="Calibri" w:hAnsi="Calibri" w:cs="Calibri"/>
          <w:bCs/>
          <w:color w:val="000000" w:themeColor="text1"/>
          <w:sz w:val="24"/>
        </w:rPr>
        <w:t>侧袋机制</w:t>
      </w:r>
      <w:proofErr w:type="gramEnd"/>
      <w:r w:rsidRPr="00777BCD">
        <w:rPr>
          <w:rFonts w:ascii="Calibri" w:hAnsi="Calibri" w:cs="Calibri"/>
          <w:bCs/>
          <w:color w:val="000000" w:themeColor="text1"/>
          <w:sz w:val="24"/>
        </w:rPr>
        <w:t>实施期间，基金管理人将对基金简称进行特殊标识，并不</w:t>
      </w:r>
      <w:proofErr w:type="gramStart"/>
      <w:r w:rsidRPr="00777BCD">
        <w:rPr>
          <w:rFonts w:ascii="Calibri" w:hAnsi="Calibri" w:cs="Calibri"/>
          <w:bCs/>
          <w:color w:val="000000" w:themeColor="text1"/>
          <w:sz w:val="24"/>
        </w:rPr>
        <w:t>办理侧袋账户</w:t>
      </w:r>
      <w:proofErr w:type="gramEnd"/>
      <w:r w:rsidRPr="00777BCD">
        <w:rPr>
          <w:rFonts w:ascii="Calibri" w:hAnsi="Calibri" w:cs="Calibri"/>
          <w:bCs/>
          <w:color w:val="000000" w:themeColor="text1"/>
          <w:sz w:val="24"/>
        </w:rPr>
        <w:t>的申购赎回。</w:t>
      </w:r>
      <w:proofErr w:type="gramStart"/>
      <w:r w:rsidRPr="00777BCD">
        <w:rPr>
          <w:rFonts w:ascii="Calibri" w:hAnsi="Calibri" w:cs="Calibri"/>
          <w:bCs/>
          <w:color w:val="000000" w:themeColor="text1"/>
          <w:sz w:val="24"/>
        </w:rPr>
        <w:t>请基金</w:t>
      </w:r>
      <w:proofErr w:type="gramEnd"/>
      <w:r w:rsidRPr="00777BCD">
        <w:rPr>
          <w:rFonts w:ascii="Calibri" w:hAnsi="Calibri" w:cs="Calibri"/>
          <w:bCs/>
          <w:color w:val="000000" w:themeColor="text1"/>
          <w:sz w:val="24"/>
        </w:rPr>
        <w:t>份额持有人仔细阅读相关内容并关注本基金启用</w:t>
      </w:r>
      <w:proofErr w:type="gramStart"/>
      <w:r w:rsidRPr="00777BCD">
        <w:rPr>
          <w:rFonts w:ascii="Calibri" w:hAnsi="Calibri" w:cs="Calibri"/>
          <w:bCs/>
          <w:color w:val="000000" w:themeColor="text1"/>
          <w:sz w:val="24"/>
        </w:rPr>
        <w:t>侧袋机制</w:t>
      </w:r>
      <w:proofErr w:type="gramEnd"/>
      <w:r w:rsidRPr="00777BCD">
        <w:rPr>
          <w:rFonts w:ascii="Calibri" w:hAnsi="Calibri" w:cs="Calibri"/>
          <w:bCs/>
          <w:color w:val="000000" w:themeColor="text1"/>
          <w:sz w:val="24"/>
        </w:rPr>
        <w:t>时的特定风险。</w:t>
      </w:r>
    </w:p>
    <w:p w14:paraId="02E7C6E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七、本基金的投资范围包括存托凭证，</w:t>
      </w:r>
      <w:r w:rsidR="008A6B0E" w:rsidRPr="00777BCD">
        <w:rPr>
          <w:rFonts w:ascii="Calibri" w:hAnsi="Calibri" w:cs="Calibri"/>
          <w:bCs/>
          <w:color w:val="000000" w:themeColor="text1"/>
          <w:sz w:val="24"/>
        </w:rPr>
        <w:t>若投资</w:t>
      </w:r>
      <w:r w:rsidRPr="00777BCD">
        <w:rPr>
          <w:rFonts w:ascii="Calibri" w:hAnsi="Calibri" w:cs="Calibri"/>
          <w:bCs/>
          <w:color w:val="000000" w:themeColor="text1"/>
          <w:sz w:val="24"/>
        </w:rPr>
        <w:t>可能面临存托凭证价格大幅波动甚至出现较大亏损的风险，以及与存托凭证发行机制以及交易机制等相关的风险。具体风险烦请查阅基金招募说明书的</w:t>
      </w:r>
      <w:r w:rsidRPr="00777BCD">
        <w:rPr>
          <w:rFonts w:ascii="Calibri" w:hAnsi="Calibri" w:cs="Calibri"/>
          <w:bCs/>
          <w:color w:val="000000" w:themeColor="text1"/>
          <w:sz w:val="24"/>
        </w:rPr>
        <w:t>“</w:t>
      </w:r>
      <w:r w:rsidRPr="00777BCD">
        <w:rPr>
          <w:rFonts w:ascii="Calibri" w:hAnsi="Calibri" w:cs="Calibri"/>
          <w:bCs/>
          <w:color w:val="000000" w:themeColor="text1"/>
          <w:sz w:val="24"/>
        </w:rPr>
        <w:t>风险揭示</w:t>
      </w:r>
      <w:r w:rsidRPr="00777BCD">
        <w:rPr>
          <w:rFonts w:ascii="Calibri" w:hAnsi="Calibri" w:cs="Calibri"/>
          <w:bCs/>
          <w:color w:val="000000" w:themeColor="text1"/>
          <w:sz w:val="24"/>
        </w:rPr>
        <w:t>”</w:t>
      </w:r>
      <w:r w:rsidRPr="00777BCD">
        <w:rPr>
          <w:rFonts w:ascii="Calibri" w:hAnsi="Calibri" w:cs="Calibri"/>
          <w:bCs/>
          <w:color w:val="000000" w:themeColor="text1"/>
          <w:sz w:val="24"/>
        </w:rPr>
        <w:t>章节内容。</w:t>
      </w:r>
    </w:p>
    <w:p w14:paraId="10C6B569" w14:textId="23D86DAA"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八、本基金投资内地与香港股票市场交易互联互通机制下允许投资的香港联合交易所上市的股票（以下简称</w:t>
      </w:r>
      <w:r w:rsidRPr="00777BCD">
        <w:rPr>
          <w:rFonts w:ascii="Calibri" w:hAnsi="Calibri" w:cs="Calibri"/>
          <w:bCs/>
          <w:color w:val="000000" w:themeColor="text1"/>
          <w:sz w:val="24"/>
        </w:rPr>
        <w:t>“</w:t>
      </w:r>
      <w:r w:rsidRPr="00777BCD">
        <w:rPr>
          <w:rFonts w:ascii="Calibri" w:hAnsi="Calibri" w:cs="Calibri"/>
          <w:bCs/>
          <w:color w:val="000000" w:themeColor="text1"/>
          <w:sz w:val="24"/>
        </w:rPr>
        <w:t>港股通标的股票</w:t>
      </w:r>
      <w:r w:rsidRPr="00777BCD">
        <w:rPr>
          <w:rFonts w:ascii="Calibri" w:hAnsi="Calibri" w:cs="Calibri"/>
          <w:bCs/>
          <w:color w:val="000000" w:themeColor="text1"/>
          <w:sz w:val="24"/>
        </w:rPr>
        <w:t>”</w:t>
      </w:r>
      <w:r w:rsidRPr="00777BCD">
        <w:rPr>
          <w:rFonts w:ascii="Calibri" w:hAnsi="Calibri" w:cs="Calibri"/>
          <w:bCs/>
          <w:color w:val="000000" w:themeColor="text1"/>
          <w:sz w:val="24"/>
        </w:rPr>
        <w:t>）会面临港股</w:t>
      </w:r>
      <w:proofErr w:type="gramStart"/>
      <w:r w:rsidRPr="00777BCD">
        <w:rPr>
          <w:rFonts w:ascii="Calibri" w:hAnsi="Calibri" w:cs="Calibri"/>
          <w:bCs/>
          <w:color w:val="000000" w:themeColor="text1"/>
          <w:sz w:val="24"/>
        </w:rPr>
        <w:t>通机制</w:t>
      </w:r>
      <w:proofErr w:type="gramEnd"/>
      <w:r w:rsidRPr="00777BCD">
        <w:rPr>
          <w:rFonts w:ascii="Calibri" w:hAnsi="Calibri" w:cs="Calibri"/>
          <w:bCs/>
          <w:color w:val="000000" w:themeColor="text1"/>
          <w:sz w:val="24"/>
        </w:rPr>
        <w:t>下因投资环境、投资标的、市场制度以及交易规则等差异带来的特有风险，包括港股市场股价波动较大的风险（港股市</w:t>
      </w:r>
      <w:proofErr w:type="gramStart"/>
      <w:r w:rsidRPr="00777BCD">
        <w:rPr>
          <w:rFonts w:ascii="Calibri" w:hAnsi="Calibri" w:cs="Calibri"/>
          <w:bCs/>
          <w:color w:val="000000" w:themeColor="text1"/>
          <w:sz w:val="24"/>
        </w:rPr>
        <w:t>场实行</w:t>
      </w:r>
      <w:proofErr w:type="gramEnd"/>
      <w:r w:rsidRPr="00777BCD">
        <w:rPr>
          <w:rFonts w:ascii="Calibri" w:hAnsi="Calibri" w:cs="Calibri"/>
          <w:bCs/>
          <w:color w:val="000000" w:themeColor="text1"/>
          <w:sz w:val="24"/>
        </w:rPr>
        <w:t>T+0</w:t>
      </w:r>
      <w:r w:rsidRPr="00777BCD">
        <w:rPr>
          <w:rFonts w:ascii="Calibri" w:hAnsi="Calibri" w:cs="Calibri"/>
          <w:bCs/>
          <w:color w:val="000000" w:themeColor="text1"/>
          <w:sz w:val="24"/>
        </w:rPr>
        <w:t>回转交易，且对个股不设涨跌幅限制，港股股价可能表现出比</w:t>
      </w:r>
      <w:r w:rsidRPr="00777BCD">
        <w:rPr>
          <w:rFonts w:ascii="Calibri" w:hAnsi="Calibri" w:cs="Calibri"/>
          <w:bCs/>
          <w:color w:val="000000" w:themeColor="text1"/>
          <w:sz w:val="24"/>
        </w:rPr>
        <w:t>A</w:t>
      </w:r>
      <w:r w:rsidRPr="00777BCD">
        <w:rPr>
          <w:rFonts w:ascii="Calibri" w:hAnsi="Calibri" w:cs="Calibri"/>
          <w:bCs/>
          <w:color w:val="000000" w:themeColor="text1"/>
          <w:sz w:val="24"/>
        </w:rPr>
        <w:t>股更为剧烈的股价波动）、汇率风险（汇率波动可能对基金的投资收益造成损失）、港股</w:t>
      </w:r>
      <w:proofErr w:type="gramStart"/>
      <w:r w:rsidRPr="00777BCD">
        <w:rPr>
          <w:rFonts w:ascii="Calibri" w:hAnsi="Calibri" w:cs="Calibri"/>
          <w:bCs/>
          <w:color w:val="000000" w:themeColor="text1"/>
          <w:sz w:val="24"/>
        </w:rPr>
        <w:t>通机制</w:t>
      </w:r>
      <w:proofErr w:type="gramEnd"/>
      <w:r w:rsidRPr="00777BCD">
        <w:rPr>
          <w:rFonts w:ascii="Calibri" w:hAnsi="Calibri" w:cs="Calibri"/>
          <w:bCs/>
          <w:color w:val="000000" w:themeColor="text1"/>
          <w:sz w:val="24"/>
        </w:rPr>
        <w:t>下交易日不连贯可能带来的风险（在内地开市香港休市的情形下，港股</w:t>
      </w:r>
      <w:proofErr w:type="gramStart"/>
      <w:r w:rsidRPr="00777BCD">
        <w:rPr>
          <w:rFonts w:ascii="Calibri" w:hAnsi="Calibri" w:cs="Calibri"/>
          <w:bCs/>
          <w:color w:val="000000" w:themeColor="text1"/>
          <w:sz w:val="24"/>
        </w:rPr>
        <w:t>通不能</w:t>
      </w:r>
      <w:proofErr w:type="gramEnd"/>
      <w:r w:rsidRPr="00777BCD">
        <w:rPr>
          <w:rFonts w:ascii="Calibri" w:hAnsi="Calibri" w:cs="Calibri"/>
          <w:bCs/>
          <w:color w:val="000000" w:themeColor="text1"/>
          <w:sz w:val="24"/>
        </w:rPr>
        <w:t>正常交易，港股不能及时卖出，可能带来一定的流动性风险）等。具体风险烦请查阅基金招募说明书的</w:t>
      </w:r>
      <w:r w:rsidRPr="00777BCD">
        <w:rPr>
          <w:rFonts w:ascii="Calibri" w:hAnsi="Calibri" w:cs="Calibri"/>
          <w:bCs/>
          <w:color w:val="000000" w:themeColor="text1"/>
          <w:sz w:val="24"/>
        </w:rPr>
        <w:t>“</w:t>
      </w:r>
      <w:r w:rsidRPr="00777BCD">
        <w:rPr>
          <w:rFonts w:ascii="Calibri" w:hAnsi="Calibri" w:cs="Calibri"/>
          <w:bCs/>
          <w:color w:val="000000" w:themeColor="text1"/>
          <w:sz w:val="24"/>
        </w:rPr>
        <w:t>风险揭示</w:t>
      </w:r>
      <w:r w:rsidRPr="00777BCD">
        <w:rPr>
          <w:rFonts w:ascii="Calibri" w:hAnsi="Calibri" w:cs="Calibri"/>
          <w:bCs/>
          <w:color w:val="000000" w:themeColor="text1"/>
          <w:sz w:val="24"/>
        </w:rPr>
        <w:t>”</w:t>
      </w:r>
      <w:r w:rsidRPr="00777BCD">
        <w:rPr>
          <w:rFonts w:ascii="Calibri" w:hAnsi="Calibri" w:cs="Calibri"/>
          <w:bCs/>
          <w:color w:val="000000" w:themeColor="text1"/>
          <w:sz w:val="24"/>
        </w:rPr>
        <w:t>章节内容。</w:t>
      </w:r>
    </w:p>
    <w:p w14:paraId="322A2BAE" w14:textId="77777777" w:rsidR="007149DF" w:rsidRPr="00777BCD" w:rsidRDefault="00284640">
      <w:pPr>
        <w:ind w:firstLineChars="200" w:firstLine="480"/>
        <w:rPr>
          <w:rFonts w:ascii="Calibri" w:hAnsi="Calibri" w:cs="Calibri"/>
          <w:bCs/>
          <w:color w:val="000000" w:themeColor="text1"/>
          <w:sz w:val="24"/>
        </w:rPr>
      </w:pPr>
      <w:r w:rsidRPr="00777BCD">
        <w:rPr>
          <w:rFonts w:ascii="Calibri" w:hAnsi="Calibri" w:cs="Calibri"/>
          <w:bCs/>
          <w:color w:val="000000" w:themeColor="text1"/>
          <w:sz w:val="24"/>
        </w:rPr>
        <w:t>本基金可根据投资策略需要或不同配置地市场环境的变化，选择将部分基金资产投资于港股通标的股票或选择不将基金资产投资于港股通标的股票，基金资产并非必然投资港股通标的股票。</w:t>
      </w:r>
    </w:p>
    <w:p w14:paraId="55C6483A" w14:textId="77777777" w:rsidR="007149DF" w:rsidRPr="00777BCD" w:rsidRDefault="00284640">
      <w:pPr>
        <w:pStyle w:val="11"/>
        <w:spacing w:before="0" w:after="0"/>
        <w:ind w:firstLine="0"/>
        <w:jc w:val="center"/>
        <w:rPr>
          <w:rFonts w:ascii="Calibri" w:hAnsi="Calibri" w:cs="Calibri"/>
          <w:color w:val="000000" w:themeColor="text1"/>
          <w:sz w:val="30"/>
        </w:rPr>
      </w:pPr>
      <w:r w:rsidRPr="00777BCD">
        <w:rPr>
          <w:rFonts w:ascii="Calibri" w:hAnsi="Calibri" w:cs="Calibri"/>
          <w:b w:val="0"/>
          <w:bCs/>
          <w:color w:val="000000" w:themeColor="text1"/>
          <w:sz w:val="21"/>
        </w:rPr>
        <w:br w:type="page"/>
      </w:r>
      <w:bookmarkStart w:id="42" w:name="_Toc3224"/>
      <w:bookmarkStart w:id="43" w:name="_Toc2465"/>
      <w:bookmarkStart w:id="44" w:name="_Toc6820021"/>
      <w:bookmarkStart w:id="45" w:name="_Toc19592"/>
      <w:bookmarkStart w:id="46" w:name="_Toc6617"/>
      <w:bookmarkStart w:id="47" w:name="_Toc819"/>
      <w:bookmarkStart w:id="48" w:name="_Toc22864"/>
      <w:bookmarkStart w:id="49" w:name="_Toc21301"/>
      <w:bookmarkStart w:id="50" w:name="_Toc13020"/>
      <w:bookmarkStart w:id="51" w:name="_Toc24860"/>
      <w:bookmarkStart w:id="52" w:name="_Toc15067"/>
      <w:bookmarkStart w:id="53" w:name="_Toc160725900"/>
      <w:r w:rsidRPr="00777BCD">
        <w:rPr>
          <w:rFonts w:ascii="Calibri" w:hAnsi="Calibri" w:cs="Calibri"/>
          <w:color w:val="000000" w:themeColor="text1"/>
          <w:sz w:val="30"/>
        </w:rPr>
        <w:lastRenderedPageBreak/>
        <w:t>第二部分</w:t>
      </w:r>
      <w:r w:rsidRPr="00777BCD">
        <w:rPr>
          <w:rFonts w:ascii="Calibri" w:hAnsi="Calibri" w:cs="Calibri"/>
          <w:color w:val="000000" w:themeColor="text1"/>
          <w:sz w:val="30"/>
        </w:rPr>
        <w:t xml:space="preserve">  </w:t>
      </w:r>
      <w:r w:rsidRPr="00777BCD">
        <w:rPr>
          <w:rFonts w:ascii="Calibri" w:hAnsi="Calibri" w:cs="Calibri"/>
          <w:color w:val="000000" w:themeColor="text1"/>
          <w:sz w:val="30"/>
        </w:rPr>
        <w:t>释义</w:t>
      </w:r>
      <w:bookmarkEnd w:id="35"/>
      <w:bookmarkEnd w:id="41"/>
      <w:bookmarkEnd w:id="42"/>
      <w:bookmarkEnd w:id="43"/>
      <w:bookmarkEnd w:id="44"/>
      <w:bookmarkEnd w:id="45"/>
      <w:bookmarkEnd w:id="46"/>
      <w:bookmarkEnd w:id="47"/>
      <w:bookmarkEnd w:id="48"/>
      <w:bookmarkEnd w:id="49"/>
      <w:bookmarkEnd w:id="50"/>
      <w:bookmarkEnd w:id="51"/>
      <w:bookmarkEnd w:id="52"/>
      <w:bookmarkEnd w:id="53"/>
    </w:p>
    <w:p w14:paraId="32CDB5C2" w14:textId="77777777" w:rsidR="007149DF" w:rsidRPr="00777BCD" w:rsidRDefault="007149DF">
      <w:pPr>
        <w:ind w:firstLine="420"/>
        <w:rPr>
          <w:rFonts w:ascii="Calibri" w:hAnsi="Calibri" w:cs="Calibri"/>
          <w:bCs/>
          <w:color w:val="000000" w:themeColor="text1"/>
        </w:rPr>
      </w:pPr>
    </w:p>
    <w:p w14:paraId="18C2A16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在本基金合同中，除非文意另有所指，下列词语或简称具有如下含义：</w:t>
      </w:r>
    </w:p>
    <w:p w14:paraId="7DB6C2A8" w14:textId="24AEF28B"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、基金或本基金：指</w:t>
      </w:r>
      <w:r w:rsidRPr="00777BCD">
        <w:rPr>
          <w:rFonts w:ascii="Calibri" w:hAnsi="Calibri" w:cs="Calibri"/>
          <w:bCs/>
          <w:color w:val="000000" w:themeColor="text1"/>
          <w:sz w:val="24"/>
          <w:szCs w:val="24"/>
        </w:rPr>
        <w:t>银河</w:t>
      </w:r>
      <w:r w:rsidR="00B43597">
        <w:rPr>
          <w:rFonts w:ascii="Calibri" w:hAnsi="Calibri" w:cs="Calibri"/>
          <w:bCs/>
          <w:color w:val="000000" w:themeColor="text1"/>
          <w:sz w:val="24"/>
          <w:szCs w:val="24"/>
        </w:rPr>
        <w:t>ESG</w:t>
      </w:r>
      <w:r w:rsidR="00B43597">
        <w:rPr>
          <w:rFonts w:ascii="Calibri" w:hAnsi="Calibri" w:cs="Calibri"/>
          <w:bCs/>
          <w:color w:val="000000" w:themeColor="text1"/>
          <w:sz w:val="24"/>
          <w:szCs w:val="24"/>
        </w:rPr>
        <w:t>主题</w:t>
      </w:r>
      <w:r w:rsidRPr="00777BCD">
        <w:rPr>
          <w:rFonts w:ascii="Calibri" w:hAnsi="Calibri" w:cs="Calibri"/>
          <w:bCs/>
          <w:color w:val="000000" w:themeColor="text1"/>
          <w:sz w:val="24"/>
          <w:szCs w:val="24"/>
        </w:rPr>
        <w:t>混合型发起式证券投资基金</w:t>
      </w:r>
    </w:p>
    <w:p w14:paraId="6756A9D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、基金管理人：指银河基金管理有限公司</w:t>
      </w:r>
    </w:p>
    <w:p w14:paraId="02BF1619" w14:textId="3D9C703C"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、基金托管人：指中国民生银行股份有限公司</w:t>
      </w:r>
    </w:p>
    <w:p w14:paraId="77BF60E5" w14:textId="77DA07D0"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、基金合同或本基金合同：指《</w:t>
      </w:r>
      <w:r w:rsidRPr="00777BCD">
        <w:rPr>
          <w:rFonts w:ascii="Calibri" w:hAnsi="Calibri" w:cs="Calibri"/>
          <w:bCs/>
          <w:color w:val="000000" w:themeColor="text1"/>
          <w:sz w:val="24"/>
          <w:szCs w:val="24"/>
        </w:rPr>
        <w:t>银河</w:t>
      </w:r>
      <w:r w:rsidR="00B43597">
        <w:rPr>
          <w:rFonts w:ascii="Calibri" w:hAnsi="Calibri" w:cs="Calibri"/>
          <w:bCs/>
          <w:color w:val="000000" w:themeColor="text1"/>
          <w:sz w:val="24"/>
          <w:szCs w:val="24"/>
        </w:rPr>
        <w:t>ESG</w:t>
      </w:r>
      <w:r w:rsidR="00B43597">
        <w:rPr>
          <w:rFonts w:ascii="Calibri" w:hAnsi="Calibri" w:cs="Calibri"/>
          <w:bCs/>
          <w:color w:val="000000" w:themeColor="text1"/>
          <w:sz w:val="24"/>
          <w:szCs w:val="24"/>
        </w:rPr>
        <w:t>主题</w:t>
      </w:r>
      <w:r w:rsidRPr="00777BCD">
        <w:rPr>
          <w:rFonts w:ascii="Calibri" w:hAnsi="Calibri" w:cs="Calibri"/>
          <w:bCs/>
          <w:color w:val="000000" w:themeColor="text1"/>
          <w:sz w:val="24"/>
          <w:szCs w:val="24"/>
        </w:rPr>
        <w:t>混合型发起式证券投资基金</w:t>
      </w:r>
      <w:r w:rsidRPr="00777BCD">
        <w:rPr>
          <w:rFonts w:ascii="Calibri" w:hAnsi="Calibri" w:cs="Calibri"/>
          <w:bCs/>
          <w:color w:val="000000" w:themeColor="text1"/>
          <w:sz w:val="24"/>
        </w:rPr>
        <w:t>基金合同》及对本基金合同的任何有效修订和补充</w:t>
      </w:r>
    </w:p>
    <w:p w14:paraId="03F52AA8" w14:textId="4F1B3B2E"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5</w:t>
      </w:r>
      <w:r w:rsidRPr="00777BCD">
        <w:rPr>
          <w:rFonts w:ascii="Calibri" w:hAnsi="Calibri" w:cs="Calibri"/>
          <w:bCs/>
          <w:color w:val="000000" w:themeColor="text1"/>
          <w:sz w:val="24"/>
        </w:rPr>
        <w:t>、托管协议：指基金管理人与基金托管人就本基金签订之《</w:t>
      </w:r>
      <w:r w:rsidRPr="00777BCD">
        <w:rPr>
          <w:rFonts w:ascii="Calibri" w:hAnsi="Calibri" w:cs="Calibri"/>
          <w:bCs/>
          <w:color w:val="000000" w:themeColor="text1"/>
          <w:sz w:val="24"/>
          <w:szCs w:val="24"/>
        </w:rPr>
        <w:t>银河</w:t>
      </w:r>
      <w:r w:rsidR="00B43597">
        <w:rPr>
          <w:rFonts w:ascii="Calibri" w:hAnsi="Calibri" w:cs="Calibri"/>
          <w:bCs/>
          <w:color w:val="000000" w:themeColor="text1"/>
          <w:sz w:val="24"/>
          <w:szCs w:val="24"/>
        </w:rPr>
        <w:t>ESG</w:t>
      </w:r>
      <w:r w:rsidR="00B43597">
        <w:rPr>
          <w:rFonts w:ascii="Calibri" w:hAnsi="Calibri" w:cs="Calibri"/>
          <w:bCs/>
          <w:color w:val="000000" w:themeColor="text1"/>
          <w:sz w:val="24"/>
          <w:szCs w:val="24"/>
        </w:rPr>
        <w:t>主题</w:t>
      </w:r>
      <w:r w:rsidRPr="00777BCD">
        <w:rPr>
          <w:rFonts w:ascii="Calibri" w:hAnsi="Calibri" w:cs="Calibri"/>
          <w:bCs/>
          <w:color w:val="000000" w:themeColor="text1"/>
          <w:sz w:val="24"/>
          <w:szCs w:val="24"/>
        </w:rPr>
        <w:t>混合型发起式证券投资基金</w:t>
      </w:r>
      <w:r w:rsidRPr="00777BCD">
        <w:rPr>
          <w:rFonts w:ascii="Calibri" w:hAnsi="Calibri" w:cs="Calibri"/>
          <w:bCs/>
          <w:color w:val="000000" w:themeColor="text1"/>
          <w:sz w:val="24"/>
        </w:rPr>
        <w:t>托管协议》及对该托管协议的任何有效修订和补充</w:t>
      </w:r>
    </w:p>
    <w:p w14:paraId="6F722401" w14:textId="1AEB48FA"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6</w:t>
      </w:r>
      <w:r w:rsidRPr="00777BCD">
        <w:rPr>
          <w:rFonts w:ascii="Calibri" w:hAnsi="Calibri" w:cs="Calibri"/>
          <w:bCs/>
          <w:color w:val="000000" w:themeColor="text1"/>
          <w:sz w:val="24"/>
        </w:rPr>
        <w:t>、招募说明书：指《</w:t>
      </w:r>
      <w:r w:rsidRPr="00777BCD">
        <w:rPr>
          <w:rFonts w:ascii="Calibri" w:hAnsi="Calibri" w:cs="Calibri"/>
          <w:bCs/>
          <w:color w:val="000000" w:themeColor="text1"/>
          <w:sz w:val="24"/>
          <w:szCs w:val="24"/>
        </w:rPr>
        <w:t>银河</w:t>
      </w:r>
      <w:r w:rsidR="00B43597">
        <w:rPr>
          <w:rFonts w:ascii="Calibri" w:hAnsi="Calibri" w:cs="Calibri"/>
          <w:bCs/>
          <w:color w:val="000000" w:themeColor="text1"/>
          <w:sz w:val="24"/>
          <w:szCs w:val="24"/>
        </w:rPr>
        <w:t>ESG</w:t>
      </w:r>
      <w:r w:rsidR="00B43597">
        <w:rPr>
          <w:rFonts w:ascii="Calibri" w:hAnsi="Calibri" w:cs="Calibri"/>
          <w:bCs/>
          <w:color w:val="000000" w:themeColor="text1"/>
          <w:sz w:val="24"/>
          <w:szCs w:val="24"/>
        </w:rPr>
        <w:t>主题</w:t>
      </w:r>
      <w:r w:rsidRPr="00777BCD">
        <w:rPr>
          <w:rFonts w:ascii="Calibri" w:hAnsi="Calibri" w:cs="Calibri"/>
          <w:bCs/>
          <w:color w:val="000000" w:themeColor="text1"/>
          <w:sz w:val="24"/>
          <w:szCs w:val="24"/>
        </w:rPr>
        <w:t>混合型发起式证券投资基金</w:t>
      </w:r>
      <w:r w:rsidRPr="00777BCD">
        <w:rPr>
          <w:rFonts w:ascii="Calibri" w:hAnsi="Calibri" w:cs="Calibri"/>
          <w:bCs/>
          <w:color w:val="000000" w:themeColor="text1"/>
          <w:sz w:val="24"/>
        </w:rPr>
        <w:t>招募说明书》及其更新</w:t>
      </w:r>
    </w:p>
    <w:p w14:paraId="08DC2451" w14:textId="020B8A43" w:rsidR="007149DF" w:rsidRPr="00777BCD" w:rsidRDefault="00284640">
      <w:pPr>
        <w:ind w:firstLine="480"/>
        <w:rPr>
          <w:rFonts w:ascii="Calibri" w:hAnsi="Calibri" w:cs="Calibri"/>
          <w:color w:val="000000" w:themeColor="text1"/>
          <w:sz w:val="24"/>
        </w:rPr>
      </w:pPr>
      <w:r w:rsidRPr="00777BCD">
        <w:rPr>
          <w:rFonts w:ascii="Calibri" w:hAnsi="Calibri" w:cs="Calibri"/>
          <w:bCs/>
          <w:color w:val="000000" w:themeColor="text1"/>
          <w:sz w:val="24"/>
        </w:rPr>
        <w:t>7</w:t>
      </w:r>
      <w:r w:rsidRPr="00777BCD">
        <w:rPr>
          <w:rFonts w:ascii="Calibri" w:hAnsi="Calibri" w:cs="Calibri"/>
          <w:bCs/>
          <w:color w:val="000000" w:themeColor="text1"/>
          <w:sz w:val="24"/>
        </w:rPr>
        <w:t>、</w:t>
      </w:r>
      <w:r w:rsidRPr="00777BCD">
        <w:rPr>
          <w:rFonts w:ascii="Calibri" w:hAnsi="Calibri" w:cs="Calibri"/>
          <w:color w:val="000000" w:themeColor="text1"/>
          <w:sz w:val="24"/>
        </w:rPr>
        <w:t>基金产品资料概要：指《</w:t>
      </w:r>
      <w:r w:rsidRPr="00777BCD">
        <w:rPr>
          <w:rFonts w:ascii="Calibri" w:hAnsi="Calibri" w:cs="Calibri"/>
          <w:bCs/>
          <w:color w:val="000000" w:themeColor="text1"/>
          <w:sz w:val="24"/>
          <w:szCs w:val="24"/>
        </w:rPr>
        <w:t>银河</w:t>
      </w:r>
      <w:r w:rsidR="00B43597">
        <w:rPr>
          <w:rFonts w:ascii="Calibri" w:hAnsi="Calibri" w:cs="Calibri"/>
          <w:bCs/>
          <w:color w:val="000000" w:themeColor="text1"/>
          <w:sz w:val="24"/>
          <w:szCs w:val="24"/>
        </w:rPr>
        <w:t>ESG</w:t>
      </w:r>
      <w:r w:rsidR="00B43597">
        <w:rPr>
          <w:rFonts w:ascii="Calibri" w:hAnsi="Calibri" w:cs="Calibri"/>
          <w:bCs/>
          <w:color w:val="000000" w:themeColor="text1"/>
          <w:sz w:val="24"/>
          <w:szCs w:val="24"/>
        </w:rPr>
        <w:t>主题</w:t>
      </w:r>
      <w:r w:rsidRPr="00777BCD">
        <w:rPr>
          <w:rFonts w:ascii="Calibri" w:hAnsi="Calibri" w:cs="Calibri"/>
          <w:bCs/>
          <w:color w:val="000000" w:themeColor="text1"/>
          <w:sz w:val="24"/>
          <w:szCs w:val="24"/>
        </w:rPr>
        <w:t>混合型发起式证券投资基金</w:t>
      </w:r>
      <w:r w:rsidRPr="00777BCD">
        <w:rPr>
          <w:rFonts w:ascii="Calibri" w:hAnsi="Calibri" w:cs="Calibri"/>
          <w:color w:val="000000" w:themeColor="text1"/>
          <w:sz w:val="24"/>
        </w:rPr>
        <w:t>基金产品资料概要》及其更新</w:t>
      </w:r>
    </w:p>
    <w:p w14:paraId="0069E4E9" w14:textId="681DAA38"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8</w:t>
      </w:r>
      <w:r w:rsidRPr="00777BCD">
        <w:rPr>
          <w:rFonts w:ascii="Calibri" w:hAnsi="Calibri" w:cs="Calibri"/>
          <w:bCs/>
          <w:color w:val="000000" w:themeColor="text1"/>
          <w:sz w:val="24"/>
        </w:rPr>
        <w:t>、基金份额发售公告：指《</w:t>
      </w:r>
      <w:r w:rsidRPr="00777BCD">
        <w:rPr>
          <w:rFonts w:ascii="Calibri" w:hAnsi="Calibri" w:cs="Calibri"/>
          <w:bCs/>
          <w:color w:val="000000" w:themeColor="text1"/>
          <w:sz w:val="24"/>
          <w:szCs w:val="24"/>
        </w:rPr>
        <w:t>银河</w:t>
      </w:r>
      <w:r w:rsidR="00B43597">
        <w:rPr>
          <w:rFonts w:ascii="Calibri" w:hAnsi="Calibri" w:cs="Calibri"/>
          <w:bCs/>
          <w:color w:val="000000" w:themeColor="text1"/>
          <w:sz w:val="24"/>
          <w:szCs w:val="24"/>
        </w:rPr>
        <w:t>ESG</w:t>
      </w:r>
      <w:r w:rsidR="00B43597">
        <w:rPr>
          <w:rFonts w:ascii="Calibri" w:hAnsi="Calibri" w:cs="Calibri"/>
          <w:bCs/>
          <w:color w:val="000000" w:themeColor="text1"/>
          <w:sz w:val="24"/>
          <w:szCs w:val="24"/>
        </w:rPr>
        <w:t>主题</w:t>
      </w:r>
      <w:r w:rsidRPr="00777BCD">
        <w:rPr>
          <w:rFonts w:ascii="Calibri" w:hAnsi="Calibri" w:cs="Calibri"/>
          <w:bCs/>
          <w:color w:val="000000" w:themeColor="text1"/>
          <w:sz w:val="24"/>
          <w:szCs w:val="24"/>
        </w:rPr>
        <w:t>混合型发起式证券投资基金</w:t>
      </w:r>
      <w:r w:rsidRPr="00777BCD">
        <w:rPr>
          <w:rFonts w:ascii="Calibri" w:hAnsi="Calibri" w:cs="Calibri"/>
          <w:bCs/>
          <w:color w:val="000000" w:themeColor="text1"/>
          <w:sz w:val="24"/>
        </w:rPr>
        <w:t>基金份额发售公告》</w:t>
      </w:r>
    </w:p>
    <w:p w14:paraId="797F7BE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9</w:t>
      </w:r>
      <w:r w:rsidRPr="00777BCD">
        <w:rPr>
          <w:rFonts w:ascii="Calibri" w:hAnsi="Calibri" w:cs="Calibri"/>
          <w:bCs/>
          <w:color w:val="000000" w:themeColor="text1"/>
          <w:sz w:val="24"/>
        </w:rPr>
        <w:t>、法律法规：指中国现行有效并公布实施的法律、行政法规、规范性文件、司法解释、行政规章以及其他对基金合同当事人有约束力的决定、决议、通知等</w:t>
      </w:r>
    </w:p>
    <w:p w14:paraId="2AC26FF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10</w:t>
      </w:r>
      <w:r w:rsidRPr="00777BCD">
        <w:rPr>
          <w:rFonts w:ascii="Calibri" w:hAnsi="Calibri" w:cs="Calibri"/>
          <w:bCs/>
          <w:color w:val="000000" w:themeColor="text1"/>
          <w:sz w:val="24"/>
        </w:rPr>
        <w:t>、《基金法》：指</w:t>
      </w:r>
      <w:r w:rsidRPr="00777BCD">
        <w:rPr>
          <w:rFonts w:ascii="Calibri" w:hAnsi="Calibri" w:cs="Calibri"/>
          <w:bCs/>
          <w:color w:val="000000" w:themeColor="text1"/>
          <w:sz w:val="24"/>
        </w:rPr>
        <w:t>2003</w:t>
      </w:r>
      <w:r w:rsidRPr="00777BCD">
        <w:rPr>
          <w:rFonts w:ascii="Calibri" w:hAnsi="Calibri" w:cs="Calibri"/>
          <w:bCs/>
          <w:color w:val="000000" w:themeColor="text1"/>
          <w:sz w:val="24"/>
        </w:rPr>
        <w:t>年</w:t>
      </w:r>
      <w:r w:rsidRPr="00777BCD">
        <w:rPr>
          <w:rFonts w:ascii="Calibri" w:hAnsi="Calibri" w:cs="Calibri"/>
          <w:bCs/>
          <w:color w:val="000000" w:themeColor="text1"/>
          <w:sz w:val="24"/>
        </w:rPr>
        <w:t>10</w:t>
      </w:r>
      <w:r w:rsidRPr="00777BCD">
        <w:rPr>
          <w:rFonts w:ascii="Calibri" w:hAnsi="Calibri" w:cs="Calibri"/>
          <w:bCs/>
          <w:color w:val="000000" w:themeColor="text1"/>
          <w:sz w:val="24"/>
        </w:rPr>
        <w:t>月</w:t>
      </w:r>
      <w:r w:rsidRPr="00777BCD">
        <w:rPr>
          <w:rFonts w:ascii="Calibri" w:hAnsi="Calibri" w:cs="Calibri"/>
          <w:bCs/>
          <w:color w:val="000000" w:themeColor="text1"/>
          <w:sz w:val="24"/>
        </w:rPr>
        <w:t>28</w:t>
      </w:r>
      <w:r w:rsidRPr="00777BCD">
        <w:rPr>
          <w:rFonts w:ascii="Calibri" w:hAnsi="Calibri" w:cs="Calibri"/>
          <w:bCs/>
          <w:color w:val="000000" w:themeColor="text1"/>
          <w:sz w:val="24"/>
        </w:rPr>
        <w:t>日经第十届全国人民代表大会常务委员会第五次会议通过，经</w:t>
      </w:r>
      <w:r w:rsidRPr="00777BCD">
        <w:rPr>
          <w:rFonts w:ascii="Calibri" w:hAnsi="Calibri" w:cs="Calibri"/>
          <w:bCs/>
          <w:color w:val="000000" w:themeColor="text1"/>
          <w:sz w:val="24"/>
        </w:rPr>
        <w:t>2012</w:t>
      </w:r>
      <w:r w:rsidRPr="00777BCD">
        <w:rPr>
          <w:rFonts w:ascii="Calibri" w:hAnsi="Calibri" w:cs="Calibri"/>
          <w:bCs/>
          <w:color w:val="000000" w:themeColor="text1"/>
          <w:sz w:val="24"/>
        </w:rPr>
        <w:t>年</w:t>
      </w:r>
      <w:r w:rsidRPr="00777BCD">
        <w:rPr>
          <w:rFonts w:ascii="Calibri" w:hAnsi="Calibri" w:cs="Calibri"/>
          <w:bCs/>
          <w:color w:val="000000" w:themeColor="text1"/>
          <w:sz w:val="24"/>
        </w:rPr>
        <w:t>12</w:t>
      </w:r>
      <w:r w:rsidRPr="00777BCD">
        <w:rPr>
          <w:rFonts w:ascii="Calibri" w:hAnsi="Calibri" w:cs="Calibri"/>
          <w:bCs/>
          <w:color w:val="000000" w:themeColor="text1"/>
          <w:sz w:val="24"/>
        </w:rPr>
        <w:t>月</w:t>
      </w:r>
      <w:r w:rsidRPr="00777BCD">
        <w:rPr>
          <w:rFonts w:ascii="Calibri" w:hAnsi="Calibri" w:cs="Calibri"/>
          <w:bCs/>
          <w:color w:val="000000" w:themeColor="text1"/>
          <w:sz w:val="24"/>
        </w:rPr>
        <w:t>28</w:t>
      </w:r>
      <w:r w:rsidRPr="00777BCD">
        <w:rPr>
          <w:rFonts w:ascii="Calibri" w:hAnsi="Calibri" w:cs="Calibri"/>
          <w:bCs/>
          <w:color w:val="000000" w:themeColor="text1"/>
          <w:sz w:val="24"/>
        </w:rPr>
        <w:t>日第十一届全国人民代表大会常务委员会第三十次会议修订，自</w:t>
      </w:r>
      <w:r w:rsidRPr="00777BCD">
        <w:rPr>
          <w:rFonts w:ascii="Calibri" w:hAnsi="Calibri" w:cs="Calibri"/>
          <w:bCs/>
          <w:color w:val="000000" w:themeColor="text1"/>
          <w:sz w:val="24"/>
        </w:rPr>
        <w:t>2013</w:t>
      </w:r>
      <w:r w:rsidRPr="00777BCD">
        <w:rPr>
          <w:rFonts w:ascii="Calibri" w:hAnsi="Calibri" w:cs="Calibri"/>
          <w:bCs/>
          <w:color w:val="000000" w:themeColor="text1"/>
          <w:sz w:val="24"/>
        </w:rPr>
        <w:t>年</w:t>
      </w:r>
      <w:r w:rsidRPr="00777BCD">
        <w:rPr>
          <w:rFonts w:ascii="Calibri" w:hAnsi="Calibri" w:cs="Calibri"/>
          <w:bCs/>
          <w:color w:val="000000" w:themeColor="text1"/>
          <w:sz w:val="24"/>
        </w:rPr>
        <w:t>6</w:t>
      </w:r>
      <w:r w:rsidRPr="00777BCD">
        <w:rPr>
          <w:rFonts w:ascii="Calibri" w:hAnsi="Calibri" w:cs="Calibri"/>
          <w:bCs/>
          <w:color w:val="000000" w:themeColor="text1"/>
          <w:sz w:val="24"/>
        </w:rPr>
        <w:t>月</w:t>
      </w:r>
      <w:r w:rsidRPr="00777BCD">
        <w:rPr>
          <w:rFonts w:ascii="Calibri" w:hAnsi="Calibri" w:cs="Calibri"/>
          <w:bCs/>
          <w:color w:val="000000" w:themeColor="text1"/>
          <w:sz w:val="24"/>
        </w:rPr>
        <w:t>1</w:t>
      </w:r>
      <w:r w:rsidRPr="00777BCD">
        <w:rPr>
          <w:rFonts w:ascii="Calibri" w:hAnsi="Calibri" w:cs="Calibri"/>
          <w:bCs/>
          <w:color w:val="000000" w:themeColor="text1"/>
          <w:sz w:val="24"/>
        </w:rPr>
        <w:t>日起实施，并经</w:t>
      </w:r>
      <w:r w:rsidRPr="00777BCD">
        <w:rPr>
          <w:rFonts w:ascii="Calibri" w:hAnsi="Calibri" w:cs="Calibri"/>
          <w:bCs/>
          <w:color w:val="000000" w:themeColor="text1"/>
          <w:sz w:val="24"/>
        </w:rPr>
        <w:t>2015</w:t>
      </w:r>
      <w:r w:rsidRPr="00777BCD">
        <w:rPr>
          <w:rFonts w:ascii="Calibri" w:hAnsi="Calibri" w:cs="Calibri"/>
          <w:bCs/>
          <w:color w:val="000000" w:themeColor="text1"/>
          <w:sz w:val="24"/>
        </w:rPr>
        <w:t>年</w:t>
      </w:r>
      <w:r w:rsidRPr="00777BCD">
        <w:rPr>
          <w:rFonts w:ascii="Calibri" w:hAnsi="Calibri" w:cs="Calibri"/>
          <w:bCs/>
          <w:color w:val="000000" w:themeColor="text1"/>
          <w:sz w:val="24"/>
        </w:rPr>
        <w:t>4</w:t>
      </w:r>
      <w:r w:rsidRPr="00777BCD">
        <w:rPr>
          <w:rFonts w:ascii="Calibri" w:hAnsi="Calibri" w:cs="Calibri"/>
          <w:bCs/>
          <w:color w:val="000000" w:themeColor="text1"/>
          <w:sz w:val="24"/>
        </w:rPr>
        <w:t>月</w:t>
      </w:r>
      <w:r w:rsidRPr="00777BCD">
        <w:rPr>
          <w:rFonts w:ascii="Calibri" w:hAnsi="Calibri" w:cs="Calibri"/>
          <w:bCs/>
          <w:color w:val="000000" w:themeColor="text1"/>
          <w:sz w:val="24"/>
        </w:rPr>
        <w:t>24</w:t>
      </w:r>
      <w:r w:rsidRPr="00777BCD">
        <w:rPr>
          <w:rFonts w:ascii="Calibri" w:hAnsi="Calibri" w:cs="Calibri"/>
          <w:bCs/>
          <w:color w:val="000000" w:themeColor="text1"/>
          <w:sz w:val="24"/>
        </w:rPr>
        <w:t>日第十二届全国人民代表大会常务委员会第十四次会议《全国人民代表大会常务委员会关于修改</w:t>
      </w:r>
      <w:r w:rsidRPr="00777BCD">
        <w:rPr>
          <w:rFonts w:ascii="Calibri" w:hAnsi="Calibri" w:cs="Calibri"/>
          <w:bCs/>
          <w:color w:val="000000" w:themeColor="text1"/>
          <w:sz w:val="24"/>
        </w:rPr>
        <w:t>&lt;</w:t>
      </w:r>
      <w:r w:rsidRPr="00777BCD">
        <w:rPr>
          <w:rFonts w:ascii="Calibri" w:hAnsi="Calibri" w:cs="Calibri"/>
          <w:bCs/>
          <w:color w:val="000000" w:themeColor="text1"/>
          <w:sz w:val="24"/>
        </w:rPr>
        <w:t>中华人民共和国港口法</w:t>
      </w:r>
      <w:r w:rsidRPr="00777BCD">
        <w:rPr>
          <w:rFonts w:ascii="Calibri" w:hAnsi="Calibri" w:cs="Calibri"/>
          <w:bCs/>
          <w:color w:val="000000" w:themeColor="text1"/>
          <w:sz w:val="24"/>
        </w:rPr>
        <w:t>&gt;</w:t>
      </w:r>
      <w:r w:rsidRPr="00777BCD">
        <w:rPr>
          <w:rFonts w:ascii="Calibri" w:hAnsi="Calibri" w:cs="Calibri"/>
          <w:bCs/>
          <w:color w:val="000000" w:themeColor="text1"/>
          <w:sz w:val="24"/>
        </w:rPr>
        <w:t>等七部法律的决定》修正的《中华人民共和国证券投资基金法》及颁布机关对其不时做出的修订</w:t>
      </w:r>
    </w:p>
    <w:p w14:paraId="004F485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11</w:t>
      </w:r>
      <w:r w:rsidRPr="00777BCD">
        <w:rPr>
          <w:rFonts w:ascii="Calibri" w:hAnsi="Calibri" w:cs="Calibri"/>
          <w:bCs/>
          <w:color w:val="000000" w:themeColor="text1"/>
          <w:sz w:val="24"/>
        </w:rPr>
        <w:t>、《销售办法》：指中国证监会</w:t>
      </w:r>
      <w:r w:rsidRPr="00777BCD">
        <w:rPr>
          <w:rFonts w:ascii="Calibri" w:hAnsi="Calibri" w:cs="Calibri"/>
          <w:bCs/>
          <w:color w:val="000000" w:themeColor="text1"/>
          <w:sz w:val="24"/>
        </w:rPr>
        <w:t>2020</w:t>
      </w:r>
      <w:r w:rsidRPr="00777BCD">
        <w:rPr>
          <w:rFonts w:ascii="Calibri" w:hAnsi="Calibri" w:cs="Calibri"/>
          <w:bCs/>
          <w:color w:val="000000" w:themeColor="text1"/>
          <w:sz w:val="24"/>
        </w:rPr>
        <w:t>年</w:t>
      </w:r>
      <w:r w:rsidRPr="00777BCD">
        <w:rPr>
          <w:rFonts w:ascii="Calibri" w:hAnsi="Calibri" w:cs="Calibri"/>
          <w:bCs/>
          <w:color w:val="000000" w:themeColor="text1"/>
          <w:sz w:val="24"/>
        </w:rPr>
        <w:t>8</w:t>
      </w:r>
      <w:r w:rsidRPr="00777BCD">
        <w:rPr>
          <w:rFonts w:ascii="Calibri" w:hAnsi="Calibri" w:cs="Calibri"/>
          <w:bCs/>
          <w:color w:val="000000" w:themeColor="text1"/>
          <w:sz w:val="24"/>
        </w:rPr>
        <w:t>月</w:t>
      </w:r>
      <w:r w:rsidRPr="00777BCD">
        <w:rPr>
          <w:rFonts w:ascii="Calibri" w:hAnsi="Calibri" w:cs="Calibri"/>
          <w:bCs/>
          <w:color w:val="000000" w:themeColor="text1"/>
          <w:sz w:val="24"/>
        </w:rPr>
        <w:t>28</w:t>
      </w:r>
      <w:r w:rsidRPr="00777BCD">
        <w:rPr>
          <w:rFonts w:ascii="Calibri" w:hAnsi="Calibri" w:cs="Calibri"/>
          <w:bCs/>
          <w:color w:val="000000" w:themeColor="text1"/>
          <w:sz w:val="24"/>
        </w:rPr>
        <w:t>日颁布、同年</w:t>
      </w:r>
      <w:r w:rsidRPr="00777BCD">
        <w:rPr>
          <w:rFonts w:ascii="Calibri" w:hAnsi="Calibri" w:cs="Calibri"/>
          <w:bCs/>
          <w:color w:val="000000" w:themeColor="text1"/>
          <w:sz w:val="24"/>
        </w:rPr>
        <w:t>10</w:t>
      </w:r>
      <w:r w:rsidRPr="00777BCD">
        <w:rPr>
          <w:rFonts w:ascii="Calibri" w:hAnsi="Calibri" w:cs="Calibri"/>
          <w:bCs/>
          <w:color w:val="000000" w:themeColor="text1"/>
          <w:sz w:val="24"/>
        </w:rPr>
        <w:t>月</w:t>
      </w:r>
      <w:r w:rsidRPr="00777BCD">
        <w:rPr>
          <w:rFonts w:ascii="Calibri" w:hAnsi="Calibri" w:cs="Calibri"/>
          <w:bCs/>
          <w:color w:val="000000" w:themeColor="text1"/>
          <w:sz w:val="24"/>
        </w:rPr>
        <w:t>1</w:t>
      </w:r>
      <w:r w:rsidRPr="00777BCD">
        <w:rPr>
          <w:rFonts w:ascii="Calibri" w:hAnsi="Calibri" w:cs="Calibri"/>
          <w:bCs/>
          <w:color w:val="000000" w:themeColor="text1"/>
          <w:sz w:val="24"/>
        </w:rPr>
        <w:t>日实施的《公开募集证券投资基金销售机构监督管理办法》及颁布机关对其不时做出的修订</w:t>
      </w:r>
    </w:p>
    <w:p w14:paraId="7C977FC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12</w:t>
      </w:r>
      <w:r w:rsidRPr="00777BCD">
        <w:rPr>
          <w:rFonts w:ascii="Calibri" w:hAnsi="Calibri" w:cs="Calibri"/>
          <w:bCs/>
          <w:color w:val="000000" w:themeColor="text1"/>
          <w:sz w:val="24"/>
        </w:rPr>
        <w:t>、《信息披露办法》：指中国证监会</w:t>
      </w:r>
      <w:r w:rsidRPr="00777BCD">
        <w:rPr>
          <w:rFonts w:ascii="Calibri" w:hAnsi="Calibri" w:cs="Calibri"/>
          <w:bCs/>
          <w:color w:val="000000" w:themeColor="text1"/>
          <w:sz w:val="24"/>
        </w:rPr>
        <w:t>2019</w:t>
      </w:r>
      <w:r w:rsidRPr="00777BCD">
        <w:rPr>
          <w:rFonts w:ascii="Calibri" w:hAnsi="Calibri" w:cs="Calibri"/>
          <w:bCs/>
          <w:color w:val="000000" w:themeColor="text1"/>
          <w:sz w:val="24"/>
        </w:rPr>
        <w:t>年</w:t>
      </w:r>
      <w:r w:rsidRPr="00777BCD">
        <w:rPr>
          <w:rFonts w:ascii="Calibri" w:hAnsi="Calibri" w:cs="Calibri"/>
          <w:bCs/>
          <w:color w:val="000000" w:themeColor="text1"/>
          <w:sz w:val="24"/>
        </w:rPr>
        <w:t>7</w:t>
      </w:r>
      <w:r w:rsidRPr="00777BCD">
        <w:rPr>
          <w:rFonts w:ascii="Calibri" w:hAnsi="Calibri" w:cs="Calibri"/>
          <w:bCs/>
          <w:color w:val="000000" w:themeColor="text1"/>
          <w:sz w:val="24"/>
        </w:rPr>
        <w:t>月</w:t>
      </w:r>
      <w:r w:rsidRPr="00777BCD">
        <w:rPr>
          <w:rFonts w:ascii="Calibri" w:hAnsi="Calibri" w:cs="Calibri"/>
          <w:bCs/>
          <w:color w:val="000000" w:themeColor="text1"/>
          <w:sz w:val="24"/>
        </w:rPr>
        <w:t>26</w:t>
      </w:r>
      <w:r w:rsidRPr="00777BCD">
        <w:rPr>
          <w:rFonts w:ascii="Calibri" w:hAnsi="Calibri" w:cs="Calibri"/>
          <w:bCs/>
          <w:color w:val="000000" w:themeColor="text1"/>
          <w:sz w:val="24"/>
        </w:rPr>
        <w:t>日颁布、同年</w:t>
      </w:r>
      <w:r w:rsidRPr="00777BCD">
        <w:rPr>
          <w:rFonts w:ascii="Calibri" w:hAnsi="Calibri" w:cs="Calibri"/>
          <w:bCs/>
          <w:color w:val="000000" w:themeColor="text1"/>
          <w:sz w:val="24"/>
        </w:rPr>
        <w:t>9</w:t>
      </w:r>
      <w:r w:rsidRPr="00777BCD">
        <w:rPr>
          <w:rFonts w:ascii="Calibri" w:hAnsi="Calibri" w:cs="Calibri"/>
          <w:bCs/>
          <w:color w:val="000000" w:themeColor="text1"/>
          <w:sz w:val="24"/>
        </w:rPr>
        <w:t>月</w:t>
      </w:r>
      <w:r w:rsidRPr="00777BCD">
        <w:rPr>
          <w:rFonts w:ascii="Calibri" w:hAnsi="Calibri" w:cs="Calibri"/>
          <w:bCs/>
          <w:color w:val="000000" w:themeColor="text1"/>
          <w:sz w:val="24"/>
        </w:rPr>
        <w:t>1</w:t>
      </w:r>
      <w:r w:rsidRPr="00777BCD">
        <w:rPr>
          <w:rFonts w:ascii="Calibri" w:hAnsi="Calibri" w:cs="Calibri"/>
          <w:bCs/>
          <w:color w:val="000000" w:themeColor="text1"/>
          <w:sz w:val="24"/>
        </w:rPr>
        <w:t>日实施，并经</w:t>
      </w:r>
      <w:r w:rsidRPr="00777BCD">
        <w:rPr>
          <w:rFonts w:ascii="Calibri" w:hAnsi="Calibri" w:cs="Calibri"/>
          <w:bCs/>
          <w:color w:val="000000" w:themeColor="text1"/>
          <w:sz w:val="24"/>
        </w:rPr>
        <w:t>2020</w:t>
      </w:r>
      <w:r w:rsidRPr="00777BCD">
        <w:rPr>
          <w:rFonts w:ascii="Calibri" w:hAnsi="Calibri" w:cs="Calibri"/>
          <w:bCs/>
          <w:color w:val="000000" w:themeColor="text1"/>
          <w:sz w:val="24"/>
        </w:rPr>
        <w:t>年</w:t>
      </w:r>
      <w:r w:rsidRPr="00777BCD">
        <w:rPr>
          <w:rFonts w:ascii="Calibri" w:hAnsi="Calibri" w:cs="Calibri"/>
          <w:bCs/>
          <w:color w:val="000000" w:themeColor="text1"/>
          <w:sz w:val="24"/>
        </w:rPr>
        <w:t>3</w:t>
      </w:r>
      <w:r w:rsidRPr="00777BCD">
        <w:rPr>
          <w:rFonts w:ascii="Calibri" w:hAnsi="Calibri" w:cs="Calibri"/>
          <w:bCs/>
          <w:color w:val="000000" w:themeColor="text1"/>
          <w:sz w:val="24"/>
        </w:rPr>
        <w:t>月</w:t>
      </w:r>
      <w:r w:rsidRPr="00777BCD">
        <w:rPr>
          <w:rFonts w:ascii="Calibri" w:hAnsi="Calibri" w:cs="Calibri"/>
          <w:bCs/>
          <w:color w:val="000000" w:themeColor="text1"/>
          <w:sz w:val="24"/>
        </w:rPr>
        <w:t>20</w:t>
      </w:r>
      <w:r w:rsidRPr="00777BCD">
        <w:rPr>
          <w:rFonts w:ascii="Calibri" w:hAnsi="Calibri" w:cs="Calibri"/>
          <w:bCs/>
          <w:color w:val="000000" w:themeColor="text1"/>
          <w:sz w:val="24"/>
        </w:rPr>
        <w:t>日中国证监会《关于修改部分证券期货规章的决定》修正的《公开募集证券投资基金信息披露管理办法》及颁布机关对其不时做出的修订</w:t>
      </w:r>
    </w:p>
    <w:p w14:paraId="5B0EFD3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13</w:t>
      </w:r>
      <w:r w:rsidRPr="00777BCD">
        <w:rPr>
          <w:rFonts w:ascii="Calibri" w:hAnsi="Calibri" w:cs="Calibri"/>
          <w:bCs/>
          <w:color w:val="000000" w:themeColor="text1"/>
          <w:sz w:val="24"/>
        </w:rPr>
        <w:t>、《运作办法》：指中国证监会</w:t>
      </w:r>
      <w:r w:rsidRPr="00777BCD">
        <w:rPr>
          <w:rFonts w:ascii="Calibri" w:hAnsi="Calibri" w:cs="Calibri"/>
          <w:bCs/>
          <w:color w:val="000000" w:themeColor="text1"/>
          <w:sz w:val="24"/>
        </w:rPr>
        <w:t>2014</w:t>
      </w:r>
      <w:r w:rsidRPr="00777BCD">
        <w:rPr>
          <w:rFonts w:ascii="Calibri" w:hAnsi="Calibri" w:cs="Calibri"/>
          <w:bCs/>
          <w:color w:val="000000" w:themeColor="text1"/>
          <w:sz w:val="24"/>
        </w:rPr>
        <w:t>年</w:t>
      </w:r>
      <w:r w:rsidRPr="00777BCD">
        <w:rPr>
          <w:rFonts w:ascii="Calibri" w:hAnsi="Calibri" w:cs="Calibri"/>
          <w:bCs/>
          <w:color w:val="000000" w:themeColor="text1"/>
          <w:sz w:val="24"/>
        </w:rPr>
        <w:t>7</w:t>
      </w:r>
      <w:r w:rsidRPr="00777BCD">
        <w:rPr>
          <w:rFonts w:ascii="Calibri" w:hAnsi="Calibri" w:cs="Calibri"/>
          <w:bCs/>
          <w:color w:val="000000" w:themeColor="text1"/>
          <w:sz w:val="24"/>
        </w:rPr>
        <w:t>月</w:t>
      </w:r>
      <w:r w:rsidRPr="00777BCD">
        <w:rPr>
          <w:rFonts w:ascii="Calibri" w:hAnsi="Calibri" w:cs="Calibri"/>
          <w:bCs/>
          <w:color w:val="000000" w:themeColor="text1"/>
          <w:sz w:val="24"/>
        </w:rPr>
        <w:t>7</w:t>
      </w:r>
      <w:r w:rsidRPr="00777BCD">
        <w:rPr>
          <w:rFonts w:ascii="Calibri" w:hAnsi="Calibri" w:cs="Calibri"/>
          <w:bCs/>
          <w:color w:val="000000" w:themeColor="text1"/>
          <w:sz w:val="24"/>
        </w:rPr>
        <w:t>日颁布、同年</w:t>
      </w:r>
      <w:r w:rsidRPr="00777BCD">
        <w:rPr>
          <w:rFonts w:ascii="Calibri" w:hAnsi="Calibri" w:cs="Calibri"/>
          <w:bCs/>
          <w:color w:val="000000" w:themeColor="text1"/>
          <w:sz w:val="24"/>
        </w:rPr>
        <w:t>8</w:t>
      </w:r>
      <w:r w:rsidRPr="00777BCD">
        <w:rPr>
          <w:rFonts w:ascii="Calibri" w:hAnsi="Calibri" w:cs="Calibri"/>
          <w:bCs/>
          <w:color w:val="000000" w:themeColor="text1"/>
          <w:sz w:val="24"/>
        </w:rPr>
        <w:t>月</w:t>
      </w:r>
      <w:r w:rsidRPr="00777BCD">
        <w:rPr>
          <w:rFonts w:ascii="Calibri" w:hAnsi="Calibri" w:cs="Calibri"/>
          <w:bCs/>
          <w:color w:val="000000" w:themeColor="text1"/>
          <w:sz w:val="24"/>
        </w:rPr>
        <w:t>8</w:t>
      </w:r>
      <w:r w:rsidRPr="00777BCD">
        <w:rPr>
          <w:rFonts w:ascii="Calibri" w:hAnsi="Calibri" w:cs="Calibri"/>
          <w:bCs/>
          <w:color w:val="000000" w:themeColor="text1"/>
          <w:sz w:val="24"/>
        </w:rPr>
        <w:t>日实施的《公开募集证券投资基金运作管理办法》及颁布机关对其不时做出的修订</w:t>
      </w:r>
    </w:p>
    <w:p w14:paraId="6916220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14</w:t>
      </w:r>
      <w:r w:rsidRPr="00777BCD">
        <w:rPr>
          <w:rFonts w:ascii="Calibri" w:hAnsi="Calibri" w:cs="Calibri"/>
          <w:bCs/>
          <w:color w:val="000000" w:themeColor="text1"/>
          <w:sz w:val="24"/>
        </w:rPr>
        <w:t>、《流动性风险管理规定》：指中国证监会</w:t>
      </w:r>
      <w:r w:rsidRPr="00777BCD">
        <w:rPr>
          <w:rFonts w:ascii="Calibri" w:hAnsi="Calibri" w:cs="Calibri"/>
          <w:bCs/>
          <w:color w:val="000000" w:themeColor="text1"/>
          <w:sz w:val="24"/>
        </w:rPr>
        <w:t>2017</w:t>
      </w:r>
      <w:r w:rsidRPr="00777BCD">
        <w:rPr>
          <w:rFonts w:ascii="Calibri" w:hAnsi="Calibri" w:cs="Calibri"/>
          <w:bCs/>
          <w:color w:val="000000" w:themeColor="text1"/>
          <w:sz w:val="24"/>
        </w:rPr>
        <w:t>年</w:t>
      </w:r>
      <w:r w:rsidRPr="00777BCD">
        <w:rPr>
          <w:rFonts w:ascii="Calibri" w:hAnsi="Calibri" w:cs="Calibri"/>
          <w:bCs/>
          <w:color w:val="000000" w:themeColor="text1"/>
          <w:sz w:val="24"/>
        </w:rPr>
        <w:t>8</w:t>
      </w:r>
      <w:r w:rsidRPr="00777BCD">
        <w:rPr>
          <w:rFonts w:ascii="Calibri" w:hAnsi="Calibri" w:cs="Calibri"/>
          <w:bCs/>
          <w:color w:val="000000" w:themeColor="text1"/>
          <w:sz w:val="24"/>
        </w:rPr>
        <w:t>月</w:t>
      </w:r>
      <w:r w:rsidRPr="00777BCD">
        <w:rPr>
          <w:rFonts w:ascii="Calibri" w:hAnsi="Calibri" w:cs="Calibri"/>
          <w:bCs/>
          <w:color w:val="000000" w:themeColor="text1"/>
          <w:sz w:val="24"/>
        </w:rPr>
        <w:t>31</w:t>
      </w:r>
      <w:r w:rsidRPr="00777BCD">
        <w:rPr>
          <w:rFonts w:ascii="Calibri" w:hAnsi="Calibri" w:cs="Calibri"/>
          <w:bCs/>
          <w:color w:val="000000" w:themeColor="text1"/>
          <w:sz w:val="24"/>
        </w:rPr>
        <w:t>日颁布、同年</w:t>
      </w:r>
      <w:r w:rsidRPr="00777BCD">
        <w:rPr>
          <w:rFonts w:ascii="Calibri" w:hAnsi="Calibri" w:cs="Calibri"/>
          <w:bCs/>
          <w:color w:val="000000" w:themeColor="text1"/>
          <w:sz w:val="24"/>
        </w:rPr>
        <w:t>10</w:t>
      </w:r>
      <w:r w:rsidRPr="00777BCD">
        <w:rPr>
          <w:rFonts w:ascii="Calibri" w:hAnsi="Calibri" w:cs="Calibri"/>
          <w:bCs/>
          <w:color w:val="000000" w:themeColor="text1"/>
          <w:sz w:val="24"/>
        </w:rPr>
        <w:t>月</w:t>
      </w:r>
      <w:r w:rsidRPr="00777BCD">
        <w:rPr>
          <w:rFonts w:ascii="Calibri" w:hAnsi="Calibri" w:cs="Calibri"/>
          <w:bCs/>
          <w:color w:val="000000" w:themeColor="text1"/>
          <w:sz w:val="24"/>
        </w:rPr>
        <w:t>1</w:t>
      </w:r>
      <w:r w:rsidRPr="00777BCD">
        <w:rPr>
          <w:rFonts w:ascii="Calibri" w:hAnsi="Calibri" w:cs="Calibri"/>
          <w:bCs/>
          <w:color w:val="000000" w:themeColor="text1"/>
          <w:sz w:val="24"/>
        </w:rPr>
        <w:t>日实施的《公开募集开放式证券投资基金流动性风险管理规定》及颁布机关对其不时做出的修订</w:t>
      </w:r>
    </w:p>
    <w:p w14:paraId="1124D6C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15</w:t>
      </w:r>
      <w:r w:rsidRPr="00777BCD">
        <w:rPr>
          <w:rFonts w:ascii="Calibri" w:hAnsi="Calibri" w:cs="Calibri"/>
          <w:bCs/>
          <w:color w:val="000000" w:themeColor="text1"/>
          <w:sz w:val="24"/>
        </w:rPr>
        <w:t>、中国证监会：指中国证券监督管理委员会</w:t>
      </w:r>
    </w:p>
    <w:p w14:paraId="4D4FDDB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16</w:t>
      </w:r>
      <w:r w:rsidRPr="00777BCD">
        <w:rPr>
          <w:rFonts w:ascii="Calibri" w:hAnsi="Calibri" w:cs="Calibri"/>
          <w:bCs/>
          <w:color w:val="000000" w:themeColor="text1"/>
          <w:sz w:val="24"/>
        </w:rPr>
        <w:t>、银行业监督管理机构：指中国人民银行和</w:t>
      </w:r>
      <w:r w:rsidRPr="00777BCD">
        <w:rPr>
          <w:rFonts w:ascii="Calibri" w:hAnsi="Calibri" w:cs="Calibri"/>
          <w:bCs/>
          <w:color w:val="000000" w:themeColor="text1"/>
          <w:sz w:val="24"/>
        </w:rPr>
        <w:t>/</w:t>
      </w:r>
      <w:r w:rsidRPr="00777BCD">
        <w:rPr>
          <w:rFonts w:ascii="Calibri" w:hAnsi="Calibri" w:cs="Calibri"/>
          <w:bCs/>
          <w:color w:val="000000" w:themeColor="text1"/>
          <w:sz w:val="24"/>
        </w:rPr>
        <w:t>或国家金融监督管理总局</w:t>
      </w:r>
    </w:p>
    <w:p w14:paraId="0BF99E6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17</w:t>
      </w:r>
      <w:r w:rsidRPr="00777BCD">
        <w:rPr>
          <w:rFonts w:ascii="Calibri" w:hAnsi="Calibri" w:cs="Calibri"/>
          <w:bCs/>
          <w:color w:val="000000" w:themeColor="text1"/>
          <w:sz w:val="24"/>
        </w:rPr>
        <w:t>、基金合同当事人：指受基金合同约束，根据基金合同享有权利并承担义务的法律主体，包括基金管理人、基金托管人和基金份额持有人</w:t>
      </w:r>
    </w:p>
    <w:p w14:paraId="023DD47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18</w:t>
      </w:r>
      <w:r w:rsidRPr="00777BCD">
        <w:rPr>
          <w:rFonts w:ascii="Calibri" w:hAnsi="Calibri" w:cs="Calibri"/>
          <w:bCs/>
          <w:color w:val="000000" w:themeColor="text1"/>
          <w:sz w:val="24"/>
        </w:rPr>
        <w:t>、个人投资者：指依据有关法律法规规定可投资于证券投资基金的自然人</w:t>
      </w:r>
    </w:p>
    <w:p w14:paraId="190CC24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19</w:t>
      </w:r>
      <w:r w:rsidRPr="00777BCD">
        <w:rPr>
          <w:rFonts w:ascii="Calibri" w:hAnsi="Calibri" w:cs="Calibri"/>
          <w:bCs/>
          <w:color w:val="000000" w:themeColor="text1"/>
          <w:sz w:val="24"/>
        </w:rPr>
        <w:t>、机构投资者：指依法可以投资证券投资基金的、在中华人民共和国境内合法登记并存续或经有关政府部门批准设立并存续的企业法人、事业法人、社会团体或其他组织</w:t>
      </w:r>
    </w:p>
    <w:p w14:paraId="198610F6" w14:textId="06D9BD1D"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20</w:t>
      </w:r>
      <w:r w:rsidRPr="00777BCD">
        <w:rPr>
          <w:rFonts w:ascii="Calibri" w:hAnsi="Calibri" w:cs="Calibri"/>
          <w:bCs/>
          <w:color w:val="000000" w:themeColor="text1"/>
          <w:sz w:val="24"/>
        </w:rPr>
        <w:t>、合格境外投资者：指符合《合格境外机构投资者和人民币合格境外机构投资者境内证券期货投资管理办法》（</w:t>
      </w:r>
      <w:r w:rsidR="000E1830" w:rsidRPr="00777BCD">
        <w:rPr>
          <w:rFonts w:ascii="Calibri" w:hAnsi="Calibri" w:cs="Calibri"/>
          <w:bCs/>
          <w:color w:val="000000" w:themeColor="text1"/>
          <w:sz w:val="24"/>
        </w:rPr>
        <w:t>包括</w:t>
      </w:r>
      <w:r w:rsidRPr="00777BCD">
        <w:rPr>
          <w:rFonts w:ascii="Calibri" w:hAnsi="Calibri" w:cs="Calibri"/>
          <w:bCs/>
          <w:color w:val="000000" w:themeColor="text1"/>
          <w:sz w:val="24"/>
        </w:rPr>
        <w:t>颁布机关对其不时做出的修订）及相关法律法规规定使用来自境外的资金进行境内证券期货投资的境外机构投资者，包括合格境外机构投资者和人民币合格境外机构投资者</w:t>
      </w:r>
    </w:p>
    <w:p w14:paraId="47457ED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21</w:t>
      </w:r>
      <w:r w:rsidRPr="00777BCD">
        <w:rPr>
          <w:rFonts w:ascii="Calibri" w:hAnsi="Calibri" w:cs="Calibri"/>
          <w:bCs/>
          <w:color w:val="000000" w:themeColor="text1"/>
          <w:sz w:val="24"/>
        </w:rPr>
        <w:t>、投资人、投资者：指个人投资者、机构投资者、合格境外投资者、发起资金提供方以及法律法规或中国证监会允许购买证券投资基金的其他投资人的合称</w:t>
      </w:r>
      <w:r w:rsidRPr="00777BCD">
        <w:rPr>
          <w:rFonts w:ascii="Calibri" w:hAnsi="Calibri" w:cs="Calibri"/>
          <w:bCs/>
          <w:sz w:val="24"/>
          <w:szCs w:val="24"/>
        </w:rPr>
        <w:t>（以下或称</w:t>
      </w:r>
      <w:r w:rsidRPr="00777BCD">
        <w:rPr>
          <w:rFonts w:ascii="Calibri" w:hAnsi="Calibri" w:cs="Calibri"/>
          <w:bCs/>
          <w:sz w:val="24"/>
          <w:szCs w:val="24"/>
        </w:rPr>
        <w:t>“</w:t>
      </w:r>
      <w:r w:rsidRPr="00777BCD">
        <w:rPr>
          <w:rFonts w:ascii="Calibri" w:hAnsi="Calibri" w:cs="Calibri"/>
          <w:bCs/>
          <w:sz w:val="24"/>
          <w:szCs w:val="24"/>
        </w:rPr>
        <w:t>基金投资者</w:t>
      </w:r>
      <w:r w:rsidRPr="00777BCD">
        <w:rPr>
          <w:rFonts w:ascii="Calibri" w:hAnsi="Calibri" w:cs="Calibri"/>
          <w:bCs/>
          <w:sz w:val="24"/>
          <w:szCs w:val="24"/>
        </w:rPr>
        <w:t>”</w:t>
      </w:r>
      <w:r w:rsidRPr="00777BCD">
        <w:rPr>
          <w:rFonts w:ascii="Calibri" w:hAnsi="Calibri" w:cs="Calibri"/>
          <w:bCs/>
          <w:sz w:val="24"/>
          <w:szCs w:val="24"/>
        </w:rPr>
        <w:t>）</w:t>
      </w:r>
    </w:p>
    <w:p w14:paraId="501EDC6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22</w:t>
      </w:r>
      <w:r w:rsidRPr="00777BCD">
        <w:rPr>
          <w:rFonts w:ascii="Calibri" w:hAnsi="Calibri" w:cs="Calibri"/>
          <w:bCs/>
          <w:color w:val="000000" w:themeColor="text1"/>
          <w:sz w:val="24"/>
        </w:rPr>
        <w:t>、基金份额持有人：指依基金合同和招募说明书合法取得基金份额的投资人</w:t>
      </w:r>
    </w:p>
    <w:p w14:paraId="4AFA82B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23</w:t>
      </w:r>
      <w:r w:rsidRPr="00777BCD">
        <w:rPr>
          <w:rFonts w:ascii="Calibri" w:hAnsi="Calibri" w:cs="Calibri"/>
          <w:bCs/>
          <w:color w:val="000000" w:themeColor="text1"/>
          <w:sz w:val="24"/>
        </w:rPr>
        <w:t>、基金销售业务：指基金管理人或销售机构宣传推介基金，发售基金份额，办理基金份额的申购、赎回、转换、转托管及定期定额投资等业务</w:t>
      </w:r>
    </w:p>
    <w:p w14:paraId="077630E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24</w:t>
      </w:r>
      <w:r w:rsidRPr="00777BCD">
        <w:rPr>
          <w:rFonts w:ascii="Calibri" w:hAnsi="Calibri" w:cs="Calibri"/>
          <w:bCs/>
          <w:color w:val="000000" w:themeColor="text1"/>
          <w:sz w:val="24"/>
        </w:rPr>
        <w:t>、销售机构：指</w:t>
      </w:r>
      <w:r w:rsidRPr="00777BCD">
        <w:rPr>
          <w:rFonts w:ascii="Calibri" w:hAnsi="Calibri" w:cs="Calibri"/>
          <w:bCs/>
          <w:color w:val="000000" w:themeColor="text1"/>
          <w:sz w:val="24"/>
          <w:szCs w:val="24"/>
        </w:rPr>
        <w:t>银河基金管理有限公司</w:t>
      </w:r>
      <w:r w:rsidRPr="00777BCD">
        <w:rPr>
          <w:rFonts w:ascii="Calibri" w:hAnsi="Calibri" w:cs="Calibri"/>
          <w:bCs/>
          <w:color w:val="000000" w:themeColor="text1"/>
          <w:sz w:val="24"/>
        </w:rPr>
        <w:t>以及符合《销售办法》和中国证监会规定的其他条件，取得基金销售业务资格并与基金管理人签订了基金销售服务协议，办理基金销售业务的机构</w:t>
      </w:r>
    </w:p>
    <w:p w14:paraId="5C3FCAA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25</w:t>
      </w:r>
      <w:r w:rsidRPr="00777BCD">
        <w:rPr>
          <w:rFonts w:ascii="Calibri" w:hAnsi="Calibri" w:cs="Calibri"/>
          <w:bCs/>
          <w:color w:val="000000" w:themeColor="text1"/>
          <w:sz w:val="24"/>
        </w:rPr>
        <w:t>、登记业务：指基金登记、存管、</w:t>
      </w:r>
      <w:r w:rsidRPr="00777BCD">
        <w:rPr>
          <w:rFonts w:ascii="Calibri" w:hAnsi="Calibri" w:cs="Calibri"/>
          <w:color w:val="000000" w:themeColor="text1"/>
          <w:sz w:val="24"/>
        </w:rPr>
        <w:t>过户、</w:t>
      </w:r>
      <w:r w:rsidRPr="00777BCD">
        <w:rPr>
          <w:rFonts w:ascii="Calibri" w:hAnsi="Calibri" w:cs="Calibri"/>
          <w:bCs/>
          <w:color w:val="000000" w:themeColor="text1"/>
          <w:sz w:val="24"/>
        </w:rPr>
        <w:t>清算和结算业务，具体内容包括投资人基金账户的建立和管理、基金份额登记、基金销售业务的确认、清算和结算、代理发放红利、建立并保管基金份额持有人名册和办理</w:t>
      </w:r>
      <w:proofErr w:type="gramStart"/>
      <w:r w:rsidRPr="00777BCD">
        <w:rPr>
          <w:rFonts w:ascii="Calibri" w:hAnsi="Calibri" w:cs="Calibri"/>
          <w:bCs/>
          <w:color w:val="000000" w:themeColor="text1"/>
          <w:sz w:val="24"/>
        </w:rPr>
        <w:t>非交易</w:t>
      </w:r>
      <w:proofErr w:type="gramEnd"/>
      <w:r w:rsidRPr="00777BCD">
        <w:rPr>
          <w:rFonts w:ascii="Calibri" w:hAnsi="Calibri" w:cs="Calibri"/>
          <w:bCs/>
          <w:color w:val="000000" w:themeColor="text1"/>
          <w:sz w:val="24"/>
        </w:rPr>
        <w:t>过户等</w:t>
      </w:r>
    </w:p>
    <w:p w14:paraId="164DC78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26</w:t>
      </w:r>
      <w:r w:rsidRPr="00777BCD">
        <w:rPr>
          <w:rFonts w:ascii="Calibri" w:hAnsi="Calibri" w:cs="Calibri"/>
          <w:bCs/>
          <w:color w:val="000000" w:themeColor="text1"/>
          <w:sz w:val="24"/>
        </w:rPr>
        <w:t>、登记机构：</w:t>
      </w:r>
      <w:proofErr w:type="gramStart"/>
      <w:r w:rsidRPr="00777BCD">
        <w:rPr>
          <w:rFonts w:ascii="Calibri" w:hAnsi="Calibri" w:cs="Calibri"/>
          <w:bCs/>
          <w:color w:val="000000" w:themeColor="text1"/>
          <w:sz w:val="24"/>
        </w:rPr>
        <w:t>指办理</w:t>
      </w:r>
      <w:proofErr w:type="gramEnd"/>
      <w:r w:rsidRPr="00777BCD">
        <w:rPr>
          <w:rFonts w:ascii="Calibri" w:hAnsi="Calibri" w:cs="Calibri"/>
          <w:bCs/>
          <w:color w:val="000000" w:themeColor="text1"/>
          <w:sz w:val="24"/>
        </w:rPr>
        <w:t>登记业务的机构。基金的登记机构为</w:t>
      </w:r>
      <w:r w:rsidRPr="00777BCD">
        <w:rPr>
          <w:rFonts w:ascii="Calibri" w:hAnsi="Calibri" w:cs="Calibri"/>
          <w:bCs/>
          <w:color w:val="000000" w:themeColor="text1"/>
          <w:sz w:val="24"/>
          <w:szCs w:val="24"/>
        </w:rPr>
        <w:t>银河基金管理有限公司</w:t>
      </w:r>
      <w:r w:rsidRPr="00777BCD">
        <w:rPr>
          <w:rFonts w:ascii="Calibri" w:hAnsi="Calibri" w:cs="Calibri"/>
          <w:bCs/>
          <w:color w:val="000000" w:themeColor="text1"/>
          <w:sz w:val="24"/>
        </w:rPr>
        <w:t>或接受</w:t>
      </w:r>
      <w:r w:rsidRPr="00777BCD">
        <w:rPr>
          <w:rFonts w:ascii="Calibri" w:hAnsi="Calibri" w:cs="Calibri"/>
          <w:bCs/>
          <w:color w:val="000000" w:themeColor="text1"/>
          <w:sz w:val="24"/>
          <w:szCs w:val="24"/>
        </w:rPr>
        <w:t>银河基金管理有限公司</w:t>
      </w:r>
      <w:r w:rsidRPr="00777BCD">
        <w:rPr>
          <w:rFonts w:ascii="Calibri" w:hAnsi="Calibri" w:cs="Calibri"/>
          <w:bCs/>
          <w:color w:val="000000" w:themeColor="text1"/>
          <w:sz w:val="24"/>
        </w:rPr>
        <w:t>委托代为办理登记业务的机构</w:t>
      </w:r>
    </w:p>
    <w:p w14:paraId="40ED3B1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27</w:t>
      </w:r>
      <w:r w:rsidRPr="00777BCD">
        <w:rPr>
          <w:rFonts w:ascii="Calibri" w:hAnsi="Calibri" w:cs="Calibri"/>
          <w:bCs/>
          <w:color w:val="000000" w:themeColor="text1"/>
          <w:sz w:val="24"/>
        </w:rPr>
        <w:t>、基金账户：指登记机构为投资人开立的、记录其持有的、基金管理人所管理的基金份额余额及其变动情况的账户</w:t>
      </w:r>
    </w:p>
    <w:p w14:paraId="6801F85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28</w:t>
      </w:r>
      <w:r w:rsidRPr="00777BCD">
        <w:rPr>
          <w:rFonts w:ascii="Calibri" w:hAnsi="Calibri" w:cs="Calibri"/>
          <w:bCs/>
          <w:color w:val="000000" w:themeColor="text1"/>
          <w:sz w:val="24"/>
        </w:rPr>
        <w:t>、基金交易账户：指销售机构为投资人开立的、记录投资人通过该销售机构</w:t>
      </w:r>
      <w:r w:rsidRPr="00777BCD">
        <w:rPr>
          <w:rFonts w:ascii="Calibri" w:hAnsi="Calibri" w:cs="Calibri"/>
          <w:bCs/>
          <w:color w:val="000000" w:themeColor="text1"/>
          <w:sz w:val="24"/>
          <w:szCs w:val="24"/>
        </w:rPr>
        <w:t>办理认购、申购、赎回、转换、转托管及定期定额投资等业务而引起</w:t>
      </w:r>
      <w:r w:rsidRPr="00777BCD">
        <w:rPr>
          <w:rFonts w:ascii="Calibri" w:hAnsi="Calibri" w:cs="Calibri"/>
          <w:bCs/>
          <w:color w:val="000000" w:themeColor="text1"/>
          <w:sz w:val="24"/>
        </w:rPr>
        <w:t>的基金份额变动及结余情况的账户</w:t>
      </w:r>
    </w:p>
    <w:p w14:paraId="2EA1FB6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29</w:t>
      </w:r>
      <w:r w:rsidRPr="00777BCD">
        <w:rPr>
          <w:rFonts w:ascii="Calibri" w:hAnsi="Calibri" w:cs="Calibri"/>
          <w:bCs/>
          <w:color w:val="000000" w:themeColor="text1"/>
          <w:sz w:val="24"/>
        </w:rPr>
        <w:t>、基金合同生效日：指基金募集达到法律法规规定及基金合同规定的条件，基金管理人向中国证监会办理基金备案手续完毕，并获得中国证监会书面确认的日期</w:t>
      </w:r>
    </w:p>
    <w:p w14:paraId="17365C5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30</w:t>
      </w:r>
      <w:r w:rsidRPr="00777BCD">
        <w:rPr>
          <w:rFonts w:ascii="Calibri" w:hAnsi="Calibri" w:cs="Calibri"/>
          <w:bCs/>
          <w:color w:val="000000" w:themeColor="text1"/>
          <w:sz w:val="24"/>
        </w:rPr>
        <w:t>、基金合同终止日：指基金合同规定的基金合同终止事由出现后，基金财产清算完毕，清算结果报中国证监会备案并予以公告的日期</w:t>
      </w:r>
    </w:p>
    <w:p w14:paraId="1B801DE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31</w:t>
      </w:r>
      <w:r w:rsidRPr="00777BCD">
        <w:rPr>
          <w:rFonts w:ascii="Calibri" w:hAnsi="Calibri" w:cs="Calibri"/>
          <w:bCs/>
          <w:color w:val="000000" w:themeColor="text1"/>
          <w:sz w:val="24"/>
        </w:rPr>
        <w:t>、基金募集期：指自基金份额发售之日起至发售结束之日止的期间，最长不得超过</w:t>
      </w:r>
      <w:r w:rsidRPr="00777BCD">
        <w:rPr>
          <w:rFonts w:ascii="Calibri" w:hAnsi="Calibri" w:cs="Calibri"/>
          <w:bCs/>
          <w:color w:val="000000" w:themeColor="text1"/>
          <w:sz w:val="24"/>
        </w:rPr>
        <w:t>3</w:t>
      </w:r>
      <w:r w:rsidRPr="00777BCD">
        <w:rPr>
          <w:rFonts w:ascii="Calibri" w:hAnsi="Calibri" w:cs="Calibri"/>
          <w:bCs/>
          <w:color w:val="000000" w:themeColor="text1"/>
          <w:sz w:val="24"/>
        </w:rPr>
        <w:t>个月</w:t>
      </w:r>
    </w:p>
    <w:p w14:paraId="1D07697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32</w:t>
      </w:r>
      <w:r w:rsidRPr="00777BCD">
        <w:rPr>
          <w:rFonts w:ascii="Calibri" w:hAnsi="Calibri" w:cs="Calibri"/>
          <w:bCs/>
          <w:color w:val="000000" w:themeColor="text1"/>
          <w:sz w:val="24"/>
        </w:rPr>
        <w:t>、存续期：指基金合同生效至终止之间的不定期期限</w:t>
      </w:r>
    </w:p>
    <w:p w14:paraId="4066494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33</w:t>
      </w:r>
      <w:r w:rsidRPr="00777BCD">
        <w:rPr>
          <w:rFonts w:ascii="Calibri" w:hAnsi="Calibri" w:cs="Calibri"/>
          <w:bCs/>
          <w:color w:val="000000" w:themeColor="text1"/>
          <w:sz w:val="24"/>
        </w:rPr>
        <w:t>、工作日：指上海证券交易所、深圳证券交易所的正常交易日</w:t>
      </w:r>
    </w:p>
    <w:p w14:paraId="2F153DF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34</w:t>
      </w:r>
      <w:r w:rsidRPr="00777BCD">
        <w:rPr>
          <w:rFonts w:ascii="Calibri" w:hAnsi="Calibri" w:cs="Calibri"/>
          <w:bCs/>
          <w:color w:val="000000" w:themeColor="text1"/>
          <w:sz w:val="24"/>
        </w:rPr>
        <w:t>、</w:t>
      </w:r>
      <w:r w:rsidRPr="00777BCD">
        <w:rPr>
          <w:rFonts w:ascii="Calibri" w:hAnsi="Calibri" w:cs="Calibri"/>
          <w:bCs/>
          <w:color w:val="000000" w:themeColor="text1"/>
          <w:sz w:val="24"/>
        </w:rPr>
        <w:t>T</w:t>
      </w:r>
      <w:r w:rsidRPr="00777BCD">
        <w:rPr>
          <w:rFonts w:ascii="Calibri" w:hAnsi="Calibri" w:cs="Calibri"/>
          <w:bCs/>
          <w:color w:val="000000" w:themeColor="text1"/>
          <w:sz w:val="24"/>
        </w:rPr>
        <w:t>日：指销售机构在规定时间受理投资人申购、赎回或其他业务申请的开放日</w:t>
      </w:r>
    </w:p>
    <w:p w14:paraId="5CF6460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35</w:t>
      </w:r>
      <w:r w:rsidRPr="00777BCD">
        <w:rPr>
          <w:rFonts w:ascii="Calibri" w:hAnsi="Calibri" w:cs="Calibri"/>
          <w:bCs/>
          <w:color w:val="000000" w:themeColor="text1"/>
          <w:sz w:val="24"/>
        </w:rPr>
        <w:t>、</w:t>
      </w:r>
      <w:proofErr w:type="spellStart"/>
      <w:r w:rsidRPr="00777BCD">
        <w:rPr>
          <w:rFonts w:ascii="Calibri" w:hAnsi="Calibri" w:cs="Calibri"/>
          <w:bCs/>
          <w:color w:val="000000" w:themeColor="text1"/>
          <w:sz w:val="24"/>
        </w:rPr>
        <w:t>T+n</w:t>
      </w:r>
      <w:proofErr w:type="spellEnd"/>
      <w:r w:rsidRPr="00777BCD">
        <w:rPr>
          <w:rFonts w:ascii="Calibri" w:hAnsi="Calibri" w:cs="Calibri"/>
          <w:bCs/>
          <w:color w:val="000000" w:themeColor="text1"/>
          <w:sz w:val="24"/>
        </w:rPr>
        <w:t>日：指自</w:t>
      </w:r>
      <w:r w:rsidRPr="00777BCD">
        <w:rPr>
          <w:rFonts w:ascii="Calibri" w:hAnsi="Calibri" w:cs="Calibri"/>
          <w:bCs/>
          <w:color w:val="000000" w:themeColor="text1"/>
          <w:sz w:val="24"/>
        </w:rPr>
        <w:t>T</w:t>
      </w:r>
      <w:r w:rsidRPr="00777BCD">
        <w:rPr>
          <w:rFonts w:ascii="Calibri" w:hAnsi="Calibri" w:cs="Calibri"/>
          <w:bCs/>
          <w:color w:val="000000" w:themeColor="text1"/>
          <w:sz w:val="24"/>
        </w:rPr>
        <w:t>日起第</w:t>
      </w:r>
      <w:r w:rsidRPr="00777BCD">
        <w:rPr>
          <w:rFonts w:ascii="Calibri" w:hAnsi="Calibri" w:cs="Calibri"/>
          <w:bCs/>
          <w:color w:val="000000" w:themeColor="text1"/>
          <w:sz w:val="24"/>
        </w:rPr>
        <w:t>n</w:t>
      </w:r>
      <w:proofErr w:type="gramStart"/>
      <w:r w:rsidRPr="00777BCD">
        <w:rPr>
          <w:rFonts w:ascii="Calibri" w:hAnsi="Calibri" w:cs="Calibri"/>
          <w:bCs/>
          <w:color w:val="000000" w:themeColor="text1"/>
          <w:sz w:val="24"/>
        </w:rPr>
        <w:t>个</w:t>
      </w:r>
      <w:proofErr w:type="gramEnd"/>
      <w:r w:rsidRPr="00777BCD">
        <w:rPr>
          <w:rFonts w:ascii="Calibri" w:hAnsi="Calibri" w:cs="Calibri"/>
          <w:bCs/>
          <w:color w:val="000000" w:themeColor="text1"/>
          <w:sz w:val="24"/>
        </w:rPr>
        <w:t>工作日</w:t>
      </w:r>
      <w:r w:rsidRPr="00777BCD">
        <w:rPr>
          <w:rFonts w:ascii="Calibri" w:hAnsi="Calibri" w:cs="Calibri"/>
          <w:bCs/>
          <w:color w:val="000000" w:themeColor="text1"/>
          <w:sz w:val="24"/>
        </w:rPr>
        <w:t>(</w:t>
      </w:r>
      <w:r w:rsidRPr="00777BCD">
        <w:rPr>
          <w:rFonts w:ascii="Calibri" w:hAnsi="Calibri" w:cs="Calibri"/>
          <w:bCs/>
          <w:color w:val="000000" w:themeColor="text1"/>
          <w:sz w:val="24"/>
        </w:rPr>
        <w:t>不包含</w:t>
      </w:r>
      <w:r w:rsidRPr="00777BCD">
        <w:rPr>
          <w:rFonts w:ascii="Calibri" w:hAnsi="Calibri" w:cs="Calibri"/>
          <w:bCs/>
          <w:color w:val="000000" w:themeColor="text1"/>
          <w:sz w:val="24"/>
        </w:rPr>
        <w:t>T</w:t>
      </w:r>
      <w:r w:rsidRPr="00777BCD">
        <w:rPr>
          <w:rFonts w:ascii="Calibri" w:hAnsi="Calibri" w:cs="Calibri"/>
          <w:bCs/>
          <w:color w:val="000000" w:themeColor="text1"/>
          <w:sz w:val="24"/>
        </w:rPr>
        <w:t>日</w:t>
      </w:r>
      <w:r w:rsidRPr="00777BCD">
        <w:rPr>
          <w:rFonts w:ascii="Calibri" w:hAnsi="Calibri" w:cs="Calibri"/>
          <w:bCs/>
          <w:color w:val="000000" w:themeColor="text1"/>
          <w:sz w:val="24"/>
        </w:rPr>
        <w:t>)</w:t>
      </w:r>
      <w:r w:rsidRPr="00777BCD">
        <w:rPr>
          <w:rFonts w:ascii="Calibri" w:hAnsi="Calibri" w:cs="Calibri"/>
          <w:bCs/>
          <w:color w:val="000000" w:themeColor="text1"/>
          <w:sz w:val="24"/>
        </w:rPr>
        <w:t>，</w:t>
      </w:r>
      <w:r w:rsidRPr="00777BCD">
        <w:rPr>
          <w:rFonts w:ascii="Calibri" w:hAnsi="Calibri" w:cs="Calibri"/>
          <w:bCs/>
          <w:color w:val="000000" w:themeColor="text1"/>
          <w:sz w:val="24"/>
        </w:rPr>
        <w:t>n</w:t>
      </w:r>
      <w:r w:rsidRPr="00777BCD">
        <w:rPr>
          <w:rFonts w:ascii="Calibri" w:hAnsi="Calibri" w:cs="Calibri"/>
          <w:bCs/>
          <w:color w:val="000000" w:themeColor="text1"/>
          <w:sz w:val="24"/>
        </w:rPr>
        <w:t>为自然数</w:t>
      </w:r>
    </w:p>
    <w:p w14:paraId="6EE86D13" w14:textId="3E568619"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36</w:t>
      </w:r>
      <w:r w:rsidRPr="00777BCD">
        <w:rPr>
          <w:rFonts w:ascii="Calibri" w:hAnsi="Calibri" w:cs="Calibri"/>
          <w:bCs/>
          <w:color w:val="000000" w:themeColor="text1"/>
          <w:sz w:val="24"/>
        </w:rPr>
        <w:t>、开放日：指为投资人办理基金份额申购、赎回或其他业务的工作日，若本基金参与港股</w:t>
      </w:r>
      <w:proofErr w:type="gramStart"/>
      <w:r w:rsidRPr="00777BCD">
        <w:rPr>
          <w:rFonts w:ascii="Calibri" w:hAnsi="Calibri" w:cs="Calibri"/>
          <w:bCs/>
          <w:color w:val="000000" w:themeColor="text1"/>
          <w:sz w:val="24"/>
        </w:rPr>
        <w:t>通交易且</w:t>
      </w:r>
      <w:proofErr w:type="gramEnd"/>
      <w:r w:rsidRPr="00777BCD">
        <w:rPr>
          <w:rFonts w:ascii="Calibri" w:hAnsi="Calibri" w:cs="Calibri"/>
          <w:bCs/>
          <w:color w:val="000000" w:themeColor="text1"/>
          <w:sz w:val="24"/>
        </w:rPr>
        <w:t>该工作日为非港股</w:t>
      </w:r>
      <w:proofErr w:type="gramStart"/>
      <w:r w:rsidRPr="00777BCD">
        <w:rPr>
          <w:rFonts w:ascii="Calibri" w:hAnsi="Calibri" w:cs="Calibri"/>
          <w:bCs/>
          <w:color w:val="000000" w:themeColor="text1"/>
          <w:sz w:val="24"/>
        </w:rPr>
        <w:t>通交易</w:t>
      </w:r>
      <w:proofErr w:type="gramEnd"/>
      <w:r w:rsidRPr="00777BCD">
        <w:rPr>
          <w:rFonts w:ascii="Calibri" w:hAnsi="Calibri" w:cs="Calibri"/>
          <w:bCs/>
          <w:color w:val="000000" w:themeColor="text1"/>
          <w:sz w:val="24"/>
        </w:rPr>
        <w:t>日时，基金管理人可调整本基金的开放日或开放时间，具体安排以届时</w:t>
      </w:r>
      <w:r w:rsidR="00B87F1B" w:rsidRPr="00777BCD">
        <w:rPr>
          <w:rFonts w:ascii="Calibri" w:hAnsi="Calibri" w:cs="Calibri"/>
          <w:bCs/>
          <w:color w:val="000000" w:themeColor="text1"/>
          <w:sz w:val="24"/>
        </w:rPr>
        <w:t>提前发布的</w:t>
      </w:r>
      <w:r w:rsidRPr="00777BCD">
        <w:rPr>
          <w:rFonts w:ascii="Calibri" w:hAnsi="Calibri" w:cs="Calibri"/>
          <w:bCs/>
          <w:color w:val="000000" w:themeColor="text1"/>
          <w:sz w:val="24"/>
        </w:rPr>
        <w:t>公告为准</w:t>
      </w:r>
    </w:p>
    <w:p w14:paraId="65AD748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37</w:t>
      </w:r>
      <w:r w:rsidRPr="00777BCD">
        <w:rPr>
          <w:rFonts w:ascii="Calibri" w:hAnsi="Calibri" w:cs="Calibri"/>
          <w:bCs/>
          <w:color w:val="000000" w:themeColor="text1"/>
          <w:sz w:val="24"/>
        </w:rPr>
        <w:t>、开放时间：指开放日基金接受申购、赎回或其他交易的时间段</w:t>
      </w:r>
    </w:p>
    <w:p w14:paraId="4A5B436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38</w:t>
      </w:r>
      <w:r w:rsidRPr="00777BCD">
        <w:rPr>
          <w:rFonts w:ascii="Calibri" w:hAnsi="Calibri" w:cs="Calibri"/>
          <w:bCs/>
          <w:color w:val="000000" w:themeColor="text1"/>
          <w:sz w:val="24"/>
        </w:rPr>
        <w:t>、《业务规则》：指《</w:t>
      </w:r>
      <w:r w:rsidRPr="00777BCD">
        <w:rPr>
          <w:rFonts w:ascii="Calibri" w:hAnsi="Calibri" w:cs="Calibri"/>
          <w:bCs/>
          <w:color w:val="000000" w:themeColor="text1"/>
          <w:sz w:val="24"/>
          <w:szCs w:val="24"/>
        </w:rPr>
        <w:t>银河基金管理有限公司</w:t>
      </w:r>
      <w:r w:rsidRPr="00777BCD">
        <w:rPr>
          <w:rFonts w:ascii="Calibri" w:hAnsi="Calibri" w:cs="Calibri"/>
          <w:bCs/>
          <w:color w:val="000000" w:themeColor="text1"/>
          <w:sz w:val="24"/>
        </w:rPr>
        <w:t>开放式基金业务规则》，是规范基金管理人所管理的开放式证券投资基金登记方面的业务规则，由基金管理人和投资人共同遵守</w:t>
      </w:r>
    </w:p>
    <w:p w14:paraId="2A362F7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39</w:t>
      </w:r>
      <w:r w:rsidRPr="00777BCD">
        <w:rPr>
          <w:rFonts w:ascii="Calibri" w:hAnsi="Calibri" w:cs="Calibri"/>
          <w:bCs/>
          <w:color w:val="000000" w:themeColor="text1"/>
          <w:sz w:val="24"/>
        </w:rPr>
        <w:t>、认购：指在基金募集期内，投资人根据基金合同和招募说明书的规定申请购买基金份额的行为</w:t>
      </w:r>
    </w:p>
    <w:p w14:paraId="7BC6FE8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40</w:t>
      </w:r>
      <w:r w:rsidRPr="00777BCD">
        <w:rPr>
          <w:rFonts w:ascii="Calibri" w:hAnsi="Calibri" w:cs="Calibri"/>
          <w:bCs/>
          <w:color w:val="000000" w:themeColor="text1"/>
          <w:sz w:val="24"/>
        </w:rPr>
        <w:t>、申购：指基金合同生效后，投资人根据基金合同和招募说明书的规定申请购买基金份额的行为</w:t>
      </w:r>
    </w:p>
    <w:p w14:paraId="1C1E8FC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41</w:t>
      </w:r>
      <w:r w:rsidRPr="00777BCD">
        <w:rPr>
          <w:rFonts w:ascii="Calibri" w:hAnsi="Calibri" w:cs="Calibri"/>
          <w:bCs/>
          <w:color w:val="000000" w:themeColor="text1"/>
          <w:sz w:val="24"/>
        </w:rPr>
        <w:t>、赎回：指基金合同生效后，基金份额持有人按基金合同和招募说明书规定的条件要求将基金份额兑换为现金的行为</w:t>
      </w:r>
    </w:p>
    <w:p w14:paraId="5B7DA060" w14:textId="4A3E780F"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42</w:t>
      </w:r>
      <w:r w:rsidRPr="00777BCD">
        <w:rPr>
          <w:rFonts w:ascii="Calibri" w:hAnsi="Calibri" w:cs="Calibri"/>
          <w:bCs/>
          <w:color w:val="000000" w:themeColor="text1"/>
          <w:sz w:val="24"/>
        </w:rPr>
        <w:t>、基金转换：指基金份额持有人按照本基金合同和基金管理人届时有效公告规定的条件，申请将其持有基金管理人管理的、某一基金的基金份额转换为基金管理人管理的其他基金份额的行为</w:t>
      </w:r>
    </w:p>
    <w:p w14:paraId="7D7E64B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43</w:t>
      </w:r>
      <w:r w:rsidRPr="00777BCD">
        <w:rPr>
          <w:rFonts w:ascii="Calibri" w:hAnsi="Calibri" w:cs="Calibri"/>
          <w:bCs/>
          <w:color w:val="000000" w:themeColor="text1"/>
          <w:sz w:val="24"/>
        </w:rPr>
        <w:t>、转托管：指基金份额持有人在本基金的不同销售机构之间实施的变更所持基金份额销售机构的操作</w:t>
      </w:r>
    </w:p>
    <w:p w14:paraId="74EB3C5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44</w:t>
      </w:r>
      <w:r w:rsidRPr="00777BCD">
        <w:rPr>
          <w:rFonts w:ascii="Calibri" w:hAnsi="Calibri" w:cs="Calibri"/>
          <w:bCs/>
          <w:color w:val="000000" w:themeColor="text1"/>
          <w:sz w:val="24"/>
        </w:rPr>
        <w:t>、定期定额投资计划：指投资人通过有关销售机构提出申请，约定每期申购日、扣款金额及扣款方式，由销售机构在投资人指定银行账户内自动完成扣款并于每期约定的申购日提交基金申购申请的一种投资方式</w:t>
      </w:r>
    </w:p>
    <w:p w14:paraId="7F75B5EE" w14:textId="77777777" w:rsidR="007149DF" w:rsidRPr="00777BCD" w:rsidRDefault="00284640">
      <w:pPr>
        <w:ind w:firstLine="480"/>
        <w:rPr>
          <w:rFonts w:ascii="Calibri" w:hAnsi="Calibri" w:cs="Calibri"/>
          <w:color w:val="000000" w:themeColor="text1"/>
          <w:sz w:val="24"/>
        </w:rPr>
      </w:pPr>
      <w:r w:rsidRPr="00777BCD">
        <w:rPr>
          <w:rFonts w:ascii="Calibri" w:hAnsi="Calibri" w:cs="Calibri"/>
          <w:bCs/>
          <w:color w:val="000000" w:themeColor="text1"/>
          <w:sz w:val="24"/>
        </w:rPr>
        <w:t>45</w:t>
      </w:r>
      <w:r w:rsidRPr="00777BCD">
        <w:rPr>
          <w:rFonts w:ascii="Calibri" w:hAnsi="Calibri" w:cs="Calibri"/>
          <w:bCs/>
          <w:color w:val="000000" w:themeColor="text1"/>
          <w:sz w:val="24"/>
        </w:rPr>
        <w:t>、巨额赎回：指本基金单个开放日，基金净赎回申请</w:t>
      </w:r>
      <w:r w:rsidRPr="00777BCD">
        <w:rPr>
          <w:rFonts w:ascii="Calibri" w:hAnsi="Calibri" w:cs="Calibri"/>
          <w:bCs/>
          <w:color w:val="000000" w:themeColor="text1"/>
          <w:sz w:val="24"/>
        </w:rPr>
        <w:t>(</w:t>
      </w:r>
      <w:r w:rsidRPr="00777BCD">
        <w:rPr>
          <w:rFonts w:ascii="Calibri" w:hAnsi="Calibri" w:cs="Calibri"/>
          <w:bCs/>
          <w:color w:val="000000" w:themeColor="text1"/>
          <w:sz w:val="24"/>
        </w:rPr>
        <w:t>赎回申请份额总数加上基金转换中转出申请份额总数后扣除申购申请份额总数及基金转换中转入申请份额总数后的余额</w:t>
      </w:r>
      <w:r w:rsidRPr="00777BCD">
        <w:rPr>
          <w:rFonts w:ascii="Calibri" w:hAnsi="Calibri" w:cs="Calibri"/>
          <w:bCs/>
          <w:color w:val="000000" w:themeColor="text1"/>
          <w:sz w:val="24"/>
        </w:rPr>
        <w:t>)</w:t>
      </w:r>
      <w:r w:rsidRPr="00777BCD">
        <w:rPr>
          <w:rFonts w:ascii="Calibri" w:hAnsi="Calibri" w:cs="Calibri"/>
          <w:bCs/>
          <w:color w:val="000000" w:themeColor="text1"/>
          <w:sz w:val="24"/>
        </w:rPr>
        <w:t>超过上一开放日基金总份额的</w:t>
      </w:r>
      <w:r w:rsidRPr="00777BCD">
        <w:rPr>
          <w:rFonts w:ascii="Calibri" w:hAnsi="Calibri" w:cs="Calibri"/>
          <w:bCs/>
          <w:color w:val="000000" w:themeColor="text1"/>
          <w:sz w:val="24"/>
        </w:rPr>
        <w:t>10%</w:t>
      </w:r>
      <w:r w:rsidRPr="00777BCD">
        <w:rPr>
          <w:rFonts w:ascii="Calibri" w:hAnsi="Calibri" w:cs="Calibri"/>
          <w:bCs/>
          <w:color w:val="000000" w:themeColor="text1"/>
          <w:sz w:val="24"/>
        </w:rPr>
        <w:t>的情形</w:t>
      </w:r>
    </w:p>
    <w:p w14:paraId="61D168D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46</w:t>
      </w:r>
      <w:r w:rsidRPr="00777BCD">
        <w:rPr>
          <w:rFonts w:ascii="Calibri" w:hAnsi="Calibri" w:cs="Calibri"/>
          <w:bCs/>
          <w:color w:val="000000" w:themeColor="text1"/>
          <w:sz w:val="24"/>
        </w:rPr>
        <w:t>、元：指人民币元</w:t>
      </w:r>
    </w:p>
    <w:p w14:paraId="39AEEF6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47</w:t>
      </w:r>
      <w:r w:rsidRPr="00777BCD">
        <w:rPr>
          <w:rFonts w:ascii="Calibri" w:hAnsi="Calibri" w:cs="Calibri"/>
          <w:bCs/>
          <w:color w:val="000000" w:themeColor="text1"/>
          <w:sz w:val="24"/>
        </w:rPr>
        <w:t>、基金收益：指基金投资所得红利、股息、债券利息、买卖证券价差、银行存款利息、已实现的其他合法收入及因运用基金财产带来的成本和费用的节约</w:t>
      </w:r>
    </w:p>
    <w:p w14:paraId="0723BF6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48</w:t>
      </w:r>
      <w:r w:rsidRPr="00777BCD">
        <w:rPr>
          <w:rFonts w:ascii="Calibri" w:hAnsi="Calibri" w:cs="Calibri"/>
          <w:bCs/>
          <w:color w:val="000000" w:themeColor="text1"/>
          <w:sz w:val="24"/>
        </w:rPr>
        <w:t>、基金资产总值：指基金拥有的各类有价证券、银行存款本息、基金应收款项及其他资产的价值总和</w:t>
      </w:r>
    </w:p>
    <w:p w14:paraId="0171A81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49</w:t>
      </w:r>
      <w:r w:rsidRPr="00777BCD">
        <w:rPr>
          <w:rFonts w:ascii="Calibri" w:hAnsi="Calibri" w:cs="Calibri"/>
          <w:bCs/>
          <w:color w:val="000000" w:themeColor="text1"/>
          <w:sz w:val="24"/>
        </w:rPr>
        <w:t>、基金资产净值：指基金资产总值减去基金负债后的价值</w:t>
      </w:r>
    </w:p>
    <w:p w14:paraId="004AF2AC" w14:textId="3229D81B"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50</w:t>
      </w:r>
      <w:r w:rsidRPr="00777BCD">
        <w:rPr>
          <w:rFonts w:ascii="Calibri" w:hAnsi="Calibri" w:cs="Calibri"/>
          <w:bCs/>
          <w:color w:val="000000" w:themeColor="text1"/>
          <w:sz w:val="24"/>
        </w:rPr>
        <w:t>、基金份额净值：指计算日基金资产净值除以计算日基金份额总数</w:t>
      </w:r>
    </w:p>
    <w:p w14:paraId="564C625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51</w:t>
      </w:r>
      <w:r w:rsidRPr="00777BCD">
        <w:rPr>
          <w:rFonts w:ascii="Calibri" w:hAnsi="Calibri" w:cs="Calibri"/>
          <w:bCs/>
          <w:color w:val="000000" w:themeColor="text1"/>
          <w:sz w:val="24"/>
        </w:rPr>
        <w:t>、基金资产估值：指计算评估基金资产和负债的价值，以确定基金资产净值和基金份额净值的过程</w:t>
      </w:r>
    </w:p>
    <w:p w14:paraId="4B64746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52</w:t>
      </w:r>
      <w:r w:rsidRPr="00777BCD">
        <w:rPr>
          <w:rFonts w:ascii="Calibri" w:hAnsi="Calibri" w:cs="Calibri"/>
          <w:bCs/>
          <w:color w:val="000000" w:themeColor="text1"/>
          <w:sz w:val="24"/>
        </w:rPr>
        <w:t>、规定媒介：指符合中国证监会规定条件的用以进行信息披露的</w:t>
      </w:r>
      <w:r w:rsidRPr="00777BCD">
        <w:rPr>
          <w:rFonts w:ascii="Calibri" w:hAnsi="Calibri" w:cs="Calibri"/>
          <w:bCs/>
          <w:color w:val="000000" w:themeColor="text1"/>
          <w:sz w:val="24"/>
          <w:szCs w:val="24"/>
        </w:rPr>
        <w:t>全国性</w:t>
      </w:r>
      <w:r w:rsidRPr="00777BCD">
        <w:rPr>
          <w:rFonts w:ascii="Calibri" w:hAnsi="Calibri" w:cs="Calibri"/>
          <w:bCs/>
          <w:color w:val="000000" w:themeColor="text1"/>
          <w:sz w:val="24"/>
        </w:rPr>
        <w:t>报刊（以下简称</w:t>
      </w:r>
      <w:r w:rsidRPr="00777BCD">
        <w:rPr>
          <w:rFonts w:ascii="Calibri" w:hAnsi="Calibri" w:cs="Calibri"/>
          <w:bCs/>
          <w:color w:val="000000" w:themeColor="text1"/>
          <w:sz w:val="24"/>
        </w:rPr>
        <w:t>“</w:t>
      </w:r>
      <w:r w:rsidRPr="00777BCD">
        <w:rPr>
          <w:rFonts w:ascii="Calibri" w:hAnsi="Calibri" w:cs="Calibri"/>
          <w:bCs/>
          <w:color w:val="000000" w:themeColor="text1"/>
          <w:sz w:val="24"/>
        </w:rPr>
        <w:t>规定报刊</w:t>
      </w:r>
      <w:r w:rsidRPr="00777BCD">
        <w:rPr>
          <w:rFonts w:ascii="Calibri" w:hAnsi="Calibri" w:cs="Calibri"/>
          <w:bCs/>
          <w:color w:val="000000" w:themeColor="text1"/>
          <w:sz w:val="24"/>
        </w:rPr>
        <w:t>”</w:t>
      </w:r>
      <w:r w:rsidRPr="00777BCD">
        <w:rPr>
          <w:rFonts w:ascii="Calibri" w:hAnsi="Calibri" w:cs="Calibri"/>
          <w:bCs/>
          <w:color w:val="000000" w:themeColor="text1"/>
          <w:sz w:val="24"/>
        </w:rPr>
        <w:t>）</w:t>
      </w:r>
      <w:r w:rsidRPr="00777BCD">
        <w:rPr>
          <w:rFonts w:ascii="Calibri" w:hAnsi="Calibri" w:cs="Calibri"/>
          <w:bCs/>
          <w:color w:val="000000" w:themeColor="text1"/>
          <w:sz w:val="24"/>
          <w:szCs w:val="24"/>
        </w:rPr>
        <w:t>及《信息披露办法》规定的</w:t>
      </w:r>
      <w:r w:rsidRPr="00777BCD">
        <w:rPr>
          <w:rFonts w:ascii="Calibri" w:hAnsi="Calibri" w:cs="Calibri"/>
          <w:bCs/>
          <w:color w:val="000000" w:themeColor="text1"/>
          <w:sz w:val="24"/>
        </w:rPr>
        <w:t>互联网网站</w:t>
      </w:r>
      <w:r w:rsidRPr="00777BCD">
        <w:rPr>
          <w:rFonts w:ascii="Calibri" w:hAnsi="Calibri" w:cs="Calibri"/>
          <w:bCs/>
          <w:color w:val="000000" w:themeColor="text1"/>
          <w:sz w:val="24"/>
          <w:szCs w:val="24"/>
        </w:rPr>
        <w:t>（以下简称</w:t>
      </w: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规定网站</w:t>
      </w: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，包括基金管理人网站、基金托管人网站、中国证监会基金电子披露网站）等</w:t>
      </w:r>
      <w:r w:rsidRPr="00777BCD">
        <w:rPr>
          <w:rFonts w:ascii="Calibri" w:hAnsi="Calibri" w:cs="Calibri"/>
          <w:bCs/>
          <w:color w:val="000000" w:themeColor="text1"/>
          <w:sz w:val="24"/>
        </w:rPr>
        <w:t>媒介</w:t>
      </w:r>
    </w:p>
    <w:p w14:paraId="67D1B575" w14:textId="27FD8339"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53</w:t>
      </w:r>
      <w:r w:rsidRPr="00777BCD">
        <w:rPr>
          <w:rFonts w:ascii="Calibri" w:hAnsi="Calibri" w:cs="Calibri"/>
          <w:bCs/>
          <w:color w:val="000000" w:themeColor="text1"/>
          <w:sz w:val="24"/>
        </w:rPr>
        <w:t>、销售服务费：指从基金财产中计提的，用于本基金市场推广、销售以及基金份额持有人服务的费用</w:t>
      </w:r>
    </w:p>
    <w:p w14:paraId="732B2BE2" w14:textId="358A937A"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54</w:t>
      </w:r>
      <w:r w:rsidRPr="00777BCD">
        <w:rPr>
          <w:rFonts w:ascii="Calibri" w:hAnsi="Calibri" w:cs="Calibri"/>
          <w:bCs/>
          <w:color w:val="000000" w:themeColor="text1"/>
          <w:sz w:val="24"/>
        </w:rPr>
        <w:t>、</w:t>
      </w:r>
      <w:r w:rsidRPr="00777BCD">
        <w:rPr>
          <w:rFonts w:ascii="Calibri" w:hAnsi="Calibri" w:cs="Calibri"/>
          <w:bCs/>
          <w:color w:val="000000" w:themeColor="text1"/>
          <w:sz w:val="24"/>
        </w:rPr>
        <w:t>A</w:t>
      </w:r>
      <w:r w:rsidRPr="00777BCD">
        <w:rPr>
          <w:rFonts w:ascii="Calibri" w:hAnsi="Calibri" w:cs="Calibri"/>
          <w:bCs/>
          <w:color w:val="000000" w:themeColor="text1"/>
          <w:sz w:val="24"/>
        </w:rPr>
        <w:t>类基金份额：指在投资人认购</w:t>
      </w:r>
      <w:r w:rsidRPr="00777BCD">
        <w:rPr>
          <w:rFonts w:ascii="Calibri" w:hAnsi="Calibri" w:cs="Calibri"/>
          <w:bCs/>
          <w:color w:val="000000" w:themeColor="text1"/>
          <w:sz w:val="24"/>
        </w:rPr>
        <w:t>/</w:t>
      </w:r>
      <w:r w:rsidRPr="00777BCD">
        <w:rPr>
          <w:rFonts w:ascii="Calibri" w:hAnsi="Calibri" w:cs="Calibri"/>
          <w:bCs/>
          <w:color w:val="000000" w:themeColor="text1"/>
          <w:sz w:val="24"/>
        </w:rPr>
        <w:t>申购基金时收取认购</w:t>
      </w:r>
      <w:r w:rsidRPr="00777BCD">
        <w:rPr>
          <w:rFonts w:ascii="Calibri" w:hAnsi="Calibri" w:cs="Calibri"/>
          <w:bCs/>
          <w:color w:val="000000" w:themeColor="text1"/>
          <w:sz w:val="24"/>
        </w:rPr>
        <w:t>/</w:t>
      </w:r>
      <w:r w:rsidRPr="00777BCD">
        <w:rPr>
          <w:rFonts w:ascii="Calibri" w:hAnsi="Calibri" w:cs="Calibri"/>
          <w:bCs/>
          <w:color w:val="000000" w:themeColor="text1"/>
          <w:sz w:val="24"/>
        </w:rPr>
        <w:t>申购费用，在赎回时根据持有期限收取赎回费用，并不再从本类别基金</w:t>
      </w:r>
      <w:r w:rsidR="00B23E55" w:rsidRPr="00777BCD">
        <w:rPr>
          <w:rFonts w:ascii="Calibri" w:hAnsi="Calibri" w:cs="Calibri"/>
          <w:bCs/>
          <w:color w:val="000000" w:themeColor="text1"/>
          <w:sz w:val="24"/>
        </w:rPr>
        <w:t>财</w:t>
      </w:r>
      <w:r w:rsidRPr="00777BCD">
        <w:rPr>
          <w:rFonts w:ascii="Calibri" w:hAnsi="Calibri" w:cs="Calibri"/>
          <w:bCs/>
          <w:color w:val="000000" w:themeColor="text1"/>
          <w:sz w:val="24"/>
        </w:rPr>
        <w:t>产中计</w:t>
      </w:r>
      <w:proofErr w:type="gramStart"/>
      <w:r w:rsidRPr="00777BCD">
        <w:rPr>
          <w:rFonts w:ascii="Calibri" w:hAnsi="Calibri" w:cs="Calibri"/>
          <w:bCs/>
          <w:color w:val="000000" w:themeColor="text1"/>
          <w:sz w:val="24"/>
        </w:rPr>
        <w:t>提销售</w:t>
      </w:r>
      <w:proofErr w:type="gramEnd"/>
      <w:r w:rsidRPr="00777BCD">
        <w:rPr>
          <w:rFonts w:ascii="Calibri" w:hAnsi="Calibri" w:cs="Calibri"/>
          <w:bCs/>
          <w:color w:val="000000" w:themeColor="text1"/>
          <w:sz w:val="24"/>
        </w:rPr>
        <w:t>服务费的基金份额</w:t>
      </w:r>
    </w:p>
    <w:p w14:paraId="5A3F69E5" w14:textId="20487575"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55</w:t>
      </w:r>
      <w:r w:rsidRPr="00777BCD">
        <w:rPr>
          <w:rFonts w:ascii="Calibri" w:hAnsi="Calibri" w:cs="Calibri"/>
          <w:bCs/>
          <w:color w:val="000000" w:themeColor="text1"/>
          <w:sz w:val="24"/>
        </w:rPr>
        <w:t>、</w:t>
      </w:r>
      <w:r w:rsidRPr="00777BCD">
        <w:rPr>
          <w:rFonts w:ascii="Calibri" w:hAnsi="Calibri" w:cs="Calibri"/>
          <w:bCs/>
          <w:color w:val="000000" w:themeColor="text1"/>
          <w:sz w:val="24"/>
        </w:rPr>
        <w:t>C</w:t>
      </w:r>
      <w:r w:rsidRPr="00777BCD">
        <w:rPr>
          <w:rFonts w:ascii="Calibri" w:hAnsi="Calibri" w:cs="Calibri"/>
          <w:bCs/>
          <w:color w:val="000000" w:themeColor="text1"/>
          <w:sz w:val="24"/>
        </w:rPr>
        <w:t>类基金份额：指在投资人认购</w:t>
      </w:r>
      <w:r w:rsidRPr="00777BCD">
        <w:rPr>
          <w:rFonts w:ascii="Calibri" w:hAnsi="Calibri" w:cs="Calibri"/>
          <w:bCs/>
          <w:color w:val="000000" w:themeColor="text1"/>
          <w:sz w:val="24"/>
        </w:rPr>
        <w:t>/</w:t>
      </w:r>
      <w:r w:rsidRPr="00777BCD">
        <w:rPr>
          <w:rFonts w:ascii="Calibri" w:hAnsi="Calibri" w:cs="Calibri"/>
          <w:bCs/>
          <w:color w:val="000000" w:themeColor="text1"/>
          <w:sz w:val="24"/>
        </w:rPr>
        <w:t>申购基金时不收取认购</w:t>
      </w:r>
      <w:r w:rsidRPr="00777BCD">
        <w:rPr>
          <w:rFonts w:ascii="Calibri" w:hAnsi="Calibri" w:cs="Calibri"/>
          <w:bCs/>
          <w:color w:val="000000" w:themeColor="text1"/>
          <w:sz w:val="24"/>
        </w:rPr>
        <w:t>/</w:t>
      </w:r>
      <w:r w:rsidRPr="00777BCD">
        <w:rPr>
          <w:rFonts w:ascii="Calibri" w:hAnsi="Calibri" w:cs="Calibri"/>
          <w:bCs/>
          <w:color w:val="000000" w:themeColor="text1"/>
          <w:sz w:val="24"/>
        </w:rPr>
        <w:t>申购费用，而是从本类别基金</w:t>
      </w:r>
      <w:r w:rsidR="007413DE" w:rsidRPr="00777BCD">
        <w:rPr>
          <w:rFonts w:ascii="Calibri" w:hAnsi="Calibri" w:cs="Calibri"/>
          <w:bCs/>
          <w:color w:val="000000" w:themeColor="text1"/>
          <w:sz w:val="24"/>
        </w:rPr>
        <w:t>财</w:t>
      </w:r>
      <w:r w:rsidRPr="00777BCD">
        <w:rPr>
          <w:rFonts w:ascii="Calibri" w:hAnsi="Calibri" w:cs="Calibri"/>
          <w:bCs/>
          <w:color w:val="000000" w:themeColor="text1"/>
          <w:sz w:val="24"/>
        </w:rPr>
        <w:t>产中计</w:t>
      </w:r>
      <w:proofErr w:type="gramStart"/>
      <w:r w:rsidRPr="00777BCD">
        <w:rPr>
          <w:rFonts w:ascii="Calibri" w:hAnsi="Calibri" w:cs="Calibri"/>
          <w:bCs/>
          <w:color w:val="000000" w:themeColor="text1"/>
          <w:sz w:val="24"/>
        </w:rPr>
        <w:t>提销售</w:t>
      </w:r>
      <w:proofErr w:type="gramEnd"/>
      <w:r w:rsidRPr="00777BCD">
        <w:rPr>
          <w:rFonts w:ascii="Calibri" w:hAnsi="Calibri" w:cs="Calibri"/>
          <w:bCs/>
          <w:color w:val="000000" w:themeColor="text1"/>
          <w:sz w:val="24"/>
        </w:rPr>
        <w:t>服务费，在赎回时根据持有期限收取赎回费用的基金份额</w:t>
      </w:r>
    </w:p>
    <w:p w14:paraId="4DCE6C81" w14:textId="77777777" w:rsidR="007149DF" w:rsidRPr="00777BCD" w:rsidRDefault="00284640">
      <w:pPr>
        <w:ind w:firstLineChars="200" w:firstLine="480"/>
        <w:rPr>
          <w:rFonts w:ascii="Calibri" w:hAnsi="Calibri" w:cs="Calibri"/>
          <w:bCs/>
          <w:sz w:val="24"/>
        </w:rPr>
      </w:pPr>
      <w:bookmarkStart w:id="54" w:name="_Hlk22673480"/>
      <w:r w:rsidRPr="00777BCD">
        <w:rPr>
          <w:rFonts w:ascii="Calibri" w:hAnsi="Calibri" w:cs="Calibri"/>
          <w:bCs/>
          <w:sz w:val="24"/>
        </w:rPr>
        <w:t>56</w:t>
      </w:r>
      <w:r w:rsidRPr="00777BCD">
        <w:rPr>
          <w:rFonts w:ascii="Calibri" w:hAnsi="Calibri" w:cs="Calibri"/>
          <w:bCs/>
          <w:sz w:val="24"/>
        </w:rPr>
        <w:t>、发起式基金：指按照《运作办法》和中国证监会规定的相关条件募集，由基金管理人、基金管理人股东、基金管理人高级管理人员或基金经理（指基金管理人员工中依法具有基金经理资格者，包括但不限于本基金的基金经理，下同）等人员承诺认购一定金额并持有一定期限的证券投资基金</w:t>
      </w:r>
    </w:p>
    <w:p w14:paraId="03256370" w14:textId="60A046CD" w:rsidR="007149DF" w:rsidRPr="00777BCD" w:rsidRDefault="00284640">
      <w:pPr>
        <w:ind w:firstLineChars="200" w:firstLine="480"/>
        <w:rPr>
          <w:rFonts w:ascii="Calibri" w:hAnsi="Calibri" w:cs="Calibri"/>
          <w:bCs/>
          <w:sz w:val="24"/>
        </w:rPr>
      </w:pPr>
      <w:r w:rsidRPr="00777BCD">
        <w:rPr>
          <w:rFonts w:ascii="Calibri" w:hAnsi="Calibri" w:cs="Calibri"/>
          <w:bCs/>
          <w:sz w:val="24"/>
        </w:rPr>
        <w:t>57</w:t>
      </w:r>
      <w:r w:rsidRPr="00777BCD">
        <w:rPr>
          <w:rFonts w:ascii="Calibri" w:hAnsi="Calibri" w:cs="Calibri"/>
          <w:bCs/>
          <w:sz w:val="24"/>
        </w:rPr>
        <w:t>、发起资金：指用于认购发起</w:t>
      </w:r>
      <w:proofErr w:type="gramStart"/>
      <w:r w:rsidRPr="00777BCD">
        <w:rPr>
          <w:rFonts w:ascii="Calibri" w:hAnsi="Calibri" w:cs="Calibri"/>
          <w:bCs/>
          <w:sz w:val="24"/>
        </w:rPr>
        <w:t>式基金</w:t>
      </w:r>
      <w:proofErr w:type="gramEnd"/>
      <w:r w:rsidRPr="00777BCD">
        <w:rPr>
          <w:rFonts w:ascii="Calibri" w:hAnsi="Calibri" w:cs="Calibri"/>
          <w:bCs/>
          <w:sz w:val="24"/>
        </w:rPr>
        <w:t>且来源于基金管理</w:t>
      </w:r>
      <w:proofErr w:type="gramStart"/>
      <w:r w:rsidRPr="00777BCD">
        <w:rPr>
          <w:rFonts w:ascii="Calibri" w:hAnsi="Calibri" w:cs="Calibri"/>
          <w:bCs/>
          <w:sz w:val="24"/>
        </w:rPr>
        <w:t>人股东</w:t>
      </w:r>
      <w:proofErr w:type="gramEnd"/>
      <w:r w:rsidRPr="00777BCD">
        <w:rPr>
          <w:rFonts w:ascii="Calibri" w:hAnsi="Calibri" w:cs="Calibri"/>
          <w:bCs/>
          <w:sz w:val="24"/>
        </w:rPr>
        <w:t>资金、基金管理人固有资金、基金管理人高级管理人员或基金经理等人员的资金。发起资金认购本基金的金额不低于</w:t>
      </w:r>
      <w:r w:rsidRPr="00777BCD">
        <w:rPr>
          <w:rFonts w:ascii="Calibri" w:hAnsi="Calibri" w:cs="Calibri"/>
          <w:bCs/>
          <w:sz w:val="24"/>
        </w:rPr>
        <w:t>1000</w:t>
      </w:r>
      <w:r w:rsidRPr="00777BCD">
        <w:rPr>
          <w:rFonts w:ascii="Calibri" w:hAnsi="Calibri" w:cs="Calibri"/>
          <w:bCs/>
          <w:sz w:val="24"/>
        </w:rPr>
        <w:t>万元，且持有期限不低于三年</w:t>
      </w:r>
    </w:p>
    <w:p w14:paraId="4C64799B" w14:textId="77777777" w:rsidR="007149DF" w:rsidRPr="00777BCD" w:rsidRDefault="00284640">
      <w:pPr>
        <w:ind w:firstLineChars="200" w:firstLine="480"/>
        <w:rPr>
          <w:rFonts w:ascii="Calibri" w:hAnsi="Calibri" w:cs="Calibri"/>
          <w:bCs/>
          <w:sz w:val="24"/>
        </w:rPr>
      </w:pPr>
      <w:r w:rsidRPr="00777BCD">
        <w:rPr>
          <w:rFonts w:ascii="Calibri" w:hAnsi="Calibri" w:cs="Calibri"/>
          <w:bCs/>
          <w:sz w:val="24"/>
        </w:rPr>
        <w:t>58</w:t>
      </w:r>
      <w:r w:rsidRPr="00777BCD">
        <w:rPr>
          <w:rFonts w:ascii="Calibri" w:hAnsi="Calibri" w:cs="Calibri"/>
          <w:bCs/>
          <w:sz w:val="24"/>
        </w:rPr>
        <w:t>、发起资金提供方：指以发起资金认购本</w:t>
      </w:r>
      <w:proofErr w:type="gramStart"/>
      <w:r w:rsidRPr="00777BCD">
        <w:rPr>
          <w:rFonts w:ascii="Calibri" w:hAnsi="Calibri" w:cs="Calibri"/>
          <w:bCs/>
          <w:sz w:val="24"/>
        </w:rPr>
        <w:t>基金基金</w:t>
      </w:r>
      <w:proofErr w:type="gramEnd"/>
      <w:r w:rsidRPr="00777BCD">
        <w:rPr>
          <w:rFonts w:ascii="Calibri" w:hAnsi="Calibri" w:cs="Calibri"/>
          <w:bCs/>
          <w:sz w:val="24"/>
        </w:rPr>
        <w:t>份额且承诺持有期限不少于三年的基金管理人股东、基金管理人、基金管理人高级管理人员或基金经理等人员</w:t>
      </w:r>
    </w:p>
    <w:bookmarkEnd w:id="54"/>
    <w:p w14:paraId="459A18CF" w14:textId="0D9885BB"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59</w:t>
      </w:r>
      <w:r w:rsidRPr="00777BCD">
        <w:rPr>
          <w:rFonts w:ascii="Calibri" w:hAnsi="Calibri" w:cs="Calibri"/>
          <w:bCs/>
          <w:color w:val="000000" w:themeColor="text1"/>
          <w:sz w:val="24"/>
        </w:rPr>
        <w:t>、港股通标的股票：指内地投资者委托内地证券公司，经由上海证券交易所、深圳证券交易所或经中国证监会认可的机构设立的证券交易服务公司，向香港联合交易所进行申报，买卖规定范围内的香港联合交易所上市的股票</w:t>
      </w:r>
    </w:p>
    <w:p w14:paraId="43B6A47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60</w:t>
      </w:r>
      <w:r w:rsidRPr="00777BCD">
        <w:rPr>
          <w:rFonts w:ascii="Calibri" w:hAnsi="Calibri" w:cs="Calibri"/>
          <w:bCs/>
          <w:color w:val="000000" w:themeColor="text1"/>
          <w:sz w:val="24"/>
        </w:rPr>
        <w:t>、流动性受限资产：指由于法律法规、监管、合同或操作障碍等原因无法以合理价格予以变现的资产，包括但不限于到期日在</w:t>
      </w:r>
      <w:r w:rsidRPr="00777BCD">
        <w:rPr>
          <w:rFonts w:ascii="Calibri" w:hAnsi="Calibri" w:cs="Calibri"/>
          <w:bCs/>
          <w:color w:val="000000" w:themeColor="text1"/>
          <w:sz w:val="24"/>
        </w:rPr>
        <w:t>10</w:t>
      </w:r>
      <w:r w:rsidRPr="00777BCD">
        <w:rPr>
          <w:rFonts w:ascii="Calibri" w:hAnsi="Calibri" w:cs="Calibri"/>
          <w:bCs/>
          <w:color w:val="000000" w:themeColor="text1"/>
          <w:sz w:val="24"/>
        </w:rPr>
        <w:t>个交易日以上的逆回</w:t>
      </w:r>
      <w:r w:rsidRPr="00777BCD">
        <w:rPr>
          <w:rFonts w:ascii="Calibri" w:hAnsi="Calibri" w:cs="Calibri"/>
          <w:bCs/>
          <w:color w:val="000000" w:themeColor="text1"/>
          <w:sz w:val="24"/>
        </w:rPr>
        <w:lastRenderedPageBreak/>
        <w:t>购与银行定期存款（</w:t>
      </w:r>
      <w:proofErr w:type="gramStart"/>
      <w:r w:rsidRPr="00777BCD">
        <w:rPr>
          <w:rFonts w:ascii="Calibri" w:hAnsi="Calibri" w:cs="Calibri"/>
          <w:bCs/>
          <w:color w:val="000000" w:themeColor="text1"/>
          <w:sz w:val="24"/>
        </w:rPr>
        <w:t>含协议</w:t>
      </w:r>
      <w:proofErr w:type="gramEnd"/>
      <w:r w:rsidRPr="00777BCD">
        <w:rPr>
          <w:rFonts w:ascii="Calibri" w:hAnsi="Calibri" w:cs="Calibri"/>
          <w:bCs/>
          <w:color w:val="000000" w:themeColor="text1"/>
          <w:sz w:val="24"/>
        </w:rPr>
        <w:t>约定有条件提前支取的银行存款）、停牌股票、流通受限的新股及非公开发行股票、资产支持证券、因发行人债务违约无法进行转让或交易的债券等</w:t>
      </w:r>
    </w:p>
    <w:p w14:paraId="50CFB52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61</w:t>
      </w:r>
      <w:r w:rsidRPr="00777BCD">
        <w:rPr>
          <w:rFonts w:ascii="Calibri" w:hAnsi="Calibri" w:cs="Calibri"/>
          <w:bCs/>
          <w:color w:val="000000" w:themeColor="text1"/>
          <w:sz w:val="24"/>
        </w:rPr>
        <w:t>、摆动定价机制：指当本基金遭遇大额申购赎回时，通过调整基金份额净值的方式，将基金调整投资组合的市场冲击成本分配给实际申购、赎回的投资者，从而减少对存量基金份额持有人利益的不利影响，确保投资人的合法权益不受损害并得到公平对待</w:t>
      </w:r>
    </w:p>
    <w:p w14:paraId="4B659027"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rPr>
        <w:t>62</w:t>
      </w:r>
      <w:r w:rsidRPr="00777BCD">
        <w:rPr>
          <w:rFonts w:ascii="Calibri" w:hAnsi="Calibri" w:cs="Calibri"/>
          <w:bCs/>
          <w:color w:val="000000" w:themeColor="text1"/>
          <w:sz w:val="24"/>
        </w:rPr>
        <w:t>、</w:t>
      </w:r>
      <w:proofErr w:type="gramStart"/>
      <w:r w:rsidRPr="00777BCD">
        <w:rPr>
          <w:rFonts w:ascii="Calibri" w:hAnsi="Calibri" w:cs="Calibri"/>
          <w:bCs/>
          <w:color w:val="000000" w:themeColor="text1"/>
          <w:sz w:val="24"/>
          <w:szCs w:val="24"/>
        </w:rPr>
        <w:t>侧袋机制</w:t>
      </w:r>
      <w:proofErr w:type="gramEnd"/>
      <w:r w:rsidRPr="00777BCD">
        <w:rPr>
          <w:rFonts w:ascii="Calibri" w:hAnsi="Calibri" w:cs="Calibri"/>
          <w:bCs/>
          <w:color w:val="000000" w:themeColor="text1"/>
          <w:sz w:val="24"/>
          <w:szCs w:val="24"/>
        </w:rPr>
        <w:t>：指将基金投资组合中的特定资产从原有账户分离至一个专门账户进行处置清算，目的在于有效隔离并化解风险，确保投资者得到公平对待，属于流动性风险管理工具。</w:t>
      </w:r>
      <w:proofErr w:type="gramStart"/>
      <w:r w:rsidRPr="00777BCD">
        <w:rPr>
          <w:rFonts w:ascii="Calibri" w:hAnsi="Calibri" w:cs="Calibri"/>
          <w:bCs/>
          <w:color w:val="000000" w:themeColor="text1"/>
          <w:sz w:val="24"/>
          <w:szCs w:val="24"/>
        </w:rPr>
        <w:t>侧袋机制</w:t>
      </w:r>
      <w:proofErr w:type="gramEnd"/>
      <w:r w:rsidRPr="00777BCD">
        <w:rPr>
          <w:rFonts w:ascii="Calibri" w:hAnsi="Calibri" w:cs="Calibri"/>
          <w:bCs/>
          <w:color w:val="000000" w:themeColor="text1"/>
          <w:sz w:val="24"/>
          <w:szCs w:val="24"/>
        </w:rPr>
        <w:t>实施期间，原有账户称为主袋账户，专门账户</w:t>
      </w:r>
      <w:proofErr w:type="gramStart"/>
      <w:r w:rsidRPr="00777BCD">
        <w:rPr>
          <w:rFonts w:ascii="Calibri" w:hAnsi="Calibri" w:cs="Calibri"/>
          <w:bCs/>
          <w:color w:val="000000" w:themeColor="text1"/>
          <w:sz w:val="24"/>
          <w:szCs w:val="24"/>
        </w:rPr>
        <w:t>称为侧袋账户</w:t>
      </w:r>
      <w:proofErr w:type="gramEnd"/>
    </w:p>
    <w:p w14:paraId="12581318"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63</w:t>
      </w:r>
      <w:r w:rsidRPr="00777BCD">
        <w:rPr>
          <w:rFonts w:ascii="Calibri" w:hAnsi="Calibri" w:cs="Calibri"/>
          <w:bCs/>
          <w:color w:val="000000" w:themeColor="text1"/>
          <w:sz w:val="24"/>
          <w:szCs w:val="24"/>
        </w:rPr>
        <w:t>、特定资产：包括：（一）无可参考的活跃市场价格且采用估值技术</w:t>
      </w:r>
      <w:proofErr w:type="gramStart"/>
      <w:r w:rsidRPr="00777BCD">
        <w:rPr>
          <w:rFonts w:ascii="Calibri" w:hAnsi="Calibri" w:cs="Calibri"/>
          <w:bCs/>
          <w:color w:val="000000" w:themeColor="text1"/>
          <w:sz w:val="24"/>
          <w:szCs w:val="24"/>
        </w:rPr>
        <w:t>仍导致</w:t>
      </w:r>
      <w:proofErr w:type="gramEnd"/>
      <w:r w:rsidRPr="00777BCD">
        <w:rPr>
          <w:rFonts w:ascii="Calibri" w:hAnsi="Calibri" w:cs="Calibri"/>
          <w:bCs/>
          <w:color w:val="000000" w:themeColor="text1"/>
          <w:sz w:val="24"/>
          <w:szCs w:val="24"/>
        </w:rPr>
        <w:t>公允价值存在重大不确定性的资产；（二）</w:t>
      </w:r>
      <w:proofErr w:type="gramStart"/>
      <w:r w:rsidRPr="00777BCD">
        <w:rPr>
          <w:rFonts w:ascii="Calibri" w:hAnsi="Calibri" w:cs="Calibri"/>
          <w:bCs/>
          <w:color w:val="000000" w:themeColor="text1"/>
          <w:sz w:val="24"/>
          <w:szCs w:val="24"/>
        </w:rPr>
        <w:t>按摊余成本</w:t>
      </w:r>
      <w:proofErr w:type="gramEnd"/>
      <w:r w:rsidRPr="00777BCD">
        <w:rPr>
          <w:rFonts w:ascii="Calibri" w:hAnsi="Calibri" w:cs="Calibri"/>
          <w:bCs/>
          <w:color w:val="000000" w:themeColor="text1"/>
          <w:sz w:val="24"/>
          <w:szCs w:val="24"/>
        </w:rPr>
        <w:t>计量且计提资产减值</w:t>
      </w:r>
      <w:proofErr w:type="gramStart"/>
      <w:r w:rsidRPr="00777BCD">
        <w:rPr>
          <w:rFonts w:ascii="Calibri" w:hAnsi="Calibri" w:cs="Calibri"/>
          <w:bCs/>
          <w:color w:val="000000" w:themeColor="text1"/>
          <w:sz w:val="24"/>
          <w:szCs w:val="24"/>
        </w:rPr>
        <w:t>准备仍导致</w:t>
      </w:r>
      <w:proofErr w:type="gramEnd"/>
      <w:r w:rsidRPr="00777BCD">
        <w:rPr>
          <w:rFonts w:ascii="Calibri" w:hAnsi="Calibri" w:cs="Calibri"/>
          <w:bCs/>
          <w:color w:val="000000" w:themeColor="text1"/>
          <w:sz w:val="24"/>
          <w:szCs w:val="24"/>
        </w:rPr>
        <w:t>资产价值存在重大不确定性的资产；（三）其他资产价值存在重大不确定性的资产</w:t>
      </w:r>
    </w:p>
    <w:p w14:paraId="57E13AE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64</w:t>
      </w:r>
      <w:r w:rsidRPr="00777BCD">
        <w:rPr>
          <w:rFonts w:ascii="Calibri" w:hAnsi="Calibri" w:cs="Calibri"/>
          <w:bCs/>
          <w:color w:val="000000" w:themeColor="text1"/>
          <w:sz w:val="24"/>
        </w:rPr>
        <w:t>、不可抗力：指本基金合同当事人不能预见、不能避免且不能克服的客观事件</w:t>
      </w:r>
    </w:p>
    <w:p w14:paraId="769DE983"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rPr>
        <w:t>65</w:t>
      </w:r>
      <w:r w:rsidRPr="00777BCD">
        <w:rPr>
          <w:rFonts w:ascii="Calibri" w:hAnsi="Calibri" w:cs="Calibri"/>
          <w:bCs/>
          <w:color w:val="000000" w:themeColor="text1"/>
          <w:sz w:val="24"/>
          <w:szCs w:val="24"/>
        </w:rPr>
        <w:t>、中国：指中华人民共和国（仅为基金合同之目的，不包括香港特别行政区、澳门特别行政区及台湾地区）</w:t>
      </w:r>
    </w:p>
    <w:p w14:paraId="231443DF" w14:textId="77777777" w:rsidR="007149DF" w:rsidRPr="00777BCD" w:rsidRDefault="007149DF">
      <w:pPr>
        <w:ind w:firstLine="480"/>
        <w:rPr>
          <w:rFonts w:ascii="Calibri" w:hAnsi="Calibri" w:cs="Calibri"/>
          <w:bCs/>
          <w:color w:val="000000" w:themeColor="text1"/>
          <w:sz w:val="24"/>
        </w:rPr>
      </w:pPr>
    </w:p>
    <w:p w14:paraId="5B7C9076" w14:textId="77777777" w:rsidR="007149DF" w:rsidRPr="00777BCD" w:rsidRDefault="00284640">
      <w:pPr>
        <w:pStyle w:val="11"/>
        <w:spacing w:before="0" w:after="0"/>
        <w:ind w:firstLine="480"/>
        <w:jc w:val="center"/>
        <w:rPr>
          <w:rFonts w:ascii="Calibri" w:hAnsi="Calibri" w:cs="Calibri"/>
          <w:color w:val="000000" w:themeColor="text1"/>
          <w:sz w:val="30"/>
        </w:rPr>
      </w:pPr>
      <w:r w:rsidRPr="00777BCD">
        <w:rPr>
          <w:rFonts w:ascii="Calibri" w:hAnsi="Calibri" w:cs="Calibri"/>
          <w:b w:val="0"/>
          <w:bCs/>
          <w:color w:val="000000" w:themeColor="text1"/>
        </w:rPr>
        <w:br w:type="page"/>
      </w:r>
      <w:bookmarkStart w:id="55" w:name="_Toc733"/>
      <w:bookmarkStart w:id="56" w:name="_Toc6820022"/>
      <w:bookmarkStart w:id="57" w:name="_Toc22708"/>
      <w:bookmarkStart w:id="58" w:name="_Toc6149"/>
      <w:bookmarkStart w:id="59" w:name="_Toc545"/>
      <w:bookmarkStart w:id="60" w:name="_Toc20627"/>
      <w:bookmarkStart w:id="61" w:name="_Toc24571"/>
      <w:bookmarkStart w:id="62" w:name="_Toc18631"/>
      <w:bookmarkStart w:id="63" w:name="_Toc20318"/>
      <w:bookmarkStart w:id="64" w:name="_Toc6683"/>
      <w:bookmarkStart w:id="65" w:name="_Toc13288"/>
      <w:bookmarkStart w:id="66" w:name="_Toc160725901"/>
      <w:bookmarkStart w:id="67" w:name="_Toc233456272"/>
      <w:bookmarkStart w:id="68" w:name="_Toc258829400"/>
      <w:r w:rsidRPr="00777BCD">
        <w:rPr>
          <w:rFonts w:ascii="Calibri" w:hAnsi="Calibri" w:cs="Calibri"/>
          <w:color w:val="000000" w:themeColor="text1"/>
          <w:sz w:val="30"/>
        </w:rPr>
        <w:lastRenderedPageBreak/>
        <w:t>第三部分</w:t>
      </w:r>
      <w:r w:rsidRPr="00777BCD">
        <w:rPr>
          <w:rFonts w:ascii="Calibri" w:hAnsi="Calibri" w:cs="Calibri"/>
          <w:color w:val="000000" w:themeColor="text1"/>
          <w:sz w:val="30"/>
        </w:rPr>
        <w:t xml:space="preserve">  </w:t>
      </w:r>
      <w:r w:rsidRPr="00777BCD">
        <w:rPr>
          <w:rFonts w:ascii="Calibri" w:hAnsi="Calibri" w:cs="Calibri"/>
          <w:color w:val="000000" w:themeColor="text1"/>
          <w:sz w:val="30"/>
        </w:rPr>
        <w:t>基金的基本情况</w:t>
      </w:r>
      <w:bookmarkStart w:id="69" w:name="_Toc79392573"/>
      <w:bookmarkEnd w:id="55"/>
      <w:bookmarkEnd w:id="56"/>
      <w:bookmarkEnd w:id="57"/>
      <w:bookmarkEnd w:id="58"/>
      <w:bookmarkEnd w:id="59"/>
      <w:bookmarkEnd w:id="60"/>
      <w:bookmarkEnd w:id="61"/>
      <w:bookmarkEnd w:id="62"/>
      <w:bookmarkEnd w:id="63"/>
      <w:bookmarkEnd w:id="64"/>
      <w:bookmarkEnd w:id="65"/>
      <w:bookmarkEnd w:id="66"/>
    </w:p>
    <w:p w14:paraId="54BEDF86" w14:textId="77777777" w:rsidR="007149DF" w:rsidRPr="00777BCD" w:rsidRDefault="007149DF">
      <w:pPr>
        <w:ind w:firstLine="480"/>
        <w:rPr>
          <w:rFonts w:ascii="Calibri" w:hAnsi="Calibri" w:cs="Calibri"/>
          <w:bCs/>
          <w:color w:val="000000" w:themeColor="text1"/>
          <w:sz w:val="24"/>
        </w:rPr>
      </w:pPr>
      <w:bookmarkStart w:id="70" w:name="_Hlt88031774"/>
      <w:bookmarkStart w:id="71" w:name="_Hlt88031741"/>
      <w:bookmarkEnd w:id="70"/>
      <w:bookmarkEnd w:id="71"/>
    </w:p>
    <w:p w14:paraId="3991FDA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一、基金名称</w:t>
      </w:r>
      <w:bookmarkEnd w:id="69"/>
    </w:p>
    <w:p w14:paraId="30BCF80A" w14:textId="1838954E"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银河</w:t>
      </w:r>
      <w:r w:rsidR="00B43597">
        <w:rPr>
          <w:rFonts w:ascii="Calibri" w:hAnsi="Calibri" w:cs="Calibri"/>
          <w:bCs/>
          <w:color w:val="000000" w:themeColor="text1"/>
          <w:sz w:val="24"/>
        </w:rPr>
        <w:t>ESG</w:t>
      </w:r>
      <w:r w:rsidR="00B43597">
        <w:rPr>
          <w:rFonts w:ascii="Calibri" w:hAnsi="Calibri" w:cs="Calibri"/>
          <w:bCs/>
          <w:color w:val="000000" w:themeColor="text1"/>
          <w:sz w:val="24"/>
        </w:rPr>
        <w:t>主题</w:t>
      </w:r>
      <w:r w:rsidRPr="00777BCD">
        <w:rPr>
          <w:rFonts w:ascii="Calibri" w:hAnsi="Calibri" w:cs="Calibri"/>
          <w:bCs/>
          <w:color w:val="000000" w:themeColor="text1"/>
          <w:sz w:val="24"/>
        </w:rPr>
        <w:t>混合型发起式证券投资基金</w:t>
      </w:r>
    </w:p>
    <w:p w14:paraId="5C846196" w14:textId="77777777" w:rsidR="007149DF" w:rsidRPr="00777BCD" w:rsidRDefault="007149DF">
      <w:pPr>
        <w:ind w:firstLine="480"/>
        <w:rPr>
          <w:rFonts w:ascii="Calibri" w:hAnsi="Calibri" w:cs="Calibri"/>
          <w:bCs/>
          <w:color w:val="000000" w:themeColor="text1"/>
          <w:sz w:val="24"/>
        </w:rPr>
      </w:pPr>
    </w:p>
    <w:p w14:paraId="5DA09C0B" w14:textId="77777777" w:rsidR="007149DF" w:rsidRPr="00777BCD" w:rsidRDefault="00284640">
      <w:pPr>
        <w:ind w:firstLine="480"/>
        <w:rPr>
          <w:rFonts w:ascii="Calibri" w:hAnsi="Calibri" w:cs="Calibri"/>
          <w:bCs/>
          <w:color w:val="000000" w:themeColor="text1"/>
          <w:sz w:val="24"/>
        </w:rPr>
      </w:pPr>
      <w:bookmarkStart w:id="72" w:name="_Toc79392574"/>
      <w:r w:rsidRPr="00777BCD">
        <w:rPr>
          <w:rFonts w:ascii="Calibri" w:hAnsi="Calibri" w:cs="Calibri"/>
          <w:bCs/>
          <w:color w:val="000000" w:themeColor="text1"/>
          <w:sz w:val="24"/>
        </w:rPr>
        <w:t>二、基金的类别</w:t>
      </w:r>
      <w:bookmarkEnd w:id="72"/>
    </w:p>
    <w:p w14:paraId="758F490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混合型发起式证券投资基金</w:t>
      </w:r>
    </w:p>
    <w:p w14:paraId="14F28FFB" w14:textId="77777777" w:rsidR="007149DF" w:rsidRPr="00777BCD" w:rsidRDefault="007149DF">
      <w:pPr>
        <w:ind w:firstLine="480"/>
        <w:rPr>
          <w:rFonts w:ascii="Calibri" w:hAnsi="Calibri" w:cs="Calibri"/>
          <w:bCs/>
          <w:color w:val="000000" w:themeColor="text1"/>
          <w:sz w:val="24"/>
        </w:rPr>
      </w:pPr>
    </w:p>
    <w:p w14:paraId="388A4742" w14:textId="77777777" w:rsidR="007149DF" w:rsidRPr="00777BCD" w:rsidRDefault="00284640">
      <w:pPr>
        <w:ind w:firstLine="480"/>
        <w:rPr>
          <w:rFonts w:ascii="Calibri" w:hAnsi="Calibri" w:cs="Calibri"/>
          <w:bCs/>
          <w:color w:val="000000" w:themeColor="text1"/>
          <w:sz w:val="24"/>
        </w:rPr>
      </w:pPr>
      <w:bookmarkStart w:id="73" w:name="_Toc79392575"/>
      <w:r w:rsidRPr="00777BCD">
        <w:rPr>
          <w:rFonts w:ascii="Calibri" w:hAnsi="Calibri" w:cs="Calibri"/>
          <w:bCs/>
          <w:color w:val="000000" w:themeColor="text1"/>
          <w:sz w:val="24"/>
        </w:rPr>
        <w:t>三、基金的运作方式</w:t>
      </w:r>
    </w:p>
    <w:p w14:paraId="2BDC75D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契约型开放式</w:t>
      </w:r>
    </w:p>
    <w:p w14:paraId="43A24C51" w14:textId="77777777" w:rsidR="007149DF" w:rsidRPr="00777BCD" w:rsidRDefault="007149DF">
      <w:pPr>
        <w:ind w:firstLine="480"/>
        <w:rPr>
          <w:rFonts w:ascii="Calibri" w:hAnsi="Calibri" w:cs="Calibri"/>
          <w:bCs/>
          <w:color w:val="000000" w:themeColor="text1"/>
          <w:sz w:val="24"/>
        </w:rPr>
      </w:pPr>
    </w:p>
    <w:p w14:paraId="44569FA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四、基金的投资目标</w:t>
      </w:r>
      <w:bookmarkEnd w:id="73"/>
    </w:p>
    <w:p w14:paraId="4A36EC62" w14:textId="0872825E" w:rsidR="007149DF" w:rsidRPr="00777BCD" w:rsidRDefault="00284640">
      <w:pPr>
        <w:ind w:firstLine="480"/>
        <w:rPr>
          <w:rFonts w:ascii="Calibri" w:hAnsi="Calibri" w:cs="Calibri"/>
          <w:bCs/>
          <w:color w:val="000000" w:themeColor="text1"/>
          <w:sz w:val="24"/>
          <w:szCs w:val="21"/>
        </w:rPr>
      </w:pPr>
      <w:bookmarkStart w:id="74" w:name="_Hlk28037462"/>
      <w:bookmarkStart w:id="75" w:name="_Toc79392576"/>
      <w:r w:rsidRPr="00777BCD">
        <w:rPr>
          <w:rFonts w:ascii="Calibri" w:hAnsi="Calibri" w:cs="Calibri"/>
          <w:bCs/>
          <w:color w:val="000000" w:themeColor="text1"/>
          <w:sz w:val="24"/>
          <w:szCs w:val="21"/>
        </w:rPr>
        <w:t>本基金秉持</w:t>
      </w:r>
      <w:r w:rsidR="00B43597">
        <w:rPr>
          <w:rFonts w:ascii="Calibri" w:hAnsi="Calibri" w:cs="Calibri"/>
          <w:bCs/>
          <w:color w:val="000000" w:themeColor="text1"/>
          <w:sz w:val="24"/>
          <w:szCs w:val="21"/>
        </w:rPr>
        <w:t>ESG</w:t>
      </w:r>
      <w:r w:rsidR="00B43597">
        <w:rPr>
          <w:rFonts w:ascii="Calibri" w:hAnsi="Calibri" w:cs="Calibri"/>
          <w:bCs/>
          <w:color w:val="000000" w:themeColor="text1"/>
          <w:sz w:val="24"/>
          <w:szCs w:val="21"/>
        </w:rPr>
        <w:t>主题</w:t>
      </w:r>
      <w:r w:rsidR="00FE4684">
        <w:rPr>
          <w:rFonts w:ascii="Calibri" w:hAnsi="Calibri" w:cs="Calibri" w:hint="eastAsia"/>
          <w:bCs/>
          <w:color w:val="000000" w:themeColor="text1"/>
          <w:sz w:val="24"/>
          <w:szCs w:val="21"/>
        </w:rPr>
        <w:t>投资</w:t>
      </w:r>
      <w:r w:rsidRPr="00777BCD">
        <w:rPr>
          <w:rFonts w:ascii="Calibri" w:hAnsi="Calibri" w:cs="Calibri"/>
          <w:bCs/>
          <w:color w:val="000000" w:themeColor="text1"/>
          <w:sz w:val="24"/>
          <w:szCs w:val="21"/>
        </w:rPr>
        <w:t>理念，在保持资产流动性以及控制风险的基础上，通过积极主动的投资管理，追求基金资产的长期稳健增值。</w:t>
      </w:r>
    </w:p>
    <w:bookmarkEnd w:id="74"/>
    <w:p w14:paraId="38173FF9" w14:textId="77777777" w:rsidR="007149DF" w:rsidRPr="00FE4684" w:rsidRDefault="007149DF">
      <w:pPr>
        <w:pStyle w:val="a9"/>
        <w:rPr>
          <w:rFonts w:ascii="Calibri" w:hAnsi="Calibri" w:cs="Calibri"/>
        </w:rPr>
      </w:pPr>
    </w:p>
    <w:p w14:paraId="6EFDFB2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五、基金的最低募集金额</w:t>
      </w:r>
    </w:p>
    <w:p w14:paraId="20994D95" w14:textId="29CDD0A2" w:rsidR="007149DF" w:rsidRPr="00777BCD" w:rsidRDefault="00284640">
      <w:pPr>
        <w:adjustRightInd w:val="0"/>
        <w:snapToGrid w:val="0"/>
        <w:ind w:firstLineChars="200" w:firstLine="480"/>
        <w:rPr>
          <w:rFonts w:ascii="Calibri" w:hAnsi="Calibri" w:cs="Calibri"/>
          <w:bCs/>
          <w:sz w:val="24"/>
        </w:rPr>
      </w:pPr>
      <w:r w:rsidRPr="00777BCD">
        <w:rPr>
          <w:rFonts w:ascii="Calibri" w:hAnsi="Calibri" w:cs="Calibri"/>
          <w:bCs/>
          <w:sz w:val="24"/>
        </w:rPr>
        <w:t>本基金为发起式基金，发起资金提供方使用发起资金认购本基金的金额不少于</w:t>
      </w:r>
      <w:r w:rsidRPr="00777BCD">
        <w:rPr>
          <w:rFonts w:ascii="Calibri" w:hAnsi="Calibri" w:cs="Calibri"/>
          <w:bCs/>
          <w:sz w:val="24"/>
        </w:rPr>
        <w:t>1000</w:t>
      </w:r>
      <w:r w:rsidRPr="00777BCD">
        <w:rPr>
          <w:rFonts w:ascii="Calibri" w:hAnsi="Calibri" w:cs="Calibri"/>
          <w:bCs/>
          <w:sz w:val="24"/>
        </w:rPr>
        <w:t>万元，且持有期限不少于</w:t>
      </w:r>
      <w:r w:rsidRPr="00777BCD">
        <w:rPr>
          <w:rFonts w:ascii="Calibri" w:hAnsi="Calibri" w:cs="Calibri"/>
          <w:bCs/>
          <w:sz w:val="24"/>
        </w:rPr>
        <w:t>3</w:t>
      </w:r>
      <w:r w:rsidRPr="00777BCD">
        <w:rPr>
          <w:rFonts w:ascii="Calibri" w:hAnsi="Calibri" w:cs="Calibri"/>
          <w:bCs/>
          <w:sz w:val="24"/>
        </w:rPr>
        <w:t>年。</w:t>
      </w:r>
    </w:p>
    <w:bookmarkEnd w:id="75"/>
    <w:p w14:paraId="34420002" w14:textId="77777777" w:rsidR="007149DF" w:rsidRPr="00777BCD" w:rsidRDefault="007149DF">
      <w:pPr>
        <w:ind w:firstLine="480"/>
        <w:rPr>
          <w:rFonts w:ascii="Calibri" w:hAnsi="Calibri" w:cs="Calibri"/>
          <w:bCs/>
          <w:color w:val="000000" w:themeColor="text1"/>
          <w:sz w:val="24"/>
        </w:rPr>
      </w:pPr>
    </w:p>
    <w:p w14:paraId="63070D03" w14:textId="77777777" w:rsidR="007149DF" w:rsidRPr="00777BCD" w:rsidRDefault="00284640">
      <w:pPr>
        <w:ind w:firstLineChars="200" w:firstLine="480"/>
        <w:rPr>
          <w:rFonts w:ascii="Calibri" w:hAnsi="Calibri" w:cs="Calibri"/>
          <w:bCs/>
          <w:sz w:val="24"/>
        </w:rPr>
      </w:pPr>
      <w:bookmarkStart w:id="76" w:name="_Toc79392577"/>
      <w:r w:rsidRPr="00777BCD">
        <w:rPr>
          <w:rFonts w:ascii="Calibri" w:hAnsi="Calibri" w:cs="Calibri"/>
          <w:bCs/>
          <w:sz w:val="24"/>
        </w:rPr>
        <w:t>六、发起资金的来源</w:t>
      </w:r>
    </w:p>
    <w:p w14:paraId="208B2673" w14:textId="16CEBD95" w:rsidR="007149DF" w:rsidRPr="00777BCD" w:rsidRDefault="00284640">
      <w:pPr>
        <w:ind w:firstLineChars="200" w:firstLine="480"/>
        <w:rPr>
          <w:rFonts w:ascii="Calibri" w:hAnsi="Calibri" w:cs="Calibri"/>
          <w:bCs/>
          <w:sz w:val="24"/>
        </w:rPr>
      </w:pPr>
      <w:r w:rsidRPr="00777BCD">
        <w:rPr>
          <w:rFonts w:ascii="Calibri" w:hAnsi="Calibri" w:cs="Calibri"/>
          <w:bCs/>
          <w:sz w:val="24"/>
        </w:rPr>
        <w:t>发起资金来自于基金管理</w:t>
      </w:r>
      <w:proofErr w:type="gramStart"/>
      <w:r w:rsidRPr="00777BCD">
        <w:rPr>
          <w:rFonts w:ascii="Calibri" w:hAnsi="Calibri" w:cs="Calibri"/>
          <w:bCs/>
          <w:sz w:val="24"/>
        </w:rPr>
        <w:t>人股东</w:t>
      </w:r>
      <w:proofErr w:type="gramEnd"/>
      <w:r w:rsidRPr="00777BCD">
        <w:rPr>
          <w:rFonts w:ascii="Calibri" w:hAnsi="Calibri" w:cs="Calibri"/>
          <w:bCs/>
          <w:sz w:val="24"/>
        </w:rPr>
        <w:t>资金、基金管理人固有资金、基金管理人高级管理人员或基金经理等人员的资金。发起资金认购本基金的金额不低于</w:t>
      </w:r>
      <w:r w:rsidRPr="00777BCD">
        <w:rPr>
          <w:rFonts w:ascii="Calibri" w:hAnsi="Calibri" w:cs="Calibri"/>
          <w:bCs/>
          <w:sz w:val="24"/>
        </w:rPr>
        <w:t>1000</w:t>
      </w:r>
      <w:r w:rsidRPr="00777BCD">
        <w:rPr>
          <w:rFonts w:ascii="Calibri" w:hAnsi="Calibri" w:cs="Calibri"/>
          <w:bCs/>
          <w:sz w:val="24"/>
        </w:rPr>
        <w:t>万元，且持有期限不</w:t>
      </w:r>
      <w:r w:rsidR="00837A08" w:rsidRPr="00777BCD">
        <w:rPr>
          <w:rFonts w:ascii="Calibri" w:hAnsi="Calibri" w:cs="Calibri"/>
          <w:bCs/>
          <w:sz w:val="24"/>
        </w:rPr>
        <w:t>少</w:t>
      </w:r>
      <w:r w:rsidRPr="00777BCD">
        <w:rPr>
          <w:rFonts w:ascii="Calibri" w:hAnsi="Calibri" w:cs="Calibri"/>
          <w:bCs/>
          <w:sz w:val="24"/>
        </w:rPr>
        <w:t>于三年。</w:t>
      </w:r>
      <w:bookmarkStart w:id="77" w:name="_Hlk160483883"/>
      <w:r w:rsidRPr="00777BCD">
        <w:rPr>
          <w:rFonts w:ascii="Calibri" w:hAnsi="Calibri" w:cs="Calibri"/>
          <w:bCs/>
          <w:sz w:val="24"/>
        </w:rPr>
        <w:t>认购基金份额的高级管理人员或基金经理等人员在上述期限内离职的，其持有期限的承诺不受影响。</w:t>
      </w:r>
    </w:p>
    <w:p w14:paraId="154ED502" w14:textId="77777777" w:rsidR="007149DF" w:rsidRPr="00777BCD" w:rsidRDefault="00284640">
      <w:pPr>
        <w:ind w:firstLine="480"/>
        <w:rPr>
          <w:rFonts w:ascii="Calibri" w:hAnsi="Calibri" w:cs="Calibri"/>
          <w:bCs/>
          <w:sz w:val="24"/>
        </w:rPr>
      </w:pPr>
      <w:r w:rsidRPr="00777BCD">
        <w:rPr>
          <w:rFonts w:ascii="Calibri" w:hAnsi="Calibri" w:cs="Calibri"/>
          <w:bCs/>
          <w:sz w:val="24"/>
        </w:rPr>
        <w:t>法律法规或监管机构另有规定的，从其规定。</w:t>
      </w:r>
      <w:bookmarkEnd w:id="77"/>
    </w:p>
    <w:p w14:paraId="0C4E6F4B" w14:textId="77777777" w:rsidR="007149DF" w:rsidRPr="00777BCD" w:rsidRDefault="007149DF">
      <w:pPr>
        <w:ind w:firstLine="480"/>
        <w:rPr>
          <w:rFonts w:ascii="Calibri" w:hAnsi="Calibri" w:cs="Calibri"/>
          <w:bCs/>
          <w:color w:val="000000" w:themeColor="text1"/>
          <w:sz w:val="24"/>
        </w:rPr>
      </w:pPr>
    </w:p>
    <w:p w14:paraId="3810414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七、基金份额初始面值</w:t>
      </w:r>
      <w:bookmarkEnd w:id="76"/>
      <w:r w:rsidRPr="00777BCD">
        <w:rPr>
          <w:rFonts w:ascii="Calibri" w:hAnsi="Calibri" w:cs="Calibri"/>
          <w:bCs/>
          <w:color w:val="000000" w:themeColor="text1"/>
          <w:sz w:val="24"/>
        </w:rPr>
        <w:t>和认购费用</w:t>
      </w:r>
    </w:p>
    <w:p w14:paraId="62A4062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本</w:t>
      </w:r>
      <w:proofErr w:type="gramStart"/>
      <w:r w:rsidRPr="00777BCD">
        <w:rPr>
          <w:rFonts w:ascii="Calibri" w:hAnsi="Calibri" w:cs="Calibri"/>
          <w:bCs/>
          <w:color w:val="000000" w:themeColor="text1"/>
          <w:sz w:val="24"/>
        </w:rPr>
        <w:t>基金基金</w:t>
      </w:r>
      <w:proofErr w:type="gramEnd"/>
      <w:r w:rsidRPr="00777BCD">
        <w:rPr>
          <w:rFonts w:ascii="Calibri" w:hAnsi="Calibri" w:cs="Calibri"/>
          <w:bCs/>
          <w:color w:val="000000" w:themeColor="text1"/>
          <w:sz w:val="24"/>
        </w:rPr>
        <w:t>份额初始面值为人民币</w:t>
      </w:r>
      <w:r w:rsidRPr="00777BCD">
        <w:rPr>
          <w:rFonts w:ascii="Calibri" w:hAnsi="Calibri" w:cs="Calibri"/>
          <w:bCs/>
          <w:color w:val="000000" w:themeColor="text1"/>
          <w:sz w:val="24"/>
        </w:rPr>
        <w:t>1.00</w:t>
      </w:r>
      <w:r w:rsidRPr="00777BCD">
        <w:rPr>
          <w:rFonts w:ascii="Calibri" w:hAnsi="Calibri" w:cs="Calibri"/>
          <w:bCs/>
          <w:color w:val="000000" w:themeColor="text1"/>
          <w:sz w:val="24"/>
        </w:rPr>
        <w:t>元，按初始面值发售。</w:t>
      </w:r>
    </w:p>
    <w:p w14:paraId="498CA7B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本基金</w:t>
      </w:r>
      <w:r w:rsidRPr="00777BCD">
        <w:rPr>
          <w:rFonts w:ascii="Calibri" w:hAnsi="Calibri" w:cs="Calibri"/>
          <w:bCs/>
          <w:color w:val="000000" w:themeColor="text1"/>
          <w:sz w:val="24"/>
        </w:rPr>
        <w:t>A</w:t>
      </w:r>
      <w:r w:rsidRPr="00777BCD">
        <w:rPr>
          <w:rFonts w:ascii="Calibri" w:hAnsi="Calibri" w:cs="Calibri"/>
          <w:bCs/>
          <w:color w:val="000000" w:themeColor="text1"/>
          <w:sz w:val="24"/>
        </w:rPr>
        <w:t>类基金份额的认购费率按招募说明书及基金产品资料概要的规定执行；</w:t>
      </w:r>
      <w:r w:rsidRPr="00777BCD">
        <w:rPr>
          <w:rFonts w:ascii="Calibri" w:hAnsi="Calibri" w:cs="Calibri"/>
          <w:bCs/>
          <w:color w:val="000000" w:themeColor="text1"/>
          <w:sz w:val="24"/>
        </w:rPr>
        <w:t>C</w:t>
      </w:r>
      <w:r w:rsidRPr="00777BCD">
        <w:rPr>
          <w:rFonts w:ascii="Calibri" w:hAnsi="Calibri" w:cs="Calibri"/>
          <w:bCs/>
          <w:color w:val="000000" w:themeColor="text1"/>
          <w:sz w:val="24"/>
        </w:rPr>
        <w:t>类基金份额不收取认购费。</w:t>
      </w:r>
    </w:p>
    <w:p w14:paraId="340BBF86" w14:textId="77777777" w:rsidR="007149DF" w:rsidRPr="00777BCD" w:rsidRDefault="007149DF">
      <w:pPr>
        <w:ind w:firstLine="480"/>
        <w:rPr>
          <w:rFonts w:ascii="Calibri" w:hAnsi="Calibri" w:cs="Calibri"/>
          <w:bCs/>
          <w:color w:val="000000" w:themeColor="text1"/>
          <w:sz w:val="24"/>
        </w:rPr>
      </w:pPr>
    </w:p>
    <w:p w14:paraId="41BF448E" w14:textId="7A67742B" w:rsidR="007149DF" w:rsidRPr="00777BCD" w:rsidRDefault="00D305A4">
      <w:pPr>
        <w:ind w:firstLine="480"/>
        <w:rPr>
          <w:rFonts w:ascii="Calibri" w:hAnsi="Calibri" w:cs="Calibri"/>
          <w:bCs/>
          <w:color w:val="000000" w:themeColor="text1"/>
          <w:sz w:val="24"/>
        </w:rPr>
      </w:pPr>
      <w:bookmarkStart w:id="78" w:name="_Toc79392578"/>
      <w:r>
        <w:rPr>
          <w:rFonts w:ascii="Calibri" w:hAnsi="Calibri" w:cs="Calibri" w:hint="eastAsia"/>
          <w:bCs/>
          <w:color w:val="000000" w:themeColor="text1"/>
          <w:sz w:val="24"/>
        </w:rPr>
        <w:t>八</w:t>
      </w:r>
      <w:r w:rsidR="00284640" w:rsidRPr="00777BCD">
        <w:rPr>
          <w:rFonts w:ascii="Calibri" w:hAnsi="Calibri" w:cs="Calibri"/>
          <w:bCs/>
          <w:color w:val="000000" w:themeColor="text1"/>
          <w:sz w:val="24"/>
        </w:rPr>
        <w:t>、基金存续期限</w:t>
      </w:r>
      <w:bookmarkEnd w:id="78"/>
    </w:p>
    <w:p w14:paraId="61B5E35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不定期</w:t>
      </w:r>
    </w:p>
    <w:p w14:paraId="19E03038" w14:textId="77777777" w:rsidR="007149DF" w:rsidRPr="00777BCD" w:rsidRDefault="007149DF">
      <w:pPr>
        <w:ind w:firstLine="480"/>
        <w:rPr>
          <w:rFonts w:ascii="Calibri" w:hAnsi="Calibri" w:cs="Calibri"/>
          <w:bCs/>
          <w:color w:val="000000" w:themeColor="text1"/>
          <w:sz w:val="24"/>
        </w:rPr>
      </w:pPr>
    </w:p>
    <w:p w14:paraId="48A6881E" w14:textId="31F10DEC" w:rsidR="007149DF" w:rsidRPr="00777BCD" w:rsidRDefault="00D305A4">
      <w:pPr>
        <w:ind w:firstLine="480"/>
        <w:rPr>
          <w:rFonts w:ascii="Calibri" w:hAnsi="Calibri" w:cs="Calibri"/>
          <w:color w:val="000000" w:themeColor="text1"/>
          <w:sz w:val="24"/>
        </w:rPr>
      </w:pPr>
      <w:r>
        <w:rPr>
          <w:rFonts w:ascii="Calibri" w:hAnsi="Calibri" w:cs="Calibri" w:hint="eastAsia"/>
          <w:bCs/>
          <w:color w:val="000000" w:themeColor="text1"/>
          <w:sz w:val="24"/>
        </w:rPr>
        <w:t>九</w:t>
      </w:r>
      <w:r w:rsidR="00284640" w:rsidRPr="00777BCD">
        <w:rPr>
          <w:rFonts w:ascii="Calibri" w:hAnsi="Calibri" w:cs="Calibri"/>
          <w:bCs/>
          <w:color w:val="000000" w:themeColor="text1"/>
          <w:sz w:val="24"/>
        </w:rPr>
        <w:t>、</w:t>
      </w:r>
      <w:r w:rsidR="00284640" w:rsidRPr="00777BCD">
        <w:rPr>
          <w:rFonts w:ascii="Calibri" w:hAnsi="Calibri" w:cs="Calibri"/>
          <w:color w:val="000000" w:themeColor="text1"/>
          <w:sz w:val="24"/>
        </w:rPr>
        <w:t>基金份额的类别</w:t>
      </w:r>
    </w:p>
    <w:p w14:paraId="37C0D47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本基金将基金份额分为不同的类别。其中：</w:t>
      </w:r>
    </w:p>
    <w:p w14:paraId="7BA2E251" w14:textId="144BB9D3"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、在投资人认购</w:t>
      </w:r>
      <w:r w:rsidRPr="00777BCD">
        <w:rPr>
          <w:rFonts w:ascii="Calibri" w:hAnsi="Calibri" w:cs="Calibri"/>
          <w:bCs/>
          <w:color w:val="000000" w:themeColor="text1"/>
          <w:sz w:val="24"/>
        </w:rPr>
        <w:t>/</w:t>
      </w:r>
      <w:r w:rsidRPr="00777BCD">
        <w:rPr>
          <w:rFonts w:ascii="Calibri" w:hAnsi="Calibri" w:cs="Calibri"/>
          <w:bCs/>
          <w:color w:val="000000" w:themeColor="text1"/>
          <w:sz w:val="24"/>
        </w:rPr>
        <w:t>申购基金时收取认购</w:t>
      </w:r>
      <w:r w:rsidRPr="00777BCD">
        <w:rPr>
          <w:rFonts w:ascii="Calibri" w:hAnsi="Calibri" w:cs="Calibri"/>
          <w:bCs/>
          <w:color w:val="000000" w:themeColor="text1"/>
          <w:sz w:val="24"/>
        </w:rPr>
        <w:t>/</w:t>
      </w:r>
      <w:r w:rsidRPr="00777BCD">
        <w:rPr>
          <w:rFonts w:ascii="Calibri" w:hAnsi="Calibri" w:cs="Calibri"/>
          <w:bCs/>
          <w:color w:val="000000" w:themeColor="text1"/>
          <w:sz w:val="24"/>
        </w:rPr>
        <w:t>申购费用，在赎回时根据持有期限收取赎回费用，并不再从本类别基金</w:t>
      </w:r>
      <w:r w:rsidR="00E03BC9" w:rsidRPr="00777BCD">
        <w:rPr>
          <w:rFonts w:ascii="Calibri" w:hAnsi="Calibri" w:cs="Calibri"/>
          <w:bCs/>
          <w:color w:val="000000" w:themeColor="text1"/>
          <w:sz w:val="24"/>
        </w:rPr>
        <w:t>财</w:t>
      </w:r>
      <w:r w:rsidRPr="00777BCD">
        <w:rPr>
          <w:rFonts w:ascii="Calibri" w:hAnsi="Calibri" w:cs="Calibri"/>
          <w:bCs/>
          <w:color w:val="000000" w:themeColor="text1"/>
          <w:sz w:val="24"/>
        </w:rPr>
        <w:t>产中计</w:t>
      </w:r>
      <w:proofErr w:type="gramStart"/>
      <w:r w:rsidRPr="00777BCD">
        <w:rPr>
          <w:rFonts w:ascii="Calibri" w:hAnsi="Calibri" w:cs="Calibri"/>
          <w:bCs/>
          <w:color w:val="000000" w:themeColor="text1"/>
          <w:sz w:val="24"/>
        </w:rPr>
        <w:t>提销售</w:t>
      </w:r>
      <w:proofErr w:type="gramEnd"/>
      <w:r w:rsidRPr="00777BCD">
        <w:rPr>
          <w:rFonts w:ascii="Calibri" w:hAnsi="Calibri" w:cs="Calibri"/>
          <w:bCs/>
          <w:color w:val="000000" w:themeColor="text1"/>
          <w:sz w:val="24"/>
        </w:rPr>
        <w:t>服务费的基金份额，称为</w:t>
      </w:r>
      <w:r w:rsidRPr="00777BCD">
        <w:rPr>
          <w:rFonts w:ascii="Calibri" w:hAnsi="Calibri" w:cs="Calibri"/>
          <w:bCs/>
          <w:color w:val="000000" w:themeColor="text1"/>
          <w:sz w:val="24"/>
        </w:rPr>
        <w:t>A</w:t>
      </w:r>
      <w:r w:rsidRPr="00777BCD">
        <w:rPr>
          <w:rFonts w:ascii="Calibri" w:hAnsi="Calibri" w:cs="Calibri"/>
          <w:bCs/>
          <w:color w:val="000000" w:themeColor="text1"/>
          <w:sz w:val="24"/>
        </w:rPr>
        <w:t>类基金份额。</w:t>
      </w:r>
    </w:p>
    <w:p w14:paraId="32D13384" w14:textId="38248C13"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、在投资人认购</w:t>
      </w:r>
      <w:r w:rsidRPr="00777BCD">
        <w:rPr>
          <w:rFonts w:ascii="Calibri" w:hAnsi="Calibri" w:cs="Calibri"/>
          <w:bCs/>
          <w:color w:val="000000" w:themeColor="text1"/>
          <w:sz w:val="24"/>
        </w:rPr>
        <w:t>/</w:t>
      </w:r>
      <w:r w:rsidRPr="00777BCD">
        <w:rPr>
          <w:rFonts w:ascii="Calibri" w:hAnsi="Calibri" w:cs="Calibri"/>
          <w:bCs/>
          <w:color w:val="000000" w:themeColor="text1"/>
          <w:sz w:val="24"/>
        </w:rPr>
        <w:t>申购基金时不收取认购</w:t>
      </w:r>
      <w:r w:rsidRPr="00777BCD">
        <w:rPr>
          <w:rFonts w:ascii="Calibri" w:hAnsi="Calibri" w:cs="Calibri"/>
          <w:bCs/>
          <w:color w:val="000000" w:themeColor="text1"/>
          <w:sz w:val="24"/>
        </w:rPr>
        <w:t>/</w:t>
      </w:r>
      <w:r w:rsidRPr="00777BCD">
        <w:rPr>
          <w:rFonts w:ascii="Calibri" w:hAnsi="Calibri" w:cs="Calibri"/>
          <w:bCs/>
          <w:color w:val="000000" w:themeColor="text1"/>
          <w:sz w:val="24"/>
        </w:rPr>
        <w:t>申购费用，而是从本类别基金</w:t>
      </w:r>
      <w:r w:rsidR="00E03BC9" w:rsidRPr="00777BCD">
        <w:rPr>
          <w:rFonts w:ascii="Calibri" w:hAnsi="Calibri" w:cs="Calibri"/>
          <w:bCs/>
          <w:color w:val="000000" w:themeColor="text1"/>
          <w:sz w:val="24"/>
        </w:rPr>
        <w:t>财</w:t>
      </w:r>
      <w:r w:rsidRPr="00777BCD">
        <w:rPr>
          <w:rFonts w:ascii="Calibri" w:hAnsi="Calibri" w:cs="Calibri"/>
          <w:bCs/>
          <w:color w:val="000000" w:themeColor="text1"/>
          <w:sz w:val="24"/>
        </w:rPr>
        <w:t>产中计</w:t>
      </w:r>
      <w:proofErr w:type="gramStart"/>
      <w:r w:rsidRPr="00777BCD">
        <w:rPr>
          <w:rFonts w:ascii="Calibri" w:hAnsi="Calibri" w:cs="Calibri"/>
          <w:bCs/>
          <w:color w:val="000000" w:themeColor="text1"/>
          <w:sz w:val="24"/>
        </w:rPr>
        <w:t>提销售</w:t>
      </w:r>
      <w:proofErr w:type="gramEnd"/>
      <w:r w:rsidRPr="00777BCD">
        <w:rPr>
          <w:rFonts w:ascii="Calibri" w:hAnsi="Calibri" w:cs="Calibri"/>
          <w:bCs/>
          <w:color w:val="000000" w:themeColor="text1"/>
          <w:sz w:val="24"/>
        </w:rPr>
        <w:t>服务费，在赎回时根据持有期限收取赎回费用的基金份额，称为</w:t>
      </w:r>
      <w:r w:rsidRPr="00777BCD">
        <w:rPr>
          <w:rFonts w:ascii="Calibri" w:hAnsi="Calibri" w:cs="Calibri"/>
          <w:bCs/>
          <w:color w:val="000000" w:themeColor="text1"/>
          <w:sz w:val="24"/>
        </w:rPr>
        <w:t>C</w:t>
      </w:r>
      <w:r w:rsidRPr="00777BCD">
        <w:rPr>
          <w:rFonts w:ascii="Calibri" w:hAnsi="Calibri" w:cs="Calibri"/>
          <w:bCs/>
          <w:color w:val="000000" w:themeColor="text1"/>
          <w:sz w:val="24"/>
        </w:rPr>
        <w:t>类基金份额。</w:t>
      </w:r>
    </w:p>
    <w:p w14:paraId="1EB20C9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本基金</w:t>
      </w:r>
      <w:r w:rsidRPr="00777BCD">
        <w:rPr>
          <w:rFonts w:ascii="Calibri" w:hAnsi="Calibri" w:cs="Calibri"/>
          <w:bCs/>
          <w:color w:val="000000" w:themeColor="text1"/>
          <w:sz w:val="24"/>
        </w:rPr>
        <w:t>A</w:t>
      </w:r>
      <w:r w:rsidRPr="00777BCD">
        <w:rPr>
          <w:rFonts w:ascii="Calibri" w:hAnsi="Calibri" w:cs="Calibri"/>
          <w:bCs/>
          <w:color w:val="000000" w:themeColor="text1"/>
          <w:sz w:val="24"/>
        </w:rPr>
        <w:t>类、</w:t>
      </w:r>
      <w:r w:rsidRPr="00777BCD">
        <w:rPr>
          <w:rFonts w:ascii="Calibri" w:hAnsi="Calibri" w:cs="Calibri"/>
          <w:bCs/>
          <w:color w:val="000000" w:themeColor="text1"/>
          <w:sz w:val="24"/>
        </w:rPr>
        <w:t>C</w:t>
      </w:r>
      <w:r w:rsidRPr="00777BCD">
        <w:rPr>
          <w:rFonts w:ascii="Calibri" w:hAnsi="Calibri" w:cs="Calibri"/>
          <w:bCs/>
          <w:color w:val="000000" w:themeColor="text1"/>
          <w:sz w:val="24"/>
        </w:rPr>
        <w:t>类基金份额分别设置基金代码。由于基金费用的不同，本基金</w:t>
      </w:r>
      <w:r w:rsidRPr="00777BCD">
        <w:rPr>
          <w:rFonts w:ascii="Calibri" w:hAnsi="Calibri" w:cs="Calibri"/>
          <w:bCs/>
          <w:color w:val="000000" w:themeColor="text1"/>
          <w:sz w:val="24"/>
        </w:rPr>
        <w:t>A</w:t>
      </w:r>
      <w:r w:rsidRPr="00777BCD">
        <w:rPr>
          <w:rFonts w:ascii="Calibri" w:hAnsi="Calibri" w:cs="Calibri"/>
          <w:bCs/>
          <w:color w:val="000000" w:themeColor="text1"/>
          <w:sz w:val="24"/>
        </w:rPr>
        <w:t>类、</w:t>
      </w:r>
      <w:r w:rsidRPr="00777BCD">
        <w:rPr>
          <w:rFonts w:ascii="Calibri" w:hAnsi="Calibri" w:cs="Calibri"/>
          <w:bCs/>
          <w:color w:val="000000" w:themeColor="text1"/>
          <w:sz w:val="24"/>
        </w:rPr>
        <w:t>C</w:t>
      </w:r>
      <w:r w:rsidRPr="00777BCD">
        <w:rPr>
          <w:rFonts w:ascii="Calibri" w:hAnsi="Calibri" w:cs="Calibri"/>
          <w:bCs/>
          <w:color w:val="000000" w:themeColor="text1"/>
          <w:sz w:val="24"/>
        </w:rPr>
        <w:t>类基金份额将分别计算并公布基金份额净值和基金份额累计净值。</w:t>
      </w:r>
    </w:p>
    <w:p w14:paraId="2F9AF60C" w14:textId="77777777" w:rsidR="007149DF" w:rsidRPr="00777BCD" w:rsidRDefault="00284640">
      <w:pPr>
        <w:ind w:firstLine="482"/>
        <w:rPr>
          <w:rFonts w:ascii="Calibri" w:hAnsi="Calibri" w:cs="Calibri"/>
          <w:bCs/>
          <w:color w:val="000000" w:themeColor="text1"/>
        </w:rPr>
      </w:pPr>
      <w:r w:rsidRPr="00777BCD">
        <w:rPr>
          <w:rFonts w:ascii="Calibri" w:hAnsi="Calibri" w:cs="Calibri"/>
          <w:bCs/>
          <w:color w:val="000000" w:themeColor="text1"/>
          <w:sz w:val="24"/>
        </w:rPr>
        <w:t>有关基金份额类别的具体设置、费率水平等由基金管理人确定，并在招募说明书中公告。基金管理人可在法律法规和基金合同规定的范围内，且在不损害基金份额持有人利益以及不提高现有基金份额持有人适用费率的情况下，经与基金托管人协商一致，增加新的基金份额类别、变更收费方式、停止现有基金份额类别的销售或者对基金份额分类办法及规则进行调整等，无需召开基金份额持有人大会，但调整实施</w:t>
      </w:r>
      <w:proofErr w:type="gramStart"/>
      <w:r w:rsidRPr="00777BCD">
        <w:rPr>
          <w:rFonts w:ascii="Calibri" w:hAnsi="Calibri" w:cs="Calibri"/>
          <w:bCs/>
          <w:color w:val="000000" w:themeColor="text1"/>
          <w:sz w:val="24"/>
        </w:rPr>
        <w:t>前基金</w:t>
      </w:r>
      <w:proofErr w:type="gramEnd"/>
      <w:r w:rsidRPr="00777BCD">
        <w:rPr>
          <w:rFonts w:ascii="Calibri" w:hAnsi="Calibri" w:cs="Calibri"/>
          <w:bCs/>
          <w:color w:val="000000" w:themeColor="text1"/>
          <w:sz w:val="24"/>
        </w:rPr>
        <w:t>管理人需及时公告。</w:t>
      </w:r>
    </w:p>
    <w:p w14:paraId="66DDEC5F" w14:textId="77777777" w:rsidR="007149DF" w:rsidRPr="00777BCD" w:rsidRDefault="00284640">
      <w:pPr>
        <w:pStyle w:val="11"/>
        <w:spacing w:before="0" w:after="0"/>
        <w:ind w:firstLine="480"/>
        <w:jc w:val="center"/>
        <w:rPr>
          <w:rFonts w:ascii="Calibri" w:hAnsi="Calibri" w:cs="Calibri"/>
          <w:color w:val="000000" w:themeColor="text1"/>
          <w:sz w:val="30"/>
        </w:rPr>
      </w:pPr>
      <w:r w:rsidRPr="00777BCD">
        <w:rPr>
          <w:rFonts w:ascii="Calibri" w:hAnsi="Calibri" w:cs="Calibri"/>
          <w:b w:val="0"/>
          <w:bCs/>
          <w:color w:val="000000" w:themeColor="text1"/>
          <w:sz w:val="21"/>
        </w:rPr>
        <w:br w:type="page"/>
      </w:r>
      <w:bookmarkStart w:id="79" w:name="_Toc6714"/>
      <w:bookmarkStart w:id="80" w:name="_Toc16265"/>
      <w:bookmarkStart w:id="81" w:name="_Toc7151"/>
      <w:bookmarkStart w:id="82" w:name="_Toc29948"/>
      <w:bookmarkStart w:id="83" w:name="_Toc15203"/>
      <w:bookmarkStart w:id="84" w:name="_Toc90742688"/>
      <w:bookmarkStart w:id="85" w:name="_Toc27189"/>
      <w:bookmarkStart w:id="86" w:name="_Toc90742390"/>
      <w:bookmarkStart w:id="87" w:name="_Toc29784"/>
      <w:bookmarkStart w:id="88" w:name="_Toc6820023"/>
      <w:bookmarkStart w:id="89" w:name="_Toc22074"/>
      <w:bookmarkStart w:id="90" w:name="_Toc3266"/>
      <w:bookmarkStart w:id="91" w:name="_Toc90742321"/>
      <w:bookmarkStart w:id="92" w:name="_Toc27226"/>
      <w:bookmarkStart w:id="93" w:name="_Toc160725902"/>
      <w:r w:rsidRPr="00777BCD">
        <w:rPr>
          <w:rFonts w:ascii="Calibri" w:hAnsi="Calibri" w:cs="Calibri"/>
          <w:color w:val="000000" w:themeColor="text1"/>
          <w:sz w:val="30"/>
        </w:rPr>
        <w:lastRenderedPageBreak/>
        <w:t>第四部分</w:t>
      </w:r>
      <w:r w:rsidRPr="00777BCD">
        <w:rPr>
          <w:rFonts w:ascii="Calibri" w:hAnsi="Calibri" w:cs="Calibri"/>
          <w:color w:val="000000" w:themeColor="text1"/>
          <w:sz w:val="30"/>
        </w:rPr>
        <w:t xml:space="preserve">  </w:t>
      </w:r>
      <w:r w:rsidRPr="00777BCD">
        <w:rPr>
          <w:rFonts w:ascii="Calibri" w:hAnsi="Calibri" w:cs="Calibri"/>
          <w:color w:val="000000" w:themeColor="text1"/>
          <w:sz w:val="30"/>
        </w:rPr>
        <w:t>基金份额的发售</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AC1D353" w14:textId="77777777" w:rsidR="007149DF" w:rsidRPr="00777BCD" w:rsidRDefault="007149DF">
      <w:pPr>
        <w:ind w:firstLine="420"/>
        <w:rPr>
          <w:rFonts w:ascii="Calibri" w:hAnsi="Calibri" w:cs="Calibri"/>
          <w:bCs/>
          <w:color w:val="000000" w:themeColor="text1"/>
        </w:rPr>
      </w:pPr>
    </w:p>
    <w:p w14:paraId="28D4F6B0" w14:textId="7777777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一、基金份额的发售时间、发售方式、发售对象</w:t>
      </w:r>
    </w:p>
    <w:p w14:paraId="0D08881F" w14:textId="7777777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、发售时间</w:t>
      </w:r>
    </w:p>
    <w:p w14:paraId="1B5AB9FF" w14:textId="77777777" w:rsidR="007149DF" w:rsidRPr="00777BCD" w:rsidRDefault="00284640">
      <w:pPr>
        <w:ind w:firstLine="480"/>
        <w:contextualSpacing/>
        <w:rPr>
          <w:rFonts w:ascii="Calibri" w:hAnsi="Calibri" w:cs="Calibri"/>
          <w:bCs/>
          <w:color w:val="000000" w:themeColor="text1"/>
        </w:rPr>
      </w:pPr>
      <w:r w:rsidRPr="00777BCD">
        <w:rPr>
          <w:rFonts w:ascii="Calibri" w:hAnsi="Calibri" w:cs="Calibri"/>
          <w:bCs/>
          <w:color w:val="000000" w:themeColor="text1"/>
          <w:sz w:val="24"/>
        </w:rPr>
        <w:t>自基金份额发售之日起最长不得超过</w:t>
      </w:r>
      <w:r w:rsidRPr="00777BCD">
        <w:rPr>
          <w:rFonts w:ascii="Calibri" w:hAnsi="Calibri" w:cs="Calibri"/>
          <w:bCs/>
          <w:color w:val="000000" w:themeColor="text1"/>
          <w:sz w:val="24"/>
        </w:rPr>
        <w:t>3</w:t>
      </w:r>
      <w:r w:rsidRPr="00777BCD">
        <w:rPr>
          <w:rFonts w:ascii="Calibri" w:hAnsi="Calibri" w:cs="Calibri"/>
          <w:bCs/>
          <w:color w:val="000000" w:themeColor="text1"/>
          <w:sz w:val="24"/>
        </w:rPr>
        <w:t>个月，具体发售时间</w:t>
      </w:r>
      <w:proofErr w:type="gramStart"/>
      <w:r w:rsidRPr="00777BCD">
        <w:rPr>
          <w:rFonts w:ascii="Calibri" w:hAnsi="Calibri" w:cs="Calibri"/>
          <w:bCs/>
          <w:color w:val="000000" w:themeColor="text1"/>
          <w:sz w:val="24"/>
        </w:rPr>
        <w:t>见基金</w:t>
      </w:r>
      <w:proofErr w:type="gramEnd"/>
      <w:r w:rsidRPr="00777BCD">
        <w:rPr>
          <w:rFonts w:ascii="Calibri" w:hAnsi="Calibri" w:cs="Calibri"/>
          <w:bCs/>
          <w:color w:val="000000" w:themeColor="text1"/>
          <w:sz w:val="24"/>
        </w:rPr>
        <w:t>份额发售公告。</w:t>
      </w:r>
    </w:p>
    <w:p w14:paraId="029E2FFA" w14:textId="7777777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、发售方式</w:t>
      </w:r>
    </w:p>
    <w:p w14:paraId="09A3301D" w14:textId="7777777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通过各销售机构的基金销售网点或按基金管理人、销售机构提供的其他方式公开发售，各销售机构的具体名单</w:t>
      </w:r>
      <w:proofErr w:type="gramStart"/>
      <w:r w:rsidRPr="00777BCD">
        <w:rPr>
          <w:rFonts w:ascii="Calibri" w:hAnsi="Calibri" w:cs="Calibri"/>
          <w:bCs/>
          <w:color w:val="000000" w:themeColor="text1"/>
          <w:sz w:val="24"/>
        </w:rPr>
        <w:t>见基金</w:t>
      </w:r>
      <w:proofErr w:type="gramEnd"/>
      <w:r w:rsidRPr="00777BCD">
        <w:rPr>
          <w:rFonts w:ascii="Calibri" w:hAnsi="Calibri" w:cs="Calibri"/>
          <w:bCs/>
          <w:color w:val="000000" w:themeColor="text1"/>
          <w:sz w:val="24"/>
        </w:rPr>
        <w:t>份额发售公告以及基金管理人网站。</w:t>
      </w:r>
    </w:p>
    <w:p w14:paraId="5479750B" w14:textId="7777777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、发售对象</w:t>
      </w:r>
    </w:p>
    <w:p w14:paraId="528C13C8" w14:textId="7777777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符合法律法规规定的可投资于证券投资基金的个人投资者、机构投资者、合格境外投资者、发起资金提供方以及法律法规或中国证监会允许购买证券投资基金的其他投资人。</w:t>
      </w:r>
    </w:p>
    <w:p w14:paraId="62DFC6AE" w14:textId="77777777" w:rsidR="007149DF" w:rsidRPr="00777BCD" w:rsidRDefault="007149DF">
      <w:pPr>
        <w:ind w:firstLine="480"/>
        <w:contextualSpacing/>
        <w:rPr>
          <w:rFonts w:ascii="Calibri" w:hAnsi="Calibri" w:cs="Calibri"/>
          <w:bCs/>
          <w:color w:val="000000" w:themeColor="text1"/>
          <w:sz w:val="24"/>
        </w:rPr>
      </w:pPr>
    </w:p>
    <w:p w14:paraId="3DD5F80C" w14:textId="7777777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二、基金份额的认购</w:t>
      </w:r>
    </w:p>
    <w:p w14:paraId="5499C158" w14:textId="7777777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、认购费用</w:t>
      </w:r>
    </w:p>
    <w:p w14:paraId="299B36C5" w14:textId="7777777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本基金</w:t>
      </w:r>
      <w:r w:rsidRPr="00777BCD">
        <w:rPr>
          <w:rFonts w:ascii="Calibri" w:hAnsi="Calibri" w:cs="Calibri"/>
          <w:bCs/>
          <w:color w:val="000000" w:themeColor="text1"/>
          <w:sz w:val="24"/>
        </w:rPr>
        <w:t>A</w:t>
      </w:r>
      <w:r w:rsidRPr="00777BCD">
        <w:rPr>
          <w:rFonts w:ascii="Calibri" w:hAnsi="Calibri" w:cs="Calibri"/>
          <w:bCs/>
          <w:color w:val="000000" w:themeColor="text1"/>
          <w:sz w:val="24"/>
        </w:rPr>
        <w:t>类基金份额在认购时收取认购费，</w:t>
      </w:r>
      <w:r w:rsidRPr="00777BCD">
        <w:rPr>
          <w:rFonts w:ascii="Calibri" w:hAnsi="Calibri" w:cs="Calibri"/>
          <w:bCs/>
          <w:color w:val="000000" w:themeColor="text1"/>
          <w:sz w:val="24"/>
        </w:rPr>
        <w:t>C</w:t>
      </w:r>
      <w:r w:rsidRPr="00777BCD">
        <w:rPr>
          <w:rFonts w:ascii="Calibri" w:hAnsi="Calibri" w:cs="Calibri"/>
          <w:bCs/>
          <w:color w:val="000000" w:themeColor="text1"/>
          <w:sz w:val="24"/>
        </w:rPr>
        <w:t>类基金份额不收取认购费。</w:t>
      </w:r>
    </w:p>
    <w:p w14:paraId="4290E953" w14:textId="7777777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本基金</w:t>
      </w:r>
      <w:r w:rsidRPr="00777BCD">
        <w:rPr>
          <w:rFonts w:ascii="Calibri" w:hAnsi="Calibri" w:cs="Calibri"/>
          <w:bCs/>
          <w:color w:val="000000" w:themeColor="text1"/>
          <w:sz w:val="24"/>
        </w:rPr>
        <w:t>A</w:t>
      </w:r>
      <w:r w:rsidRPr="00777BCD">
        <w:rPr>
          <w:rFonts w:ascii="Calibri" w:hAnsi="Calibri" w:cs="Calibri"/>
          <w:bCs/>
          <w:color w:val="000000" w:themeColor="text1"/>
          <w:sz w:val="24"/>
        </w:rPr>
        <w:t>类基金份额的认购费率由基金管理人决定，并在招募说明书及基金产品资料概要中列示，认购费用不列入基金财产。</w:t>
      </w:r>
    </w:p>
    <w:p w14:paraId="4C53F31D" w14:textId="7777777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、募集期利息的处理方式</w:t>
      </w:r>
    </w:p>
    <w:p w14:paraId="4BA270D5" w14:textId="7777777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有效认购款项在募集期间产生的利息将折算为相应类别的基金份额</w:t>
      </w:r>
      <w:proofErr w:type="gramStart"/>
      <w:r w:rsidRPr="00777BCD">
        <w:rPr>
          <w:rFonts w:ascii="Calibri" w:hAnsi="Calibri" w:cs="Calibri"/>
          <w:bCs/>
          <w:color w:val="000000" w:themeColor="text1"/>
          <w:sz w:val="24"/>
        </w:rPr>
        <w:t>归基金</w:t>
      </w:r>
      <w:proofErr w:type="gramEnd"/>
      <w:r w:rsidRPr="00777BCD">
        <w:rPr>
          <w:rFonts w:ascii="Calibri" w:hAnsi="Calibri" w:cs="Calibri"/>
          <w:bCs/>
          <w:color w:val="000000" w:themeColor="text1"/>
          <w:sz w:val="24"/>
        </w:rPr>
        <w:t>份额持有人所有，其中利息转份额的具体数额以登记机构的记录为准。</w:t>
      </w:r>
    </w:p>
    <w:p w14:paraId="31CF784B" w14:textId="7777777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、基金认购份额的计算</w:t>
      </w:r>
    </w:p>
    <w:p w14:paraId="7F4691B6" w14:textId="7777777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基金认购采用金额认购的方式。基金认购份额具体的计算方法在招募说明书中列示。</w:t>
      </w:r>
    </w:p>
    <w:p w14:paraId="5150E35C" w14:textId="7777777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、认购份额余额的处理方式</w:t>
      </w:r>
    </w:p>
    <w:p w14:paraId="272F1E29" w14:textId="7777777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认购份额</w:t>
      </w:r>
      <w:bookmarkStart w:id="94" w:name="OLE_LINK1"/>
      <w:r w:rsidRPr="00777BCD">
        <w:rPr>
          <w:rFonts w:ascii="Calibri" w:hAnsi="Calibri" w:cs="Calibri"/>
          <w:bCs/>
          <w:color w:val="000000" w:themeColor="text1"/>
          <w:sz w:val="24"/>
        </w:rPr>
        <w:t>的计算</w:t>
      </w:r>
      <w:bookmarkEnd w:id="94"/>
      <w:r w:rsidRPr="00777BCD">
        <w:rPr>
          <w:rFonts w:ascii="Calibri" w:hAnsi="Calibri" w:cs="Calibri"/>
          <w:bCs/>
          <w:color w:val="000000" w:themeColor="text1"/>
          <w:sz w:val="24"/>
        </w:rPr>
        <w:t>保留到小数点后</w:t>
      </w:r>
      <w:r w:rsidRPr="00777BCD">
        <w:rPr>
          <w:rFonts w:ascii="Calibri" w:hAnsi="Calibri" w:cs="Calibri"/>
          <w:bCs/>
          <w:color w:val="000000" w:themeColor="text1"/>
          <w:sz w:val="24"/>
        </w:rPr>
        <w:t>2</w:t>
      </w:r>
      <w:r w:rsidRPr="00777BCD">
        <w:rPr>
          <w:rFonts w:ascii="Calibri" w:hAnsi="Calibri" w:cs="Calibri"/>
          <w:bCs/>
          <w:color w:val="000000" w:themeColor="text1"/>
          <w:sz w:val="24"/>
        </w:rPr>
        <w:t>位，小数点</w:t>
      </w:r>
      <w:r w:rsidRPr="00777BCD">
        <w:rPr>
          <w:rFonts w:ascii="Calibri" w:hAnsi="Calibri" w:cs="Calibri"/>
          <w:bCs/>
          <w:color w:val="000000" w:themeColor="text1"/>
          <w:sz w:val="24"/>
        </w:rPr>
        <w:t>2</w:t>
      </w:r>
      <w:r w:rsidRPr="00777BCD">
        <w:rPr>
          <w:rFonts w:ascii="Calibri" w:hAnsi="Calibri" w:cs="Calibri"/>
          <w:bCs/>
          <w:color w:val="000000" w:themeColor="text1"/>
          <w:sz w:val="24"/>
        </w:rPr>
        <w:t>位以后的部分四舍五入，由此误差产生的收益或损失由基金财产承担。</w:t>
      </w:r>
    </w:p>
    <w:p w14:paraId="55A4C749" w14:textId="7777777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lastRenderedPageBreak/>
        <w:t>5</w:t>
      </w:r>
      <w:r w:rsidRPr="00777BCD">
        <w:rPr>
          <w:rFonts w:ascii="Calibri" w:hAnsi="Calibri" w:cs="Calibri"/>
          <w:bCs/>
          <w:color w:val="000000" w:themeColor="text1"/>
          <w:sz w:val="24"/>
        </w:rPr>
        <w:t>、认购申请的确认</w:t>
      </w:r>
    </w:p>
    <w:p w14:paraId="2D7E24CC" w14:textId="7777777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基金销售机构对认购申请的受理并不代表该申请一定成功，而仅代表销售机构确实接收到认购申请。认购申请的确认以登记机构的确认结果为准。对于认购申请及认购份额的确认情况，投资人应及时查询并妥善行使合法权利，否则，由此产生的任何损失由投资者自行承担。</w:t>
      </w:r>
    </w:p>
    <w:p w14:paraId="5B566174" w14:textId="77777777" w:rsidR="007149DF" w:rsidRPr="00777BCD" w:rsidRDefault="007149DF">
      <w:pPr>
        <w:ind w:firstLine="480"/>
        <w:contextualSpacing/>
        <w:rPr>
          <w:rFonts w:ascii="Calibri" w:hAnsi="Calibri" w:cs="Calibri"/>
          <w:bCs/>
          <w:color w:val="000000" w:themeColor="text1"/>
          <w:sz w:val="24"/>
        </w:rPr>
      </w:pPr>
    </w:p>
    <w:p w14:paraId="1BE57396" w14:textId="7777777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三、基金份额认购金额的限制</w:t>
      </w:r>
    </w:p>
    <w:p w14:paraId="4C90102B" w14:textId="7777777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、投资人认购时，需按销售机构规定的方式全额缴款。</w:t>
      </w:r>
    </w:p>
    <w:p w14:paraId="4DC910D2" w14:textId="7777777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、基金管理人可以对每个基金交易账户的单笔最低认购金额进行限制，具体限制请参看招募说明书或相关公告。</w:t>
      </w:r>
    </w:p>
    <w:p w14:paraId="359721E7" w14:textId="7777777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、基金管理人可以对募集期间的单个投资人的累计认购金额进行限制，具体限制和处理方法请参看招募说明书或相关公告。</w:t>
      </w:r>
    </w:p>
    <w:p w14:paraId="01FC7E0D" w14:textId="7777777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w:t>
      </w:r>
      <w:r w:rsidRPr="00777BCD">
        <w:rPr>
          <w:rFonts w:ascii="Calibri" w:hAnsi="Calibri" w:cs="Calibri"/>
          <w:bCs/>
          <w:color w:val="000000" w:themeColor="text1"/>
          <w:sz w:val="24"/>
          <w:szCs w:val="24"/>
        </w:rPr>
        <w:t>募集期内，投资人可多次认购本基金。</w:t>
      </w:r>
      <w:r w:rsidRPr="00777BCD">
        <w:rPr>
          <w:rFonts w:ascii="Calibri" w:hAnsi="Calibri" w:cs="Calibri"/>
          <w:bCs/>
          <w:color w:val="000000" w:themeColor="text1"/>
          <w:sz w:val="24"/>
          <w:szCs w:val="24"/>
        </w:rPr>
        <w:t>A</w:t>
      </w:r>
      <w:r w:rsidRPr="00777BCD">
        <w:rPr>
          <w:rFonts w:ascii="Calibri" w:hAnsi="Calibri" w:cs="Calibri"/>
          <w:bCs/>
          <w:color w:val="000000" w:themeColor="text1"/>
          <w:sz w:val="24"/>
          <w:szCs w:val="24"/>
        </w:rPr>
        <w:t>类基金份额的认购费按每笔</w:t>
      </w:r>
      <w:r w:rsidRPr="00777BCD">
        <w:rPr>
          <w:rFonts w:ascii="Calibri" w:hAnsi="Calibri" w:cs="Calibri"/>
          <w:bCs/>
          <w:color w:val="000000" w:themeColor="text1"/>
          <w:sz w:val="24"/>
          <w:szCs w:val="24"/>
        </w:rPr>
        <w:t>A</w:t>
      </w:r>
      <w:r w:rsidRPr="00777BCD">
        <w:rPr>
          <w:rFonts w:ascii="Calibri" w:hAnsi="Calibri" w:cs="Calibri"/>
          <w:bCs/>
          <w:color w:val="000000" w:themeColor="text1"/>
          <w:sz w:val="24"/>
          <w:szCs w:val="24"/>
        </w:rPr>
        <w:t>类基金份额的认购申请单独计算。认购申请一经受理不得撤销</w:t>
      </w:r>
      <w:r w:rsidRPr="00777BCD">
        <w:rPr>
          <w:rFonts w:ascii="Calibri" w:hAnsi="Calibri" w:cs="Calibri"/>
          <w:bCs/>
          <w:color w:val="000000" w:themeColor="text1"/>
          <w:sz w:val="24"/>
        </w:rPr>
        <w:t>。</w:t>
      </w:r>
    </w:p>
    <w:p w14:paraId="4E7C781D" w14:textId="7777777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5</w:t>
      </w:r>
      <w:r w:rsidRPr="00777BCD">
        <w:rPr>
          <w:rFonts w:ascii="Calibri" w:hAnsi="Calibri" w:cs="Calibri"/>
          <w:bCs/>
          <w:color w:val="000000" w:themeColor="text1"/>
          <w:sz w:val="24"/>
        </w:rPr>
        <w:t>、如本基金单个投资人累计认购的基金份额数达到或者超过基金总份额的</w:t>
      </w:r>
      <w:r w:rsidRPr="00777BCD">
        <w:rPr>
          <w:rFonts w:ascii="Calibri" w:hAnsi="Calibri" w:cs="Calibri"/>
          <w:bCs/>
          <w:color w:val="000000" w:themeColor="text1"/>
          <w:sz w:val="24"/>
        </w:rPr>
        <w:t>50%</w:t>
      </w:r>
      <w:r w:rsidRPr="00777BCD">
        <w:rPr>
          <w:rFonts w:ascii="Calibri" w:hAnsi="Calibri" w:cs="Calibri"/>
          <w:bCs/>
          <w:color w:val="000000" w:themeColor="text1"/>
          <w:sz w:val="24"/>
        </w:rPr>
        <w:t>，基金管理人可以采取比例确认等方式对该投资人的认购申请进行限制。基金管理人接受某笔或者某些认购申请有可能导致投资者变相规避前述</w:t>
      </w:r>
      <w:r w:rsidRPr="00777BCD">
        <w:rPr>
          <w:rFonts w:ascii="Calibri" w:hAnsi="Calibri" w:cs="Calibri"/>
          <w:bCs/>
          <w:color w:val="000000" w:themeColor="text1"/>
          <w:sz w:val="24"/>
        </w:rPr>
        <w:t>50%</w:t>
      </w:r>
      <w:r w:rsidRPr="00777BCD">
        <w:rPr>
          <w:rFonts w:ascii="Calibri" w:hAnsi="Calibri" w:cs="Calibri"/>
          <w:bCs/>
          <w:color w:val="000000" w:themeColor="text1"/>
          <w:sz w:val="24"/>
        </w:rPr>
        <w:t>比例要求的，基金管理人有权拒绝该等全部或者部分认购申请。基金管理人、基金管理人高级管理人员或基金经理等人员作为发起资金提供方使用发起资金认购的基金份额达到或超过基金总份额</w:t>
      </w:r>
      <w:r w:rsidRPr="00777BCD">
        <w:rPr>
          <w:rFonts w:ascii="Calibri" w:hAnsi="Calibri" w:cs="Calibri"/>
          <w:bCs/>
          <w:color w:val="000000" w:themeColor="text1"/>
          <w:sz w:val="24"/>
        </w:rPr>
        <w:t>50%</w:t>
      </w:r>
      <w:r w:rsidRPr="00777BCD">
        <w:rPr>
          <w:rFonts w:ascii="Calibri" w:hAnsi="Calibri" w:cs="Calibri"/>
          <w:bCs/>
          <w:color w:val="000000" w:themeColor="text1"/>
          <w:sz w:val="24"/>
        </w:rPr>
        <w:t>的，不受上述限制。投资人认购的基金份额数以基金合同生效后登记机构的确认为准。</w:t>
      </w:r>
    </w:p>
    <w:p w14:paraId="1818BDA4" w14:textId="77777777" w:rsidR="007149DF" w:rsidRPr="00777BCD" w:rsidRDefault="007149DF">
      <w:pPr>
        <w:ind w:firstLine="480"/>
        <w:rPr>
          <w:rFonts w:ascii="Calibri" w:hAnsi="Calibri" w:cs="Calibri"/>
          <w:bCs/>
          <w:color w:val="000000" w:themeColor="text1"/>
          <w:sz w:val="24"/>
        </w:rPr>
      </w:pPr>
    </w:p>
    <w:p w14:paraId="0830038A" w14:textId="77777777" w:rsidR="007149DF" w:rsidRPr="00777BCD" w:rsidRDefault="00284640">
      <w:pPr>
        <w:ind w:firstLineChars="200" w:firstLine="480"/>
        <w:rPr>
          <w:rFonts w:ascii="Calibri" w:hAnsi="Calibri" w:cs="Calibri"/>
          <w:bCs/>
          <w:sz w:val="24"/>
        </w:rPr>
      </w:pPr>
      <w:r w:rsidRPr="00777BCD">
        <w:rPr>
          <w:rFonts w:ascii="Calibri" w:hAnsi="Calibri" w:cs="Calibri"/>
          <w:bCs/>
          <w:sz w:val="24"/>
        </w:rPr>
        <w:t>四、发起资金的认购</w:t>
      </w:r>
    </w:p>
    <w:p w14:paraId="35047922" w14:textId="26E195CE" w:rsidR="007149DF" w:rsidRPr="00777BCD" w:rsidRDefault="00284640">
      <w:pPr>
        <w:ind w:firstLineChars="200" w:firstLine="480"/>
        <w:rPr>
          <w:rFonts w:ascii="Calibri" w:hAnsi="Calibri" w:cs="Calibri"/>
          <w:bCs/>
          <w:sz w:val="24"/>
        </w:rPr>
      </w:pPr>
      <w:r w:rsidRPr="00777BCD">
        <w:rPr>
          <w:rFonts w:ascii="Calibri" w:hAnsi="Calibri" w:cs="Calibri"/>
          <w:bCs/>
          <w:sz w:val="24"/>
        </w:rPr>
        <w:t>发起资金提供方使用发起资金认购本基金的金额不低于</w:t>
      </w:r>
      <w:r w:rsidRPr="00777BCD">
        <w:rPr>
          <w:rFonts w:ascii="Calibri" w:hAnsi="Calibri" w:cs="Calibri"/>
          <w:bCs/>
          <w:sz w:val="24"/>
        </w:rPr>
        <w:t>1000</w:t>
      </w:r>
      <w:r w:rsidRPr="00777BCD">
        <w:rPr>
          <w:rFonts w:ascii="Calibri" w:hAnsi="Calibri" w:cs="Calibri"/>
          <w:bCs/>
          <w:sz w:val="24"/>
        </w:rPr>
        <w:t>万元人民币，认购的基金份额持有期限不少于三年。认购基金份额的高级管理人员或基金经理等人员在上述期限内离职的，其持有期限的承诺不受影响。法律法规或监管机构另有规定的，从其规定。</w:t>
      </w:r>
    </w:p>
    <w:p w14:paraId="07A7E971" w14:textId="77777777" w:rsidR="007149DF" w:rsidRPr="00777BCD" w:rsidRDefault="00284640">
      <w:pPr>
        <w:ind w:firstLineChars="200" w:firstLine="480"/>
        <w:rPr>
          <w:rFonts w:ascii="Calibri" w:hAnsi="Calibri" w:cs="Calibri"/>
          <w:bCs/>
          <w:sz w:val="24"/>
        </w:rPr>
      </w:pPr>
      <w:r w:rsidRPr="00777BCD">
        <w:rPr>
          <w:rFonts w:ascii="Calibri" w:hAnsi="Calibri" w:cs="Calibri"/>
          <w:bCs/>
          <w:sz w:val="24"/>
        </w:rPr>
        <w:t>本基金发起资金的认购情况</w:t>
      </w:r>
      <w:proofErr w:type="gramStart"/>
      <w:r w:rsidRPr="00777BCD">
        <w:rPr>
          <w:rFonts w:ascii="Calibri" w:hAnsi="Calibri" w:cs="Calibri"/>
          <w:bCs/>
          <w:sz w:val="24"/>
        </w:rPr>
        <w:t>见基金</w:t>
      </w:r>
      <w:proofErr w:type="gramEnd"/>
      <w:r w:rsidRPr="00777BCD">
        <w:rPr>
          <w:rFonts w:ascii="Calibri" w:hAnsi="Calibri" w:cs="Calibri"/>
          <w:bCs/>
          <w:sz w:val="24"/>
        </w:rPr>
        <w:t>管理人届时发布的公告。</w:t>
      </w:r>
    </w:p>
    <w:p w14:paraId="4FB35098" w14:textId="77777777" w:rsidR="007149DF" w:rsidRPr="00777BCD" w:rsidRDefault="007149DF">
      <w:pPr>
        <w:ind w:firstLine="480"/>
        <w:rPr>
          <w:rFonts w:ascii="Calibri" w:hAnsi="Calibri" w:cs="Calibri"/>
          <w:bCs/>
          <w:color w:val="000000" w:themeColor="text1"/>
          <w:sz w:val="24"/>
        </w:rPr>
      </w:pPr>
    </w:p>
    <w:p w14:paraId="2D27A811" w14:textId="77777777" w:rsidR="007149DF" w:rsidRPr="00777BCD" w:rsidRDefault="00284640">
      <w:pPr>
        <w:pStyle w:val="11"/>
        <w:spacing w:before="0" w:after="0"/>
        <w:ind w:firstLine="420"/>
        <w:jc w:val="center"/>
        <w:rPr>
          <w:rFonts w:ascii="Calibri" w:hAnsi="Calibri" w:cs="Calibri"/>
          <w:color w:val="000000" w:themeColor="text1"/>
          <w:sz w:val="30"/>
        </w:rPr>
      </w:pPr>
      <w:r w:rsidRPr="00777BCD">
        <w:rPr>
          <w:rFonts w:ascii="Calibri" w:hAnsi="Calibri" w:cs="Calibri"/>
          <w:b w:val="0"/>
          <w:bCs/>
          <w:color w:val="000000" w:themeColor="text1"/>
          <w:sz w:val="21"/>
        </w:rPr>
        <w:br w:type="page"/>
      </w:r>
      <w:bookmarkStart w:id="95" w:name="_Toc18526"/>
      <w:bookmarkStart w:id="96" w:name="_Toc26986"/>
      <w:bookmarkStart w:id="97" w:name="_Toc17912"/>
      <w:bookmarkStart w:id="98" w:name="_Toc7848"/>
      <w:bookmarkStart w:id="99" w:name="_Toc6820024"/>
      <w:bookmarkStart w:id="100" w:name="_Toc141703885"/>
      <w:bookmarkStart w:id="101" w:name="_Toc139991735"/>
      <w:bookmarkStart w:id="102" w:name="_Toc1823"/>
      <w:bookmarkStart w:id="103" w:name="_Toc21988"/>
      <w:bookmarkStart w:id="104" w:name="_Toc14893"/>
      <w:bookmarkStart w:id="105" w:name="_Toc18797"/>
      <w:bookmarkStart w:id="106" w:name="_Toc18329"/>
      <w:bookmarkStart w:id="107" w:name="_Toc4741"/>
      <w:bookmarkStart w:id="108" w:name="_Toc160725903"/>
      <w:r w:rsidRPr="00777BCD">
        <w:rPr>
          <w:rFonts w:ascii="Calibri" w:hAnsi="Calibri" w:cs="Calibri"/>
          <w:color w:val="000000" w:themeColor="text1"/>
          <w:sz w:val="30"/>
        </w:rPr>
        <w:lastRenderedPageBreak/>
        <w:t>第五部分</w:t>
      </w:r>
      <w:r w:rsidRPr="00777BCD">
        <w:rPr>
          <w:rFonts w:ascii="Calibri" w:hAnsi="Calibri" w:cs="Calibri"/>
          <w:color w:val="000000" w:themeColor="text1"/>
          <w:sz w:val="30"/>
        </w:rPr>
        <w:t xml:space="preserve">  </w:t>
      </w:r>
      <w:r w:rsidRPr="00777BCD">
        <w:rPr>
          <w:rFonts w:ascii="Calibri" w:hAnsi="Calibri" w:cs="Calibri"/>
          <w:color w:val="000000" w:themeColor="text1"/>
          <w:sz w:val="30"/>
        </w:rPr>
        <w:t>基金备案</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65676DA3" w14:textId="77777777" w:rsidR="007149DF" w:rsidRPr="00777BCD" w:rsidRDefault="007149DF">
      <w:pPr>
        <w:ind w:firstLine="480"/>
        <w:rPr>
          <w:rFonts w:ascii="Calibri" w:hAnsi="Calibri" w:cs="Calibri"/>
          <w:bCs/>
          <w:color w:val="000000" w:themeColor="text1"/>
          <w:sz w:val="24"/>
        </w:rPr>
      </w:pPr>
    </w:p>
    <w:p w14:paraId="4BE601C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一、基金备案的条件</w:t>
      </w:r>
    </w:p>
    <w:p w14:paraId="51DED08F" w14:textId="076AFF13" w:rsidR="007149DF" w:rsidRPr="00777BCD" w:rsidRDefault="00284640">
      <w:pPr>
        <w:ind w:firstLine="480"/>
        <w:rPr>
          <w:rFonts w:ascii="Calibri" w:hAnsi="Calibri" w:cs="Calibri"/>
          <w:bCs/>
          <w:color w:val="000000" w:themeColor="text1"/>
          <w:sz w:val="24"/>
        </w:rPr>
      </w:pPr>
      <w:bookmarkStart w:id="109" w:name="_Hlk142055814"/>
      <w:r w:rsidRPr="00777BCD">
        <w:rPr>
          <w:rFonts w:ascii="Calibri" w:hAnsi="Calibri" w:cs="Calibri"/>
          <w:bCs/>
          <w:color w:val="000000" w:themeColor="text1"/>
          <w:sz w:val="24"/>
        </w:rPr>
        <w:t>本基金自基金份额发售之日起</w:t>
      </w:r>
      <w:r w:rsidRPr="00777BCD">
        <w:rPr>
          <w:rFonts w:ascii="Calibri" w:hAnsi="Calibri" w:cs="Calibri"/>
          <w:bCs/>
          <w:color w:val="000000" w:themeColor="text1"/>
          <w:sz w:val="24"/>
        </w:rPr>
        <w:t>3</w:t>
      </w:r>
      <w:r w:rsidRPr="00777BCD">
        <w:rPr>
          <w:rFonts w:ascii="Calibri" w:hAnsi="Calibri" w:cs="Calibri"/>
          <w:bCs/>
          <w:color w:val="000000" w:themeColor="text1"/>
          <w:sz w:val="24"/>
        </w:rPr>
        <w:t>个月内，</w:t>
      </w:r>
      <w:r w:rsidRPr="00777BCD">
        <w:rPr>
          <w:rFonts w:ascii="Calibri" w:hAnsi="Calibri" w:cs="Calibri"/>
          <w:bCs/>
          <w:sz w:val="24"/>
        </w:rPr>
        <w:t>在发起资金提供方使用发起资金认购本基金的金额不少于</w:t>
      </w:r>
      <w:r w:rsidRPr="00777BCD">
        <w:rPr>
          <w:rFonts w:ascii="Calibri" w:hAnsi="Calibri" w:cs="Calibri"/>
          <w:bCs/>
          <w:sz w:val="24"/>
        </w:rPr>
        <w:t>1000</w:t>
      </w:r>
      <w:r w:rsidRPr="00777BCD">
        <w:rPr>
          <w:rFonts w:ascii="Calibri" w:hAnsi="Calibri" w:cs="Calibri"/>
          <w:bCs/>
          <w:sz w:val="24"/>
        </w:rPr>
        <w:t>万元人民币且承诺持有期限不少于</w:t>
      </w:r>
      <w:r w:rsidRPr="00777BCD">
        <w:rPr>
          <w:rFonts w:ascii="Calibri" w:hAnsi="Calibri" w:cs="Calibri"/>
          <w:bCs/>
          <w:sz w:val="24"/>
        </w:rPr>
        <w:t>3</w:t>
      </w:r>
      <w:r w:rsidRPr="00777BCD">
        <w:rPr>
          <w:rFonts w:ascii="Calibri" w:hAnsi="Calibri" w:cs="Calibri"/>
          <w:bCs/>
          <w:sz w:val="24"/>
        </w:rPr>
        <w:t>年的条件下，</w:t>
      </w:r>
      <w:r w:rsidRPr="00777BCD">
        <w:rPr>
          <w:rFonts w:ascii="Calibri" w:hAnsi="Calibri" w:cs="Calibri"/>
          <w:bCs/>
          <w:color w:val="000000" w:themeColor="text1"/>
          <w:sz w:val="24"/>
        </w:rPr>
        <w:t>基金募集期届满或基金管理人依据法律法规及招募说明书可以决定停止基金发售，并在</w:t>
      </w:r>
      <w:r w:rsidRPr="00777BCD">
        <w:rPr>
          <w:rFonts w:ascii="Calibri" w:hAnsi="Calibri" w:cs="Calibri"/>
          <w:bCs/>
          <w:color w:val="000000" w:themeColor="text1"/>
          <w:sz w:val="24"/>
        </w:rPr>
        <w:t>10</w:t>
      </w:r>
      <w:r w:rsidRPr="00777BCD">
        <w:rPr>
          <w:rFonts w:ascii="Calibri" w:hAnsi="Calibri" w:cs="Calibri"/>
          <w:bCs/>
          <w:color w:val="000000" w:themeColor="text1"/>
          <w:sz w:val="24"/>
        </w:rPr>
        <w:t>日内聘请法定验资机构验资，验资报告需对发起资金提供方及其持有的基金份额进行专门说明。基金管理人自收到验资报告之日起</w:t>
      </w:r>
      <w:r w:rsidRPr="00777BCD">
        <w:rPr>
          <w:rFonts w:ascii="Calibri" w:hAnsi="Calibri" w:cs="Calibri"/>
          <w:bCs/>
          <w:color w:val="000000" w:themeColor="text1"/>
          <w:sz w:val="24"/>
        </w:rPr>
        <w:t>10</w:t>
      </w:r>
      <w:r w:rsidRPr="00777BCD">
        <w:rPr>
          <w:rFonts w:ascii="Calibri" w:hAnsi="Calibri" w:cs="Calibri"/>
          <w:bCs/>
          <w:color w:val="000000" w:themeColor="text1"/>
          <w:sz w:val="24"/>
        </w:rPr>
        <w:t>日内，向中国证监会办理基金备案手续。</w:t>
      </w:r>
    </w:p>
    <w:bookmarkEnd w:id="109"/>
    <w:p w14:paraId="6BF3F0A9"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基金募集达到基金备案条件的，自基金管理人办理完毕基金备案手续并取得中国证监会书面确认之日起，《基金合同》生效；否则《基金合同》不生效。基金管理人在收到中国证监会确认文件的次日对《基金合同》生效事宜予以公告。基金管理人应将基金募集期间募集的资金存入专门账户，在基金募集行为结束前，任何人不得动用。</w:t>
      </w:r>
    </w:p>
    <w:p w14:paraId="0864871F" w14:textId="77777777" w:rsidR="007149DF" w:rsidRPr="00777BCD" w:rsidRDefault="007149DF">
      <w:pPr>
        <w:ind w:firstLine="480"/>
        <w:jc w:val="left"/>
        <w:rPr>
          <w:rFonts w:ascii="Calibri" w:hAnsi="Calibri" w:cs="Calibri"/>
          <w:bCs/>
          <w:color w:val="000000" w:themeColor="text1"/>
          <w:sz w:val="24"/>
        </w:rPr>
      </w:pPr>
    </w:p>
    <w:p w14:paraId="13A0705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二、基金合同不能生效时募集资金的处理方式</w:t>
      </w:r>
    </w:p>
    <w:p w14:paraId="0D02059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如果募集期限届满，未满足基金备案条件，基金管理人应当承担下列责任：</w:t>
      </w:r>
    </w:p>
    <w:p w14:paraId="219DE2E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、以其固有财产承担因募集行为而产生的债务和费用；</w:t>
      </w:r>
    </w:p>
    <w:p w14:paraId="4116785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、在基金募集期限届满后</w:t>
      </w:r>
      <w:r w:rsidRPr="00777BCD">
        <w:rPr>
          <w:rFonts w:ascii="Calibri" w:hAnsi="Calibri" w:cs="Calibri"/>
          <w:bCs/>
          <w:color w:val="000000" w:themeColor="text1"/>
          <w:sz w:val="24"/>
        </w:rPr>
        <w:t>30</w:t>
      </w:r>
      <w:r w:rsidRPr="00777BCD">
        <w:rPr>
          <w:rFonts w:ascii="Calibri" w:hAnsi="Calibri" w:cs="Calibri"/>
          <w:bCs/>
          <w:color w:val="000000" w:themeColor="text1"/>
          <w:sz w:val="24"/>
        </w:rPr>
        <w:t>日内返还投资者已</w:t>
      </w:r>
      <w:r w:rsidRPr="00777BCD">
        <w:rPr>
          <w:rFonts w:ascii="Calibri" w:hAnsi="Calibri" w:cs="Calibri"/>
          <w:bCs/>
          <w:sz w:val="24"/>
          <w:szCs w:val="24"/>
        </w:rPr>
        <w:t>交</w:t>
      </w:r>
      <w:r w:rsidRPr="00777BCD">
        <w:rPr>
          <w:rFonts w:ascii="Calibri" w:hAnsi="Calibri" w:cs="Calibri"/>
          <w:bCs/>
          <w:color w:val="000000" w:themeColor="text1"/>
          <w:sz w:val="24"/>
        </w:rPr>
        <w:t>纳的款项，并加计银行同期活期存款利息（税后）；</w:t>
      </w:r>
    </w:p>
    <w:p w14:paraId="16141CF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、如基金募集失败，基金管理人、基金托管人及销售机构不得请求报酬；基金管理人、基金托管人和销售机构为基金募集支付之一切费用应由各方各自承担。</w:t>
      </w:r>
    </w:p>
    <w:p w14:paraId="1CA8FF43" w14:textId="77777777" w:rsidR="007149DF" w:rsidRPr="00777BCD" w:rsidRDefault="007149DF">
      <w:pPr>
        <w:ind w:firstLine="480"/>
        <w:rPr>
          <w:rFonts w:ascii="Calibri" w:hAnsi="Calibri" w:cs="Calibri"/>
          <w:bCs/>
          <w:color w:val="000000" w:themeColor="text1"/>
          <w:sz w:val="24"/>
        </w:rPr>
      </w:pPr>
    </w:p>
    <w:p w14:paraId="1A556FA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三、基金存续期内的基金份额持有人数量和资产规模</w:t>
      </w:r>
    </w:p>
    <w:p w14:paraId="5AA929FD" w14:textId="77777777" w:rsidR="007149DF" w:rsidRPr="00777BCD" w:rsidRDefault="00284640">
      <w:pPr>
        <w:ind w:firstLineChars="200" w:firstLine="480"/>
        <w:rPr>
          <w:rFonts w:ascii="Calibri" w:hAnsi="Calibri" w:cs="Calibri"/>
          <w:bCs/>
          <w:sz w:val="24"/>
        </w:rPr>
      </w:pPr>
      <w:r w:rsidRPr="00777BCD">
        <w:rPr>
          <w:rFonts w:ascii="Calibri" w:hAnsi="Calibri" w:cs="Calibri"/>
          <w:bCs/>
          <w:sz w:val="24"/>
        </w:rPr>
        <w:t>《基金合同》生效满</w:t>
      </w:r>
      <w:r w:rsidRPr="00777BCD">
        <w:rPr>
          <w:rFonts w:ascii="Calibri" w:hAnsi="Calibri" w:cs="Calibri"/>
          <w:bCs/>
          <w:sz w:val="24"/>
        </w:rPr>
        <w:t>3</w:t>
      </w:r>
      <w:r w:rsidRPr="00777BCD">
        <w:rPr>
          <w:rFonts w:ascii="Calibri" w:hAnsi="Calibri" w:cs="Calibri"/>
          <w:bCs/>
          <w:sz w:val="24"/>
        </w:rPr>
        <w:t>年后的对应日（指自然日，若无对应日则顺延至下一日），</w:t>
      </w:r>
      <w:proofErr w:type="gramStart"/>
      <w:r w:rsidRPr="00777BCD">
        <w:rPr>
          <w:rFonts w:ascii="Calibri" w:hAnsi="Calibri" w:cs="Calibri"/>
          <w:bCs/>
          <w:sz w:val="24"/>
        </w:rPr>
        <w:t>若基金</w:t>
      </w:r>
      <w:proofErr w:type="gramEnd"/>
      <w:r w:rsidRPr="00777BCD">
        <w:rPr>
          <w:rFonts w:ascii="Calibri" w:hAnsi="Calibri" w:cs="Calibri"/>
          <w:bCs/>
          <w:sz w:val="24"/>
        </w:rPr>
        <w:t>资产规模低于</w:t>
      </w:r>
      <w:r w:rsidRPr="00777BCD">
        <w:rPr>
          <w:rFonts w:ascii="Calibri" w:hAnsi="Calibri" w:cs="Calibri"/>
          <w:bCs/>
          <w:sz w:val="24"/>
        </w:rPr>
        <w:t>2</w:t>
      </w:r>
      <w:r w:rsidRPr="00777BCD">
        <w:rPr>
          <w:rFonts w:ascii="Calibri" w:hAnsi="Calibri" w:cs="Calibri"/>
          <w:bCs/>
          <w:sz w:val="24"/>
        </w:rPr>
        <w:t>亿元，《基金合同》应当终止，且不得通过召开基金份额持有人大会的方式延续。若届时的法律法规或中国证监会规定发生</w:t>
      </w:r>
      <w:r w:rsidRPr="00777BCD">
        <w:rPr>
          <w:rFonts w:ascii="Calibri" w:hAnsi="Calibri" w:cs="Calibri"/>
          <w:bCs/>
          <w:sz w:val="24"/>
        </w:rPr>
        <w:lastRenderedPageBreak/>
        <w:t>变化，上述终止规定被取消、更改或补充，则本基金可以参照届时有效的法律法规或中国证监会规定执行。</w:t>
      </w:r>
    </w:p>
    <w:p w14:paraId="32C46FD5" w14:textId="6D1E861F" w:rsidR="007149DF" w:rsidRPr="00777BCD" w:rsidRDefault="00284640">
      <w:pPr>
        <w:ind w:firstLineChars="200" w:firstLine="480"/>
        <w:rPr>
          <w:rFonts w:ascii="Calibri" w:hAnsi="Calibri" w:cs="Calibri"/>
          <w:bCs/>
          <w:sz w:val="24"/>
        </w:rPr>
      </w:pPr>
      <w:r w:rsidRPr="00777BCD">
        <w:rPr>
          <w:rFonts w:ascii="Calibri" w:hAnsi="Calibri" w:cs="Calibri"/>
          <w:bCs/>
          <w:sz w:val="24"/>
        </w:rPr>
        <w:t>《基金合同》生效满</w:t>
      </w:r>
      <w:r w:rsidRPr="00777BCD">
        <w:rPr>
          <w:rFonts w:ascii="Calibri" w:hAnsi="Calibri" w:cs="Calibri"/>
          <w:bCs/>
          <w:sz w:val="24"/>
        </w:rPr>
        <w:t>3</w:t>
      </w:r>
      <w:r w:rsidRPr="00777BCD">
        <w:rPr>
          <w:rFonts w:ascii="Calibri" w:hAnsi="Calibri" w:cs="Calibri"/>
          <w:bCs/>
          <w:sz w:val="24"/>
        </w:rPr>
        <w:t>年后继续存续的，连续</w:t>
      </w:r>
      <w:r w:rsidRPr="00777BCD">
        <w:rPr>
          <w:rFonts w:ascii="Calibri" w:hAnsi="Calibri" w:cs="Calibri"/>
          <w:bCs/>
          <w:sz w:val="24"/>
        </w:rPr>
        <w:t>20</w:t>
      </w:r>
      <w:r w:rsidRPr="00777BCD">
        <w:rPr>
          <w:rFonts w:ascii="Calibri" w:hAnsi="Calibri" w:cs="Calibri"/>
          <w:bCs/>
          <w:sz w:val="24"/>
        </w:rPr>
        <w:t>个工作日出现基金份额持有人数量不满</w:t>
      </w:r>
      <w:r w:rsidRPr="00777BCD">
        <w:rPr>
          <w:rFonts w:ascii="Calibri" w:hAnsi="Calibri" w:cs="Calibri"/>
          <w:bCs/>
          <w:sz w:val="24"/>
        </w:rPr>
        <w:t>200</w:t>
      </w:r>
      <w:r w:rsidRPr="00777BCD">
        <w:rPr>
          <w:rFonts w:ascii="Calibri" w:hAnsi="Calibri" w:cs="Calibri"/>
          <w:bCs/>
          <w:sz w:val="24"/>
        </w:rPr>
        <w:t>人或者基金资产净值低于</w:t>
      </w:r>
      <w:r w:rsidRPr="00777BCD">
        <w:rPr>
          <w:rFonts w:ascii="Calibri" w:hAnsi="Calibri" w:cs="Calibri"/>
          <w:bCs/>
          <w:sz w:val="24"/>
        </w:rPr>
        <w:t>5000</w:t>
      </w:r>
      <w:r w:rsidRPr="00777BCD">
        <w:rPr>
          <w:rFonts w:ascii="Calibri" w:hAnsi="Calibri" w:cs="Calibri"/>
          <w:bCs/>
          <w:sz w:val="24"/>
        </w:rPr>
        <w:t>万元情形的，基金管理人应当在定期报告中予以披露；连续</w:t>
      </w:r>
      <w:r w:rsidRPr="00777BCD">
        <w:rPr>
          <w:rFonts w:ascii="Calibri" w:hAnsi="Calibri" w:cs="Calibri"/>
          <w:bCs/>
          <w:sz w:val="24"/>
        </w:rPr>
        <w:t>60</w:t>
      </w:r>
      <w:r w:rsidRPr="00777BCD">
        <w:rPr>
          <w:rFonts w:ascii="Calibri" w:hAnsi="Calibri" w:cs="Calibri"/>
          <w:bCs/>
          <w:sz w:val="24"/>
        </w:rPr>
        <w:t>个工作日出现前述情形的，基金管理人应当在</w:t>
      </w:r>
      <w:r w:rsidRPr="00777BCD">
        <w:rPr>
          <w:rFonts w:ascii="Calibri" w:hAnsi="Calibri" w:cs="Calibri"/>
          <w:bCs/>
          <w:sz w:val="24"/>
        </w:rPr>
        <w:t>10</w:t>
      </w:r>
      <w:r w:rsidRPr="00777BCD">
        <w:rPr>
          <w:rFonts w:ascii="Calibri" w:hAnsi="Calibri" w:cs="Calibri"/>
          <w:bCs/>
          <w:sz w:val="24"/>
        </w:rPr>
        <w:t>个工作日内向中国证监会报告并提出解决方案，如持续运作、转换运作方式、与其他基金合并或者终止基金合同等，并在</w:t>
      </w:r>
      <w:r w:rsidRPr="00777BCD">
        <w:rPr>
          <w:rFonts w:ascii="Calibri" w:hAnsi="Calibri" w:cs="Calibri"/>
          <w:bCs/>
          <w:sz w:val="24"/>
        </w:rPr>
        <w:t>6</w:t>
      </w:r>
      <w:r w:rsidRPr="00777BCD">
        <w:rPr>
          <w:rFonts w:ascii="Calibri" w:hAnsi="Calibri" w:cs="Calibri"/>
          <w:bCs/>
          <w:sz w:val="24"/>
        </w:rPr>
        <w:t>个月内召集基金份额持有人大会进行表决。法律法规或中国证监会另有规定时，从其规定。</w:t>
      </w:r>
    </w:p>
    <w:p w14:paraId="35030364" w14:textId="77777777" w:rsidR="007149DF" w:rsidRPr="00777BCD" w:rsidRDefault="007149DF">
      <w:pPr>
        <w:ind w:firstLine="480"/>
        <w:rPr>
          <w:rFonts w:ascii="Calibri" w:hAnsi="Calibri" w:cs="Calibri"/>
          <w:bCs/>
          <w:color w:val="000000" w:themeColor="text1"/>
          <w:sz w:val="24"/>
        </w:rPr>
      </w:pPr>
    </w:p>
    <w:p w14:paraId="4FA5D1F8" w14:textId="77777777" w:rsidR="007149DF" w:rsidRPr="00777BCD" w:rsidRDefault="00284640">
      <w:pPr>
        <w:pStyle w:val="11"/>
        <w:spacing w:before="0" w:after="0"/>
        <w:ind w:firstLine="420"/>
        <w:jc w:val="center"/>
        <w:rPr>
          <w:rFonts w:ascii="Calibri" w:hAnsi="Calibri" w:cs="Calibri"/>
          <w:color w:val="000000" w:themeColor="text1"/>
          <w:sz w:val="30"/>
        </w:rPr>
      </w:pPr>
      <w:r w:rsidRPr="00777BCD">
        <w:rPr>
          <w:rFonts w:ascii="Calibri" w:hAnsi="Calibri" w:cs="Calibri"/>
          <w:b w:val="0"/>
          <w:bCs/>
          <w:color w:val="000000" w:themeColor="text1"/>
          <w:sz w:val="21"/>
        </w:rPr>
        <w:br w:type="page"/>
      </w:r>
      <w:bookmarkStart w:id="110" w:name="_Toc1270"/>
      <w:bookmarkStart w:id="111" w:name="_Toc123112234"/>
      <w:bookmarkStart w:id="112" w:name="_Toc10463"/>
      <w:bookmarkStart w:id="113" w:name="_Toc7920"/>
      <w:bookmarkStart w:id="114" w:name="_Toc23822"/>
      <w:bookmarkStart w:id="115" w:name="_Toc139991736"/>
      <w:bookmarkStart w:id="116" w:name="_Toc123102453"/>
      <w:bookmarkStart w:id="117" w:name="_Toc79392606"/>
      <w:bookmarkStart w:id="118" w:name="_Toc1427"/>
      <w:bookmarkStart w:id="119" w:name="_Toc20733"/>
      <w:bookmarkStart w:id="120" w:name="_Toc610"/>
      <w:bookmarkStart w:id="121" w:name="_Toc23261"/>
      <w:bookmarkStart w:id="122" w:name="_Toc6820025"/>
      <w:bookmarkStart w:id="123" w:name="_Toc4003"/>
      <w:bookmarkStart w:id="124" w:name="_Toc48649707"/>
      <w:bookmarkStart w:id="125" w:name="_Toc17244"/>
      <w:bookmarkStart w:id="126" w:name="_Toc98560352"/>
      <w:bookmarkStart w:id="127" w:name="_Toc123051452"/>
      <w:bookmarkStart w:id="128" w:name="_Toc141703886"/>
      <w:bookmarkStart w:id="129" w:name="_Toc160725904"/>
      <w:r w:rsidRPr="00777BCD">
        <w:rPr>
          <w:rFonts w:ascii="Calibri" w:hAnsi="Calibri" w:cs="Calibri"/>
          <w:color w:val="000000" w:themeColor="text1"/>
          <w:sz w:val="30"/>
        </w:rPr>
        <w:lastRenderedPageBreak/>
        <w:t>第六部分</w:t>
      </w:r>
      <w:r w:rsidRPr="00777BCD">
        <w:rPr>
          <w:rFonts w:ascii="Calibri" w:hAnsi="Calibri" w:cs="Calibri"/>
          <w:color w:val="000000" w:themeColor="text1"/>
          <w:sz w:val="30"/>
        </w:rPr>
        <w:t xml:space="preserve">  </w:t>
      </w:r>
      <w:r w:rsidRPr="00777BCD">
        <w:rPr>
          <w:rFonts w:ascii="Calibri" w:hAnsi="Calibri" w:cs="Calibri"/>
          <w:color w:val="000000" w:themeColor="text1"/>
          <w:sz w:val="30"/>
        </w:rPr>
        <w:t>基金份额的申购与赎回</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774EB3D" w14:textId="77777777" w:rsidR="007149DF" w:rsidRPr="00777BCD" w:rsidRDefault="007149DF">
      <w:pPr>
        <w:ind w:firstLine="480"/>
        <w:rPr>
          <w:rFonts w:ascii="Calibri" w:hAnsi="Calibri" w:cs="Calibri"/>
          <w:bCs/>
          <w:color w:val="000000" w:themeColor="text1"/>
          <w:sz w:val="24"/>
        </w:rPr>
      </w:pPr>
    </w:p>
    <w:p w14:paraId="4B715C5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一、申购和赎回场所</w:t>
      </w:r>
    </w:p>
    <w:p w14:paraId="56EFBBD6" w14:textId="77F68DAF" w:rsidR="007149DF" w:rsidRPr="00777BCD" w:rsidRDefault="00284640">
      <w:pPr>
        <w:ind w:firstLine="480"/>
        <w:rPr>
          <w:rFonts w:ascii="Calibri" w:hAnsi="Calibri" w:cs="Calibri"/>
          <w:color w:val="000000" w:themeColor="text1"/>
          <w:sz w:val="24"/>
        </w:rPr>
      </w:pPr>
      <w:r w:rsidRPr="00777BCD">
        <w:rPr>
          <w:rFonts w:ascii="Calibri" w:hAnsi="Calibri" w:cs="Calibri"/>
          <w:bCs/>
          <w:color w:val="000000" w:themeColor="text1"/>
          <w:sz w:val="24"/>
        </w:rPr>
        <w:t>本基金的申购与赎回将通过销售机构进行。具体的销售机构将由基金管理人在招募说明书或基金管理人网站列明。基金管理人可根据情况</w:t>
      </w:r>
      <w:r w:rsidR="007A0E3F" w:rsidRPr="00777BCD">
        <w:rPr>
          <w:rFonts w:ascii="Calibri" w:hAnsi="Calibri" w:cs="Calibri"/>
          <w:bCs/>
          <w:color w:val="000000" w:themeColor="text1"/>
          <w:sz w:val="24"/>
        </w:rPr>
        <w:t>针对某类基金份额</w:t>
      </w:r>
      <w:r w:rsidRPr="00777BCD">
        <w:rPr>
          <w:rFonts w:ascii="Calibri" w:hAnsi="Calibri" w:cs="Calibri"/>
          <w:bCs/>
          <w:color w:val="000000" w:themeColor="text1"/>
          <w:sz w:val="24"/>
        </w:rPr>
        <w:t>变更或增减销售机构，并在基金管理人网站公示。基金投资者应当在销售机构办理基金销售业务的营业场所或按销售机构提供的其他方式办理基金份额的申购与赎回。</w:t>
      </w:r>
    </w:p>
    <w:p w14:paraId="4605D8DC" w14:textId="77777777" w:rsidR="007149DF" w:rsidRPr="00777BCD" w:rsidRDefault="007149DF">
      <w:pPr>
        <w:ind w:firstLine="420"/>
        <w:rPr>
          <w:rFonts w:ascii="Calibri" w:hAnsi="Calibri" w:cs="Calibri"/>
          <w:bCs/>
          <w:color w:val="000000" w:themeColor="text1"/>
        </w:rPr>
      </w:pPr>
    </w:p>
    <w:p w14:paraId="695D3AC6"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二、申购和赎回的开放日及时间</w:t>
      </w:r>
    </w:p>
    <w:p w14:paraId="38A4A96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、开放日及开放时间</w:t>
      </w:r>
    </w:p>
    <w:p w14:paraId="2002B3D9" w14:textId="470C4F91" w:rsidR="007149DF" w:rsidRPr="00777BCD" w:rsidRDefault="00284640">
      <w:pPr>
        <w:ind w:firstLine="480"/>
        <w:rPr>
          <w:rFonts w:ascii="Calibri" w:hAnsi="Calibri" w:cs="Calibri"/>
          <w:bCs/>
          <w:i/>
          <w:color w:val="000000" w:themeColor="text1"/>
          <w:sz w:val="24"/>
        </w:rPr>
      </w:pPr>
      <w:r w:rsidRPr="00777BCD">
        <w:rPr>
          <w:rFonts w:ascii="Calibri" w:hAnsi="Calibri" w:cs="Calibri"/>
          <w:bCs/>
          <w:color w:val="000000" w:themeColor="text1"/>
          <w:sz w:val="24"/>
        </w:rPr>
        <w:t>投资人在开放日办理基金份额的申购和赎回，具体办理时间为上海证券交易所、深圳证券交易所的正常交易日的交易时间，若本基金参与港股</w:t>
      </w:r>
      <w:proofErr w:type="gramStart"/>
      <w:r w:rsidRPr="00777BCD">
        <w:rPr>
          <w:rFonts w:ascii="Calibri" w:hAnsi="Calibri" w:cs="Calibri"/>
          <w:bCs/>
          <w:color w:val="000000" w:themeColor="text1"/>
          <w:sz w:val="24"/>
        </w:rPr>
        <w:t>通交易且</w:t>
      </w:r>
      <w:proofErr w:type="gramEnd"/>
      <w:r w:rsidRPr="00777BCD">
        <w:rPr>
          <w:rFonts w:ascii="Calibri" w:hAnsi="Calibri" w:cs="Calibri"/>
          <w:bCs/>
          <w:color w:val="000000" w:themeColor="text1"/>
          <w:sz w:val="24"/>
        </w:rPr>
        <w:t>该</w:t>
      </w:r>
      <w:r w:rsidR="00BD606A" w:rsidRPr="00777BCD">
        <w:rPr>
          <w:rFonts w:ascii="Calibri" w:hAnsi="Calibri" w:cs="Calibri"/>
          <w:bCs/>
          <w:color w:val="000000" w:themeColor="text1"/>
          <w:sz w:val="24"/>
        </w:rPr>
        <w:t>交易</w:t>
      </w:r>
      <w:r w:rsidRPr="00777BCD">
        <w:rPr>
          <w:rFonts w:ascii="Calibri" w:hAnsi="Calibri" w:cs="Calibri"/>
          <w:bCs/>
          <w:color w:val="000000" w:themeColor="text1"/>
          <w:sz w:val="24"/>
        </w:rPr>
        <w:t>日为非港股</w:t>
      </w:r>
      <w:proofErr w:type="gramStart"/>
      <w:r w:rsidRPr="00777BCD">
        <w:rPr>
          <w:rFonts w:ascii="Calibri" w:hAnsi="Calibri" w:cs="Calibri"/>
          <w:bCs/>
          <w:color w:val="000000" w:themeColor="text1"/>
          <w:sz w:val="24"/>
        </w:rPr>
        <w:t>通交易</w:t>
      </w:r>
      <w:proofErr w:type="gramEnd"/>
      <w:r w:rsidRPr="00777BCD">
        <w:rPr>
          <w:rFonts w:ascii="Calibri" w:hAnsi="Calibri" w:cs="Calibri"/>
          <w:bCs/>
          <w:color w:val="000000" w:themeColor="text1"/>
          <w:sz w:val="24"/>
        </w:rPr>
        <w:t>日时，基金管理人可调整本基金的开放日或开放时间，具体安排以届时提前发布的公告为准。但基金管理人根据法律法规、中国证监会的要求或本基金合同的规定公告暂停申购、赎回时除外。</w:t>
      </w:r>
    </w:p>
    <w:p w14:paraId="22BA5BDC" w14:textId="3AF79F7C"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基金合同生效后，若出现</w:t>
      </w:r>
      <w:r w:rsidR="00752202" w:rsidRPr="00777BCD">
        <w:rPr>
          <w:rFonts w:ascii="Calibri" w:hAnsi="Calibri" w:cs="Calibri"/>
          <w:bCs/>
          <w:color w:val="000000" w:themeColor="text1"/>
          <w:sz w:val="24"/>
        </w:rPr>
        <w:t>不可抗力、</w:t>
      </w:r>
      <w:r w:rsidRPr="00777BCD">
        <w:rPr>
          <w:rFonts w:ascii="Calibri" w:hAnsi="Calibri" w:cs="Calibri"/>
          <w:bCs/>
          <w:color w:val="000000" w:themeColor="text1"/>
          <w:sz w:val="24"/>
        </w:rPr>
        <w:t>新的证券</w:t>
      </w:r>
      <w:r w:rsidRPr="00777BCD">
        <w:rPr>
          <w:rFonts w:ascii="Calibri" w:hAnsi="Calibri" w:cs="Calibri"/>
          <w:color w:val="000000" w:themeColor="text1"/>
          <w:sz w:val="24"/>
        </w:rPr>
        <w:t>/</w:t>
      </w:r>
      <w:r w:rsidRPr="00777BCD">
        <w:rPr>
          <w:rFonts w:ascii="Calibri" w:hAnsi="Calibri" w:cs="Calibri"/>
          <w:color w:val="000000" w:themeColor="text1"/>
          <w:sz w:val="24"/>
        </w:rPr>
        <w:t>期货</w:t>
      </w:r>
      <w:r w:rsidRPr="00777BCD">
        <w:rPr>
          <w:rFonts w:ascii="Calibri" w:hAnsi="Calibri" w:cs="Calibri"/>
          <w:bCs/>
          <w:color w:val="000000" w:themeColor="text1"/>
          <w:sz w:val="24"/>
        </w:rPr>
        <w:t>交易市场、证券</w:t>
      </w:r>
      <w:r w:rsidRPr="00777BCD">
        <w:rPr>
          <w:rFonts w:ascii="Calibri" w:hAnsi="Calibri" w:cs="Calibri"/>
          <w:color w:val="000000" w:themeColor="text1"/>
          <w:sz w:val="24"/>
        </w:rPr>
        <w:t>/</w:t>
      </w:r>
      <w:r w:rsidRPr="00777BCD">
        <w:rPr>
          <w:rFonts w:ascii="Calibri" w:hAnsi="Calibri" w:cs="Calibri"/>
          <w:color w:val="000000" w:themeColor="text1"/>
          <w:sz w:val="24"/>
        </w:rPr>
        <w:t>期货</w:t>
      </w:r>
      <w:r w:rsidRPr="00777BCD">
        <w:rPr>
          <w:rFonts w:ascii="Calibri" w:hAnsi="Calibri" w:cs="Calibri"/>
          <w:bCs/>
          <w:color w:val="000000" w:themeColor="text1"/>
          <w:sz w:val="24"/>
        </w:rPr>
        <w:t>交易所交易时间变更或其他特殊情况</w:t>
      </w:r>
      <w:r w:rsidR="00752202" w:rsidRPr="00777BCD">
        <w:rPr>
          <w:rFonts w:ascii="Calibri" w:hAnsi="Calibri" w:cs="Calibri"/>
          <w:bCs/>
          <w:color w:val="000000" w:themeColor="text1"/>
          <w:sz w:val="24"/>
        </w:rPr>
        <w:t>或根据业务需要</w:t>
      </w:r>
      <w:r w:rsidRPr="00777BCD">
        <w:rPr>
          <w:rFonts w:ascii="Calibri" w:hAnsi="Calibri" w:cs="Calibri"/>
          <w:bCs/>
          <w:color w:val="000000" w:themeColor="text1"/>
          <w:sz w:val="24"/>
        </w:rPr>
        <w:t>，基金管理人将视情况对前述开放日及开放时间进行相应的调整，但应在实施日前依照《信息披露办法》的有关规定在规定媒介上公告。</w:t>
      </w:r>
    </w:p>
    <w:p w14:paraId="6262BA1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、申购、赎回开始日及业务办理时间</w:t>
      </w:r>
    </w:p>
    <w:p w14:paraId="008A2D3F" w14:textId="77777777" w:rsidR="007149DF" w:rsidRPr="00777BCD" w:rsidRDefault="00284640">
      <w:pPr>
        <w:ind w:firstLine="480"/>
        <w:rPr>
          <w:rFonts w:ascii="Calibri" w:hAnsi="Calibri" w:cs="Calibri"/>
          <w:color w:val="000000" w:themeColor="text1"/>
          <w:sz w:val="24"/>
          <w:szCs w:val="24"/>
        </w:rPr>
      </w:pPr>
      <w:r w:rsidRPr="00777BCD">
        <w:rPr>
          <w:rFonts w:ascii="Calibri" w:hAnsi="Calibri" w:cs="Calibri"/>
          <w:color w:val="000000" w:themeColor="text1"/>
          <w:sz w:val="24"/>
          <w:szCs w:val="24"/>
        </w:rPr>
        <w:t>基金管理人将根据实际情况决定本基金开始办理申购的具体日期，具体业务办理时间在申购开始公告中规定。</w:t>
      </w:r>
    </w:p>
    <w:p w14:paraId="4FF68D65" w14:textId="77777777" w:rsidR="007149DF" w:rsidRPr="00777BCD" w:rsidRDefault="00284640">
      <w:pPr>
        <w:ind w:firstLine="480"/>
        <w:rPr>
          <w:rFonts w:ascii="Calibri" w:hAnsi="Calibri" w:cs="Calibri"/>
          <w:color w:val="000000" w:themeColor="text1"/>
          <w:sz w:val="24"/>
          <w:szCs w:val="24"/>
        </w:rPr>
      </w:pPr>
      <w:r w:rsidRPr="00777BCD">
        <w:rPr>
          <w:rFonts w:ascii="Calibri" w:hAnsi="Calibri" w:cs="Calibri"/>
          <w:color w:val="000000" w:themeColor="text1"/>
          <w:sz w:val="24"/>
          <w:szCs w:val="24"/>
        </w:rPr>
        <w:t>基金管理人自基金合同生效之日起不超过</w:t>
      </w:r>
      <w:r w:rsidRPr="00777BCD">
        <w:rPr>
          <w:rFonts w:ascii="Calibri" w:hAnsi="Calibri" w:cs="Calibri"/>
          <w:color w:val="000000" w:themeColor="text1"/>
          <w:sz w:val="24"/>
          <w:szCs w:val="24"/>
        </w:rPr>
        <w:t>3</w:t>
      </w:r>
      <w:r w:rsidRPr="00777BCD">
        <w:rPr>
          <w:rFonts w:ascii="Calibri" w:hAnsi="Calibri" w:cs="Calibri"/>
          <w:color w:val="000000" w:themeColor="text1"/>
          <w:sz w:val="24"/>
          <w:szCs w:val="24"/>
        </w:rPr>
        <w:t>个月开始办理赎回，具体业务办理时间在赎回开始公告中规定。</w:t>
      </w:r>
    </w:p>
    <w:p w14:paraId="409B4EC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color w:val="000000" w:themeColor="text1"/>
          <w:sz w:val="24"/>
          <w:szCs w:val="24"/>
        </w:rPr>
        <w:t>在确定申购开始与赎回开始时间后，基金管理人应在申购、赎回开放日前依照《信息披露办法》的有关规定在规定媒介上公告申购与赎回的开始时间。</w:t>
      </w:r>
    </w:p>
    <w:p w14:paraId="212A33F6"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基金管理人不得在基金合同约定之外的日期或者时间办理基金份额的申购、赎回或者转换。投资人在基金合同约定之外的日期和时间提出申购、赎回</w:t>
      </w:r>
      <w:r w:rsidRPr="00777BCD">
        <w:rPr>
          <w:rFonts w:ascii="Calibri" w:hAnsi="Calibri" w:cs="Calibri"/>
          <w:bCs/>
          <w:color w:val="000000" w:themeColor="text1"/>
          <w:sz w:val="24"/>
        </w:rPr>
        <w:lastRenderedPageBreak/>
        <w:t>或转换申请</w:t>
      </w:r>
      <w:proofErr w:type="gramStart"/>
      <w:r w:rsidRPr="00777BCD">
        <w:rPr>
          <w:rFonts w:ascii="Calibri" w:hAnsi="Calibri" w:cs="Calibri"/>
          <w:bCs/>
          <w:color w:val="000000" w:themeColor="text1"/>
          <w:sz w:val="24"/>
        </w:rPr>
        <w:t>且登记</w:t>
      </w:r>
      <w:proofErr w:type="gramEnd"/>
      <w:r w:rsidRPr="00777BCD">
        <w:rPr>
          <w:rFonts w:ascii="Calibri" w:hAnsi="Calibri" w:cs="Calibri"/>
          <w:bCs/>
          <w:color w:val="000000" w:themeColor="text1"/>
          <w:sz w:val="24"/>
        </w:rPr>
        <w:t>机构确认接受的，其基金份额申购、赎回或转换价格为下一开放日该类基金份额申购、赎回或转换的价格。</w:t>
      </w:r>
    </w:p>
    <w:p w14:paraId="6B182E05" w14:textId="77777777" w:rsidR="007149DF" w:rsidRPr="00777BCD" w:rsidRDefault="007149DF">
      <w:pPr>
        <w:ind w:firstLine="420"/>
        <w:rPr>
          <w:rFonts w:ascii="Calibri" w:hAnsi="Calibri" w:cs="Calibri"/>
          <w:bCs/>
          <w:color w:val="000000" w:themeColor="text1"/>
        </w:rPr>
      </w:pPr>
    </w:p>
    <w:p w14:paraId="19AA64D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三、申购与赎回的原则</w:t>
      </w:r>
    </w:p>
    <w:p w14:paraId="38EC2D4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w:t>
      </w:r>
      <w:r w:rsidRPr="00777BCD">
        <w:rPr>
          <w:rFonts w:ascii="Calibri" w:hAnsi="Calibri" w:cs="Calibri"/>
          <w:bCs/>
          <w:color w:val="000000" w:themeColor="text1"/>
          <w:sz w:val="24"/>
        </w:rPr>
        <w:t>“</w:t>
      </w:r>
      <w:r w:rsidRPr="00777BCD">
        <w:rPr>
          <w:rFonts w:ascii="Calibri" w:hAnsi="Calibri" w:cs="Calibri"/>
          <w:bCs/>
          <w:color w:val="000000" w:themeColor="text1"/>
          <w:sz w:val="24"/>
        </w:rPr>
        <w:t>未知价</w:t>
      </w:r>
      <w:r w:rsidRPr="00777BCD">
        <w:rPr>
          <w:rFonts w:ascii="Calibri" w:hAnsi="Calibri" w:cs="Calibri"/>
          <w:bCs/>
          <w:color w:val="000000" w:themeColor="text1"/>
          <w:sz w:val="24"/>
        </w:rPr>
        <w:t>”</w:t>
      </w:r>
      <w:r w:rsidRPr="00777BCD">
        <w:rPr>
          <w:rFonts w:ascii="Calibri" w:hAnsi="Calibri" w:cs="Calibri"/>
          <w:bCs/>
          <w:color w:val="000000" w:themeColor="text1"/>
          <w:sz w:val="24"/>
        </w:rPr>
        <w:t>原则，即申购、赎回价格以申请当日收市后计算的该类基金份额净值为基准进行计算；</w:t>
      </w:r>
    </w:p>
    <w:p w14:paraId="5790EE9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w:t>
      </w:r>
      <w:r w:rsidRPr="00777BCD">
        <w:rPr>
          <w:rFonts w:ascii="Calibri" w:hAnsi="Calibri" w:cs="Calibri"/>
          <w:bCs/>
          <w:color w:val="000000" w:themeColor="text1"/>
          <w:sz w:val="24"/>
        </w:rPr>
        <w:t>“</w:t>
      </w:r>
      <w:r w:rsidRPr="00777BCD">
        <w:rPr>
          <w:rFonts w:ascii="Calibri" w:hAnsi="Calibri" w:cs="Calibri"/>
          <w:bCs/>
          <w:color w:val="000000" w:themeColor="text1"/>
          <w:sz w:val="24"/>
        </w:rPr>
        <w:t>金额申购、份额赎回</w:t>
      </w:r>
      <w:r w:rsidRPr="00777BCD">
        <w:rPr>
          <w:rFonts w:ascii="Calibri" w:hAnsi="Calibri" w:cs="Calibri"/>
          <w:bCs/>
          <w:color w:val="000000" w:themeColor="text1"/>
          <w:sz w:val="24"/>
        </w:rPr>
        <w:t>”</w:t>
      </w:r>
      <w:r w:rsidRPr="00777BCD">
        <w:rPr>
          <w:rFonts w:ascii="Calibri" w:hAnsi="Calibri" w:cs="Calibri"/>
          <w:bCs/>
          <w:color w:val="000000" w:themeColor="text1"/>
          <w:sz w:val="24"/>
        </w:rPr>
        <w:t>原则，即申购以金额申请，赎回以份额申请；</w:t>
      </w:r>
    </w:p>
    <w:p w14:paraId="6E1D870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、当日的申购与赎回申请可以在基金管理人规定的时间以内撤销；</w:t>
      </w:r>
    </w:p>
    <w:p w14:paraId="7DD2A4A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、赎回遵循</w:t>
      </w:r>
      <w:r w:rsidRPr="00777BCD">
        <w:rPr>
          <w:rFonts w:ascii="Calibri" w:hAnsi="Calibri" w:cs="Calibri"/>
          <w:bCs/>
          <w:color w:val="000000" w:themeColor="text1"/>
          <w:sz w:val="24"/>
        </w:rPr>
        <w:t>“</w:t>
      </w:r>
      <w:r w:rsidRPr="00777BCD">
        <w:rPr>
          <w:rFonts w:ascii="Calibri" w:hAnsi="Calibri" w:cs="Calibri"/>
          <w:bCs/>
          <w:color w:val="000000" w:themeColor="text1"/>
          <w:sz w:val="24"/>
        </w:rPr>
        <w:t>先进先出</w:t>
      </w:r>
      <w:r w:rsidRPr="00777BCD">
        <w:rPr>
          <w:rFonts w:ascii="Calibri" w:hAnsi="Calibri" w:cs="Calibri"/>
          <w:bCs/>
          <w:color w:val="000000" w:themeColor="text1"/>
          <w:sz w:val="24"/>
        </w:rPr>
        <w:t>”</w:t>
      </w:r>
      <w:r w:rsidRPr="00777BCD">
        <w:rPr>
          <w:rFonts w:ascii="Calibri" w:hAnsi="Calibri" w:cs="Calibri"/>
          <w:bCs/>
          <w:color w:val="000000" w:themeColor="text1"/>
          <w:sz w:val="24"/>
        </w:rPr>
        <w:t>原则，即按照投资人认购、申购的先后次序进行顺序赎回；</w:t>
      </w:r>
      <w:r w:rsidRPr="00777BCD">
        <w:rPr>
          <w:rFonts w:ascii="Calibri" w:hAnsi="Calibri" w:cs="Calibri"/>
          <w:bCs/>
          <w:color w:val="000000" w:themeColor="text1"/>
          <w:sz w:val="24"/>
        </w:rPr>
        <w:t xml:space="preserve"> </w:t>
      </w:r>
    </w:p>
    <w:p w14:paraId="1504B8C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5</w:t>
      </w:r>
      <w:r w:rsidRPr="00777BCD">
        <w:rPr>
          <w:rFonts w:ascii="Calibri" w:hAnsi="Calibri" w:cs="Calibri"/>
          <w:bCs/>
          <w:color w:val="000000" w:themeColor="text1"/>
          <w:sz w:val="24"/>
        </w:rPr>
        <w:t>、办理申购、赎回业务时，应当遵循基金份额持有人利益优先原则，确保投资者的合法权益不受损害并得到公平对待；</w:t>
      </w:r>
    </w:p>
    <w:p w14:paraId="7132414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6</w:t>
      </w:r>
      <w:r w:rsidRPr="00777BCD">
        <w:rPr>
          <w:rFonts w:ascii="Calibri" w:hAnsi="Calibri" w:cs="Calibri"/>
          <w:bCs/>
          <w:color w:val="000000" w:themeColor="text1"/>
          <w:sz w:val="24"/>
        </w:rPr>
        <w:t>、投资者办理申购、赎回等业务时应提交的文件和办理手续、办理时间、处理规则等在遵守基金合同和招募说明书规定的前提下，以各销售机构的具体规定为准。</w:t>
      </w:r>
    </w:p>
    <w:p w14:paraId="2FFE179B" w14:textId="77777777" w:rsidR="007149DF" w:rsidRPr="00777BCD" w:rsidRDefault="00284640">
      <w:pPr>
        <w:ind w:firstLine="480"/>
        <w:rPr>
          <w:rFonts w:ascii="Calibri" w:hAnsi="Calibri" w:cs="Calibri"/>
          <w:color w:val="000000" w:themeColor="text1"/>
          <w:sz w:val="24"/>
        </w:rPr>
      </w:pPr>
      <w:r w:rsidRPr="00777BCD">
        <w:rPr>
          <w:rFonts w:ascii="Calibri" w:hAnsi="Calibri" w:cs="Calibri"/>
          <w:bCs/>
          <w:color w:val="000000" w:themeColor="text1"/>
          <w:sz w:val="24"/>
        </w:rPr>
        <w:t>基金管理人可在法律法规允许且对基金份额持有人利益无实质性不利影响的情况下，对上述原则进行调整。基金管理人必须在新规则开始实施前依照《信息披露办法》的有关规定在规定媒介上公告。</w:t>
      </w:r>
    </w:p>
    <w:p w14:paraId="41DC69C1" w14:textId="77777777" w:rsidR="007149DF" w:rsidRPr="00777BCD" w:rsidRDefault="007149DF">
      <w:pPr>
        <w:ind w:firstLine="420"/>
        <w:rPr>
          <w:rFonts w:ascii="Calibri" w:hAnsi="Calibri" w:cs="Calibri"/>
          <w:bCs/>
          <w:color w:val="000000" w:themeColor="text1"/>
        </w:rPr>
      </w:pPr>
    </w:p>
    <w:p w14:paraId="3FD1DFC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四、申购与赎回的程序</w:t>
      </w:r>
    </w:p>
    <w:p w14:paraId="7183179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、申购和赎回的申请方式</w:t>
      </w:r>
    </w:p>
    <w:p w14:paraId="4D2C88B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投资人必须根据销售机构规定的程序，在开放日的具体业务办理时间内提出申购或赎回的申请。</w:t>
      </w:r>
    </w:p>
    <w:p w14:paraId="4086C42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、申购和赎回的款项支付</w:t>
      </w:r>
    </w:p>
    <w:p w14:paraId="0D1FF1ED" w14:textId="77777777" w:rsidR="007149DF" w:rsidRPr="00777BCD" w:rsidRDefault="00284640">
      <w:pPr>
        <w:ind w:firstLine="480"/>
        <w:rPr>
          <w:rFonts w:ascii="Calibri" w:hAnsi="Calibri" w:cs="Calibri"/>
          <w:color w:val="000000" w:themeColor="text1"/>
          <w:sz w:val="24"/>
        </w:rPr>
      </w:pPr>
      <w:r w:rsidRPr="00777BCD">
        <w:rPr>
          <w:rFonts w:ascii="Calibri" w:hAnsi="Calibri" w:cs="Calibri"/>
          <w:bCs/>
          <w:color w:val="000000" w:themeColor="text1"/>
          <w:sz w:val="24"/>
          <w:lang w:val="zh-CN"/>
        </w:rPr>
        <w:t>投资人申购基金份额时，必须按销售机构规定的方式在规定的时间内全额交付申购款项，</w:t>
      </w:r>
      <w:r w:rsidRPr="00777BCD">
        <w:rPr>
          <w:rFonts w:ascii="Calibri" w:hAnsi="Calibri" w:cs="Calibri"/>
          <w:bCs/>
          <w:sz w:val="24"/>
          <w:szCs w:val="24"/>
          <w:lang w:val="zh-CN"/>
        </w:rPr>
        <w:t>否则所提交的申购申请不成立。</w:t>
      </w:r>
      <w:r w:rsidRPr="00777BCD">
        <w:rPr>
          <w:rFonts w:ascii="Calibri" w:hAnsi="Calibri" w:cs="Calibri"/>
          <w:bCs/>
          <w:color w:val="000000" w:themeColor="text1"/>
          <w:sz w:val="24"/>
          <w:lang w:val="zh-CN"/>
        </w:rPr>
        <w:t>投资人按销售机构规定的方式在规定的时间内全额交付申购款项，申购申请</w:t>
      </w:r>
      <w:r w:rsidRPr="00777BCD">
        <w:rPr>
          <w:rFonts w:ascii="Calibri" w:hAnsi="Calibri" w:cs="Calibri"/>
          <w:color w:val="000000" w:themeColor="text1"/>
          <w:sz w:val="24"/>
          <w:lang w:val="zh-CN"/>
        </w:rPr>
        <w:t>成立；登记机构确认基金份额时，申购申请生效</w:t>
      </w:r>
      <w:r w:rsidRPr="00777BCD">
        <w:rPr>
          <w:rFonts w:ascii="Calibri" w:hAnsi="Calibri" w:cs="Calibri"/>
          <w:bCs/>
          <w:color w:val="000000" w:themeColor="text1"/>
          <w:sz w:val="24"/>
          <w:lang w:val="zh-CN"/>
        </w:rPr>
        <w:t>。</w:t>
      </w:r>
    </w:p>
    <w:p w14:paraId="1D90B7D7" w14:textId="383B795F" w:rsidR="007149DF" w:rsidRPr="00777BCD" w:rsidRDefault="00284640">
      <w:pPr>
        <w:ind w:firstLine="480"/>
        <w:rPr>
          <w:rFonts w:ascii="Calibri" w:hAnsi="Calibri" w:cs="Calibri"/>
          <w:bCs/>
          <w:color w:val="000000" w:themeColor="text1"/>
          <w:sz w:val="24"/>
        </w:rPr>
      </w:pPr>
      <w:r w:rsidRPr="00777BCD">
        <w:rPr>
          <w:rFonts w:ascii="Calibri" w:hAnsi="Calibri" w:cs="Calibri"/>
          <w:color w:val="000000" w:themeColor="text1"/>
          <w:sz w:val="24"/>
        </w:rPr>
        <w:lastRenderedPageBreak/>
        <w:t>基金份额持有人在规定的时间内递交赎回申请，赎回成立；</w:t>
      </w:r>
      <w:r w:rsidRPr="00777BCD">
        <w:rPr>
          <w:rFonts w:ascii="Calibri" w:hAnsi="Calibri" w:cs="Calibri"/>
          <w:bCs/>
          <w:sz w:val="24"/>
          <w:szCs w:val="24"/>
        </w:rPr>
        <w:t>基金份额持有人在提交赎回申请时须持有足够的基金份额余额，否则所提交的赎回申请不成立。</w:t>
      </w:r>
      <w:r w:rsidRPr="00777BCD">
        <w:rPr>
          <w:rFonts w:ascii="Calibri" w:hAnsi="Calibri" w:cs="Calibri"/>
          <w:color w:val="000000" w:themeColor="text1"/>
          <w:sz w:val="24"/>
        </w:rPr>
        <w:t>登记机构确认赎回时，赎回生效。</w:t>
      </w:r>
      <w:r w:rsidRPr="00777BCD">
        <w:rPr>
          <w:rFonts w:ascii="Calibri" w:hAnsi="Calibri" w:cs="Calibri"/>
          <w:bCs/>
          <w:color w:val="000000" w:themeColor="text1"/>
          <w:sz w:val="24"/>
        </w:rPr>
        <w:t>投资人赎回申请生效后，基金管理人将在</w:t>
      </w:r>
      <w:r w:rsidRPr="00777BCD">
        <w:rPr>
          <w:rFonts w:ascii="Calibri" w:hAnsi="Calibri" w:cs="Calibri"/>
          <w:bCs/>
          <w:color w:val="000000" w:themeColor="text1"/>
          <w:sz w:val="24"/>
        </w:rPr>
        <w:t>T+7</w:t>
      </w:r>
      <w:r w:rsidRPr="00777BCD">
        <w:rPr>
          <w:rFonts w:ascii="Calibri" w:hAnsi="Calibri" w:cs="Calibri"/>
          <w:bCs/>
          <w:color w:val="000000" w:themeColor="text1"/>
          <w:sz w:val="24"/>
        </w:rPr>
        <w:t>日</w:t>
      </w:r>
      <w:r w:rsidRPr="00777BCD">
        <w:rPr>
          <w:rFonts w:ascii="Calibri" w:hAnsi="Calibri" w:cs="Calibri"/>
          <w:bCs/>
          <w:color w:val="000000" w:themeColor="text1"/>
          <w:sz w:val="24"/>
        </w:rPr>
        <w:t>(</w:t>
      </w:r>
      <w:r w:rsidRPr="00777BCD">
        <w:rPr>
          <w:rFonts w:ascii="Calibri" w:hAnsi="Calibri" w:cs="Calibri"/>
          <w:bCs/>
          <w:color w:val="000000" w:themeColor="text1"/>
          <w:sz w:val="24"/>
        </w:rPr>
        <w:t>包括该日</w:t>
      </w:r>
      <w:r w:rsidRPr="00777BCD">
        <w:rPr>
          <w:rFonts w:ascii="Calibri" w:hAnsi="Calibri" w:cs="Calibri"/>
          <w:bCs/>
          <w:color w:val="000000" w:themeColor="text1"/>
          <w:sz w:val="24"/>
        </w:rPr>
        <w:t>)</w:t>
      </w:r>
      <w:r w:rsidRPr="00777BCD">
        <w:rPr>
          <w:rFonts w:ascii="Calibri" w:hAnsi="Calibri" w:cs="Calibri"/>
          <w:bCs/>
          <w:color w:val="000000" w:themeColor="text1"/>
          <w:sz w:val="24"/>
        </w:rPr>
        <w:t>内支付赎回款项。在发生巨额赎回或本基金合同载明的其他暂停赎回或延缓支付赎回款项的情形时，款项的支付办法参照本基金合同有关条款处理。</w:t>
      </w:r>
    </w:p>
    <w:p w14:paraId="53E9630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遇证券</w:t>
      </w:r>
      <w:r w:rsidRPr="00777BCD">
        <w:rPr>
          <w:rFonts w:ascii="Calibri" w:hAnsi="Calibri" w:cs="Calibri"/>
          <w:color w:val="000000" w:themeColor="text1"/>
          <w:sz w:val="24"/>
        </w:rPr>
        <w:t>、期货</w:t>
      </w:r>
      <w:r w:rsidRPr="00777BCD">
        <w:rPr>
          <w:rFonts w:ascii="Calibri" w:hAnsi="Calibri" w:cs="Calibri"/>
          <w:bCs/>
          <w:color w:val="000000" w:themeColor="text1"/>
          <w:sz w:val="24"/>
        </w:rPr>
        <w:t>交易所或交易市场数据传输延迟、通讯系统故障、银行数据交换系统故障、港股</w:t>
      </w:r>
      <w:proofErr w:type="gramStart"/>
      <w:r w:rsidRPr="00777BCD">
        <w:rPr>
          <w:rFonts w:ascii="Calibri" w:hAnsi="Calibri" w:cs="Calibri"/>
          <w:bCs/>
          <w:color w:val="000000" w:themeColor="text1"/>
          <w:sz w:val="24"/>
        </w:rPr>
        <w:t>通交易</w:t>
      </w:r>
      <w:proofErr w:type="gramEnd"/>
      <w:r w:rsidRPr="00777BCD">
        <w:rPr>
          <w:rFonts w:ascii="Calibri" w:hAnsi="Calibri" w:cs="Calibri"/>
          <w:bCs/>
          <w:color w:val="000000" w:themeColor="text1"/>
          <w:sz w:val="24"/>
        </w:rPr>
        <w:t>系统或港股</w:t>
      </w:r>
      <w:proofErr w:type="gramStart"/>
      <w:r w:rsidRPr="00777BCD">
        <w:rPr>
          <w:rFonts w:ascii="Calibri" w:hAnsi="Calibri" w:cs="Calibri"/>
          <w:bCs/>
          <w:color w:val="000000" w:themeColor="text1"/>
          <w:sz w:val="24"/>
        </w:rPr>
        <w:t>通资金</w:t>
      </w:r>
      <w:proofErr w:type="gramEnd"/>
      <w:r w:rsidRPr="00777BCD">
        <w:rPr>
          <w:rFonts w:ascii="Calibri" w:hAnsi="Calibri" w:cs="Calibri"/>
          <w:bCs/>
          <w:color w:val="000000" w:themeColor="text1"/>
          <w:sz w:val="24"/>
        </w:rPr>
        <w:t>交收规则限制或其它</w:t>
      </w:r>
      <w:proofErr w:type="gramStart"/>
      <w:r w:rsidRPr="00777BCD">
        <w:rPr>
          <w:rFonts w:ascii="Calibri" w:hAnsi="Calibri" w:cs="Calibri"/>
          <w:bCs/>
          <w:color w:val="000000" w:themeColor="text1"/>
          <w:sz w:val="24"/>
        </w:rPr>
        <w:t>非基金</w:t>
      </w:r>
      <w:proofErr w:type="gramEnd"/>
      <w:r w:rsidRPr="00777BCD">
        <w:rPr>
          <w:rFonts w:ascii="Calibri" w:hAnsi="Calibri" w:cs="Calibri"/>
          <w:bCs/>
          <w:color w:val="000000" w:themeColor="text1"/>
          <w:sz w:val="24"/>
        </w:rPr>
        <w:t>管理人及基金托管人所能控制的因素影响业务处理流程时，赎回款项顺延至该因素消除的最近一个工作日划出。</w:t>
      </w:r>
    </w:p>
    <w:p w14:paraId="3B8A19E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基金管理人可以在法律法规和基金合同允许的范围内，对上述业务办理时间进行调整，并必须在调整实施前依照《信息披露办法》的有关规定在规定媒介上公告。</w:t>
      </w:r>
    </w:p>
    <w:p w14:paraId="3C0FA80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、申购和赎回申请的确认</w:t>
      </w:r>
    </w:p>
    <w:p w14:paraId="3FACEAFB" w14:textId="3E5554B4"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基金管理人应以交易时间结束前受理有效申购和赎回申请的当天作为申购或赎回申请日（</w:t>
      </w:r>
      <w:r w:rsidRPr="00777BCD">
        <w:rPr>
          <w:rFonts w:ascii="Calibri" w:hAnsi="Calibri" w:cs="Calibri"/>
          <w:bCs/>
          <w:color w:val="000000" w:themeColor="text1"/>
          <w:sz w:val="24"/>
        </w:rPr>
        <w:t>T</w:t>
      </w:r>
      <w:r w:rsidRPr="00777BCD">
        <w:rPr>
          <w:rFonts w:ascii="Calibri" w:hAnsi="Calibri" w:cs="Calibri"/>
          <w:bCs/>
          <w:color w:val="000000" w:themeColor="text1"/>
          <w:sz w:val="24"/>
        </w:rPr>
        <w:t>日），在正常情况下，本基金登记机构在</w:t>
      </w:r>
      <w:r w:rsidRPr="00777BCD">
        <w:rPr>
          <w:rFonts w:ascii="Calibri" w:hAnsi="Calibri" w:cs="Calibri"/>
          <w:bCs/>
          <w:color w:val="000000" w:themeColor="text1"/>
          <w:sz w:val="24"/>
        </w:rPr>
        <w:t>T+1</w:t>
      </w:r>
      <w:r w:rsidRPr="00777BCD">
        <w:rPr>
          <w:rFonts w:ascii="Calibri" w:hAnsi="Calibri" w:cs="Calibri"/>
          <w:bCs/>
          <w:color w:val="000000" w:themeColor="text1"/>
          <w:sz w:val="24"/>
        </w:rPr>
        <w:t>日内对该交易的有效性进行确认。</w:t>
      </w:r>
      <w:r w:rsidRPr="00777BCD">
        <w:rPr>
          <w:rFonts w:ascii="Calibri" w:hAnsi="Calibri" w:cs="Calibri"/>
          <w:bCs/>
          <w:color w:val="000000" w:themeColor="text1"/>
          <w:sz w:val="24"/>
        </w:rPr>
        <w:t>T</w:t>
      </w:r>
      <w:r w:rsidRPr="00777BCD">
        <w:rPr>
          <w:rFonts w:ascii="Calibri" w:hAnsi="Calibri" w:cs="Calibri"/>
          <w:bCs/>
          <w:color w:val="000000" w:themeColor="text1"/>
          <w:sz w:val="24"/>
        </w:rPr>
        <w:t>日提交的有效申请，投资人</w:t>
      </w:r>
      <w:r w:rsidR="007C4B9F" w:rsidRPr="00777BCD">
        <w:rPr>
          <w:rFonts w:ascii="Calibri" w:hAnsi="Calibri" w:cs="Calibri"/>
          <w:bCs/>
          <w:color w:val="000000" w:themeColor="text1"/>
          <w:sz w:val="24"/>
        </w:rPr>
        <w:t>应</w:t>
      </w:r>
      <w:r w:rsidRPr="00777BCD">
        <w:rPr>
          <w:rFonts w:ascii="Calibri" w:hAnsi="Calibri" w:cs="Calibri"/>
          <w:bCs/>
          <w:color w:val="000000" w:themeColor="text1"/>
          <w:sz w:val="24"/>
        </w:rPr>
        <w:t>在</w:t>
      </w:r>
      <w:r w:rsidRPr="00777BCD">
        <w:rPr>
          <w:rFonts w:ascii="Calibri" w:hAnsi="Calibri" w:cs="Calibri"/>
          <w:bCs/>
          <w:color w:val="000000" w:themeColor="text1"/>
          <w:sz w:val="24"/>
        </w:rPr>
        <w:t>T+2</w:t>
      </w:r>
      <w:r w:rsidRPr="00777BCD">
        <w:rPr>
          <w:rFonts w:ascii="Calibri" w:hAnsi="Calibri" w:cs="Calibri"/>
          <w:bCs/>
          <w:color w:val="000000" w:themeColor="text1"/>
          <w:sz w:val="24"/>
        </w:rPr>
        <w:t>日后（包括该日）</w:t>
      </w:r>
      <w:r w:rsidR="007C4B9F" w:rsidRPr="00777BCD">
        <w:rPr>
          <w:rFonts w:ascii="Calibri" w:hAnsi="Calibri" w:cs="Calibri"/>
          <w:bCs/>
          <w:color w:val="000000" w:themeColor="text1"/>
          <w:sz w:val="24"/>
        </w:rPr>
        <w:t>及时</w:t>
      </w:r>
      <w:r w:rsidRPr="00777BCD">
        <w:rPr>
          <w:rFonts w:ascii="Calibri" w:hAnsi="Calibri" w:cs="Calibri"/>
          <w:bCs/>
          <w:color w:val="000000" w:themeColor="text1"/>
          <w:sz w:val="24"/>
        </w:rPr>
        <w:t>到销售网点柜台或以销售机构规定的其他方式查询申请的确认情况。若申购不成立或无效，则申购款项本金退还给投资人。</w:t>
      </w:r>
    </w:p>
    <w:p w14:paraId="67BF76F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管理人可在法律法规允许的范围内，且对基金份额持有人利益无实质性不利影响的情况下，依法对上述申购和赎回申请的确认时间进行调整，并必须在调整实施日前按照《信息披露办法》的有关规定在规定媒介上公告。</w:t>
      </w:r>
    </w:p>
    <w:p w14:paraId="37451058" w14:textId="37B0DEA6"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销售机构对申购、赎回申请的受理并不代表该申请一定成功，而仅代表销售机构确实接收到申购、赎回申请。申购、赎回申请的确认以登记机构的确认结果为准。对于申请的确认情况，投资人应及时查询并妥善行使权利。因</w:t>
      </w:r>
      <w:r w:rsidRPr="00777BCD">
        <w:rPr>
          <w:rFonts w:ascii="Calibri" w:hAnsi="Calibri" w:cs="Calibri"/>
          <w:bCs/>
          <w:sz w:val="24"/>
        </w:rPr>
        <w:t>投资人</w:t>
      </w:r>
      <w:proofErr w:type="gramStart"/>
      <w:r w:rsidRPr="00777BCD">
        <w:rPr>
          <w:rFonts w:ascii="Calibri" w:hAnsi="Calibri" w:cs="Calibri"/>
          <w:bCs/>
          <w:sz w:val="24"/>
        </w:rPr>
        <w:t>怠</w:t>
      </w:r>
      <w:proofErr w:type="gramEnd"/>
      <w:r w:rsidRPr="00777BCD">
        <w:rPr>
          <w:rFonts w:ascii="Calibri" w:hAnsi="Calibri" w:cs="Calibri"/>
          <w:bCs/>
          <w:sz w:val="24"/>
        </w:rPr>
        <w:t>于履行查询等各项义务，致使其相关权益受损的，基金管理人、基金托管人、销售机构不承担由此造成的损失或不利后果</w:t>
      </w:r>
      <w:r w:rsidRPr="00777BCD">
        <w:rPr>
          <w:rFonts w:ascii="Calibri" w:hAnsi="Calibri" w:cs="Calibri"/>
          <w:bCs/>
          <w:color w:val="000000" w:themeColor="text1"/>
          <w:sz w:val="24"/>
        </w:rPr>
        <w:t>。</w:t>
      </w:r>
    </w:p>
    <w:p w14:paraId="6F90D589" w14:textId="77777777" w:rsidR="007149DF" w:rsidRPr="00777BCD" w:rsidRDefault="007149DF">
      <w:pPr>
        <w:ind w:firstLine="480"/>
        <w:rPr>
          <w:rFonts w:ascii="Calibri" w:hAnsi="Calibri" w:cs="Calibri"/>
          <w:bCs/>
          <w:color w:val="000000" w:themeColor="text1"/>
          <w:sz w:val="24"/>
        </w:rPr>
      </w:pPr>
    </w:p>
    <w:p w14:paraId="225CD33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五、申购和赎回的数量限制</w:t>
      </w:r>
    </w:p>
    <w:p w14:paraId="5E20CFB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1</w:t>
      </w:r>
      <w:r w:rsidRPr="00777BCD">
        <w:rPr>
          <w:rFonts w:ascii="Calibri" w:hAnsi="Calibri" w:cs="Calibri"/>
          <w:bCs/>
          <w:color w:val="000000" w:themeColor="text1"/>
          <w:sz w:val="24"/>
        </w:rPr>
        <w:t>、基金管理人可以规定投资人首次申购和每次申购的最低金额以及每次赎回的最低份额，具体规定请参见招募说明书或相关公告。</w:t>
      </w:r>
    </w:p>
    <w:p w14:paraId="2BCD38F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、基金管理人可以规定投资人每个基金交易账户的最低基金份额余额，具体规定请参见招募说明书或相关公告。</w:t>
      </w:r>
    </w:p>
    <w:p w14:paraId="7B0EDF8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、基金管理人可以规定单个投资人累计持有的基金份额上限，具体规定请参见招募说明书或相关公告。</w:t>
      </w:r>
    </w:p>
    <w:p w14:paraId="04A3082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、基金管理人可以规定单个投资者单日或单笔申购金额上限，具体规定请参见招募说明书或相关公告。</w:t>
      </w:r>
    </w:p>
    <w:p w14:paraId="7D7D8C2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5</w:t>
      </w:r>
      <w:r w:rsidRPr="00777BCD">
        <w:rPr>
          <w:rFonts w:ascii="Calibri" w:hAnsi="Calibri" w:cs="Calibri"/>
          <w:bCs/>
          <w:color w:val="000000" w:themeColor="text1"/>
          <w:sz w:val="24"/>
        </w:rPr>
        <w:t>、基金管理人有权规定本基金的总规模限额、单日申购金额限制、单日净申购比例上限，具体规定请参见招募说明书或相关公告。</w:t>
      </w:r>
    </w:p>
    <w:p w14:paraId="54776E6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6</w:t>
      </w:r>
      <w:r w:rsidRPr="00777BCD">
        <w:rPr>
          <w:rFonts w:ascii="Calibri" w:hAnsi="Calibri" w:cs="Calibri"/>
          <w:bCs/>
          <w:color w:val="000000" w:themeColor="text1"/>
          <w:sz w:val="24"/>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基金管理人基于投资运作与风险控制的需要，可采取上述措施对基金规模予以控制。具体</w:t>
      </w:r>
      <w:proofErr w:type="gramStart"/>
      <w:r w:rsidRPr="00777BCD">
        <w:rPr>
          <w:rFonts w:ascii="Calibri" w:hAnsi="Calibri" w:cs="Calibri"/>
          <w:bCs/>
          <w:color w:val="000000" w:themeColor="text1"/>
          <w:sz w:val="24"/>
        </w:rPr>
        <w:t>见基金</w:t>
      </w:r>
      <w:proofErr w:type="gramEnd"/>
      <w:r w:rsidRPr="00777BCD">
        <w:rPr>
          <w:rFonts w:ascii="Calibri" w:hAnsi="Calibri" w:cs="Calibri"/>
          <w:bCs/>
          <w:color w:val="000000" w:themeColor="text1"/>
          <w:sz w:val="24"/>
        </w:rPr>
        <w:t>管理人相关公告。</w:t>
      </w:r>
    </w:p>
    <w:p w14:paraId="04D3D139" w14:textId="287DC602"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7</w:t>
      </w:r>
      <w:r w:rsidRPr="00777BCD">
        <w:rPr>
          <w:rFonts w:ascii="Calibri" w:hAnsi="Calibri" w:cs="Calibri"/>
          <w:bCs/>
          <w:color w:val="000000" w:themeColor="text1"/>
          <w:sz w:val="24"/>
        </w:rPr>
        <w:t>、基金管理人可在法律法规允许的情况下，调整上述规定申购金额和赎回份额的数量限制</w:t>
      </w:r>
      <w:r w:rsidR="002E2198" w:rsidRPr="00777BCD">
        <w:rPr>
          <w:rFonts w:ascii="Calibri" w:hAnsi="Calibri" w:cs="Calibri"/>
          <w:bCs/>
          <w:color w:val="000000" w:themeColor="text1"/>
          <w:sz w:val="24"/>
        </w:rPr>
        <w:t>或新增基金规模控制措施</w:t>
      </w:r>
      <w:r w:rsidRPr="00777BCD">
        <w:rPr>
          <w:rFonts w:ascii="Calibri" w:hAnsi="Calibri" w:cs="Calibri"/>
          <w:bCs/>
          <w:color w:val="000000" w:themeColor="text1"/>
          <w:sz w:val="24"/>
        </w:rPr>
        <w:t>。基金管理人必须在调整实施前依照《信息披露办法》的有关规定在规定媒介上公告。</w:t>
      </w:r>
    </w:p>
    <w:p w14:paraId="4D0E1CB9" w14:textId="77777777" w:rsidR="007149DF" w:rsidRPr="00777BCD" w:rsidRDefault="007149DF">
      <w:pPr>
        <w:ind w:firstLine="480"/>
        <w:rPr>
          <w:rFonts w:ascii="Calibri" w:hAnsi="Calibri" w:cs="Calibri"/>
          <w:bCs/>
          <w:color w:val="000000" w:themeColor="text1"/>
          <w:sz w:val="24"/>
        </w:rPr>
      </w:pPr>
    </w:p>
    <w:p w14:paraId="3170B4B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六、申购和赎回的价格、费用及其用途</w:t>
      </w:r>
    </w:p>
    <w:p w14:paraId="4BD152E1" w14:textId="13F9E4DE"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、本基金</w:t>
      </w:r>
      <w:r w:rsidRPr="00777BCD">
        <w:rPr>
          <w:rFonts w:ascii="Calibri" w:hAnsi="Calibri" w:cs="Calibri"/>
          <w:bCs/>
          <w:color w:val="000000" w:themeColor="text1"/>
          <w:sz w:val="24"/>
        </w:rPr>
        <w:t>A</w:t>
      </w:r>
      <w:r w:rsidRPr="00777BCD">
        <w:rPr>
          <w:rFonts w:ascii="Calibri" w:hAnsi="Calibri" w:cs="Calibri"/>
          <w:bCs/>
          <w:color w:val="000000" w:themeColor="text1"/>
          <w:sz w:val="24"/>
        </w:rPr>
        <w:t>类基金份额和</w:t>
      </w:r>
      <w:r w:rsidRPr="00777BCD">
        <w:rPr>
          <w:rFonts w:ascii="Calibri" w:hAnsi="Calibri" w:cs="Calibri"/>
          <w:bCs/>
          <w:color w:val="000000" w:themeColor="text1"/>
          <w:sz w:val="24"/>
        </w:rPr>
        <w:t>C</w:t>
      </w:r>
      <w:r w:rsidRPr="00777BCD">
        <w:rPr>
          <w:rFonts w:ascii="Calibri" w:hAnsi="Calibri" w:cs="Calibri"/>
          <w:bCs/>
          <w:color w:val="000000" w:themeColor="text1"/>
          <w:sz w:val="24"/>
        </w:rPr>
        <w:t>类基金份额分别设置代码，分别计算和公告基金份额净值和基金份额累计净值。本基金各类基金份额净值的计算，均保留到小数点后</w:t>
      </w:r>
      <w:r w:rsidRPr="00777BCD">
        <w:rPr>
          <w:rFonts w:ascii="Calibri" w:hAnsi="Calibri" w:cs="Calibri"/>
          <w:bCs/>
          <w:color w:val="000000" w:themeColor="text1"/>
          <w:sz w:val="24"/>
        </w:rPr>
        <w:t>4</w:t>
      </w:r>
      <w:r w:rsidRPr="00777BCD">
        <w:rPr>
          <w:rFonts w:ascii="Calibri" w:hAnsi="Calibri" w:cs="Calibri"/>
          <w:bCs/>
          <w:color w:val="000000" w:themeColor="text1"/>
          <w:sz w:val="24"/>
        </w:rPr>
        <w:t>位，小数点后第</w:t>
      </w:r>
      <w:r w:rsidRPr="00777BCD">
        <w:rPr>
          <w:rFonts w:ascii="Calibri" w:hAnsi="Calibri" w:cs="Calibri"/>
          <w:bCs/>
          <w:color w:val="000000" w:themeColor="text1"/>
          <w:sz w:val="24"/>
        </w:rPr>
        <w:t>5</w:t>
      </w:r>
      <w:r w:rsidRPr="00777BCD">
        <w:rPr>
          <w:rFonts w:ascii="Calibri" w:hAnsi="Calibri" w:cs="Calibri"/>
          <w:bCs/>
          <w:color w:val="000000" w:themeColor="text1"/>
          <w:sz w:val="24"/>
        </w:rPr>
        <w:t>位四舍五入，由此产生的收益或损失由基金财产承担。</w:t>
      </w:r>
      <w:r w:rsidRPr="00777BCD">
        <w:rPr>
          <w:rFonts w:ascii="Calibri" w:hAnsi="Calibri" w:cs="Calibri"/>
          <w:bCs/>
          <w:color w:val="000000" w:themeColor="text1"/>
          <w:sz w:val="24"/>
        </w:rPr>
        <w:t>T</w:t>
      </w:r>
      <w:r w:rsidRPr="00777BCD">
        <w:rPr>
          <w:rFonts w:ascii="Calibri" w:hAnsi="Calibri" w:cs="Calibri"/>
          <w:bCs/>
          <w:color w:val="000000" w:themeColor="text1"/>
          <w:sz w:val="24"/>
        </w:rPr>
        <w:t>日的各类基金份额净值在当天收市后计算，并</w:t>
      </w:r>
      <w:r w:rsidR="004A1CA9" w:rsidRPr="00777BCD">
        <w:rPr>
          <w:rFonts w:ascii="Calibri" w:hAnsi="Calibri" w:cs="Calibri"/>
          <w:bCs/>
          <w:color w:val="000000" w:themeColor="text1"/>
          <w:sz w:val="24"/>
        </w:rPr>
        <w:t>根据基金合同约定进行</w:t>
      </w:r>
      <w:r w:rsidRPr="00777BCD">
        <w:rPr>
          <w:rFonts w:ascii="Calibri" w:hAnsi="Calibri" w:cs="Calibri"/>
          <w:bCs/>
          <w:color w:val="000000" w:themeColor="text1"/>
          <w:sz w:val="24"/>
        </w:rPr>
        <w:t>公告。遇特殊情况，经履行适当程序，可以适当延迟计算或公告。</w:t>
      </w:r>
    </w:p>
    <w:p w14:paraId="3865546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、申购份额的计算及余额的处理方式：本基金申购份额的计算详见《招募说明书》。本基金</w:t>
      </w:r>
      <w:r w:rsidRPr="00777BCD">
        <w:rPr>
          <w:rFonts w:ascii="Calibri" w:hAnsi="Calibri" w:cs="Calibri"/>
          <w:bCs/>
          <w:color w:val="000000" w:themeColor="text1"/>
          <w:sz w:val="24"/>
        </w:rPr>
        <w:t>A</w:t>
      </w:r>
      <w:r w:rsidRPr="00777BCD">
        <w:rPr>
          <w:rFonts w:ascii="Calibri" w:hAnsi="Calibri" w:cs="Calibri"/>
          <w:bCs/>
          <w:color w:val="000000" w:themeColor="text1"/>
          <w:sz w:val="24"/>
        </w:rPr>
        <w:t>类基金份额的申购费率由基金管理人决定，并在招募说明书及基金产品资料概要中列示。申购的有效份额为净申购金额除以当日的该类</w:t>
      </w:r>
      <w:r w:rsidRPr="00777BCD">
        <w:rPr>
          <w:rFonts w:ascii="Calibri" w:hAnsi="Calibri" w:cs="Calibri"/>
          <w:bCs/>
          <w:color w:val="000000" w:themeColor="text1"/>
          <w:sz w:val="24"/>
        </w:rPr>
        <w:lastRenderedPageBreak/>
        <w:t>基金份额净值，有效份额单位为份，申购份额的计算结果按四舍五入方法，保留到小数点后</w:t>
      </w:r>
      <w:r w:rsidRPr="00777BCD">
        <w:rPr>
          <w:rFonts w:ascii="Calibri" w:hAnsi="Calibri" w:cs="Calibri"/>
          <w:bCs/>
          <w:color w:val="000000" w:themeColor="text1"/>
          <w:sz w:val="24"/>
        </w:rPr>
        <w:t>2</w:t>
      </w:r>
      <w:r w:rsidRPr="00777BCD">
        <w:rPr>
          <w:rFonts w:ascii="Calibri" w:hAnsi="Calibri" w:cs="Calibri"/>
          <w:bCs/>
          <w:color w:val="000000" w:themeColor="text1"/>
          <w:sz w:val="24"/>
        </w:rPr>
        <w:t>位，由此产生的收益或损失由基金财产承担。</w:t>
      </w:r>
    </w:p>
    <w:p w14:paraId="22631AD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赎回金额的计算及处理方式：本基金赎回金额的计算详见《招募说明书》。本基金的赎回费率由基金管理人决定，并在招募说明书及基金产品资料概要中列示。赎回金额为按实际确认的有效赎回份额乘以当日该类基金份额净值并扣除相应的费用，赎回金额单位为元。赎回金额的计算结果按四舍五入方法，保留到小数点后</w:t>
      </w:r>
      <w:r w:rsidRPr="00777BCD">
        <w:rPr>
          <w:rFonts w:ascii="Calibri" w:hAnsi="Calibri" w:cs="Calibri"/>
          <w:bCs/>
          <w:color w:val="000000" w:themeColor="text1"/>
          <w:sz w:val="24"/>
        </w:rPr>
        <w:t>2</w:t>
      </w:r>
      <w:r w:rsidRPr="00777BCD">
        <w:rPr>
          <w:rFonts w:ascii="Calibri" w:hAnsi="Calibri" w:cs="Calibri"/>
          <w:bCs/>
          <w:color w:val="000000" w:themeColor="text1"/>
          <w:sz w:val="24"/>
        </w:rPr>
        <w:t>位，由此产生的收益或损失由基金财产承担。</w:t>
      </w:r>
    </w:p>
    <w:p w14:paraId="4F0A029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、本基金</w:t>
      </w:r>
      <w:r w:rsidRPr="00777BCD">
        <w:rPr>
          <w:rFonts w:ascii="Calibri" w:hAnsi="Calibri" w:cs="Calibri"/>
          <w:bCs/>
          <w:color w:val="000000" w:themeColor="text1"/>
          <w:sz w:val="24"/>
        </w:rPr>
        <w:t>A</w:t>
      </w:r>
      <w:r w:rsidRPr="00777BCD">
        <w:rPr>
          <w:rFonts w:ascii="Calibri" w:hAnsi="Calibri" w:cs="Calibri"/>
          <w:bCs/>
          <w:color w:val="000000" w:themeColor="text1"/>
          <w:sz w:val="24"/>
        </w:rPr>
        <w:t>类基金份额的申购费用由申购</w:t>
      </w:r>
      <w:r w:rsidRPr="00777BCD">
        <w:rPr>
          <w:rFonts w:ascii="Calibri" w:hAnsi="Calibri" w:cs="Calibri"/>
          <w:bCs/>
          <w:color w:val="000000" w:themeColor="text1"/>
          <w:sz w:val="24"/>
        </w:rPr>
        <w:t>A</w:t>
      </w:r>
      <w:r w:rsidRPr="00777BCD">
        <w:rPr>
          <w:rFonts w:ascii="Calibri" w:hAnsi="Calibri" w:cs="Calibri"/>
          <w:bCs/>
          <w:color w:val="000000" w:themeColor="text1"/>
          <w:sz w:val="24"/>
        </w:rPr>
        <w:t>类基金份额的投资人承担，不列入基金财产；</w:t>
      </w:r>
      <w:r w:rsidRPr="00777BCD">
        <w:rPr>
          <w:rFonts w:ascii="Calibri" w:hAnsi="Calibri" w:cs="Calibri"/>
          <w:bCs/>
          <w:color w:val="000000" w:themeColor="text1"/>
          <w:sz w:val="24"/>
        </w:rPr>
        <w:t>C</w:t>
      </w:r>
      <w:r w:rsidRPr="00777BCD">
        <w:rPr>
          <w:rFonts w:ascii="Calibri" w:hAnsi="Calibri" w:cs="Calibri"/>
          <w:bCs/>
          <w:color w:val="000000" w:themeColor="text1"/>
          <w:sz w:val="24"/>
        </w:rPr>
        <w:t>类基金份额不收取申购费用。</w:t>
      </w:r>
    </w:p>
    <w:p w14:paraId="4E119206"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5</w:t>
      </w:r>
      <w:r w:rsidRPr="00777BCD">
        <w:rPr>
          <w:rFonts w:ascii="Calibri" w:hAnsi="Calibri" w:cs="Calibri"/>
          <w:bCs/>
          <w:color w:val="000000" w:themeColor="text1"/>
          <w:sz w:val="24"/>
        </w:rPr>
        <w:t>、赎回费用由赎回相应类别基金份额的基金份额持有人承担，在基金份额持有人赎回各类基金份额时收取。赎回费用归入基金财产的比例依照相关法律法规设定，具体见招募说明书的规定，未归入基金财产的部分用于支付登记费和其他必要的手续费。其中，对持续持有期少于</w:t>
      </w:r>
      <w:r w:rsidRPr="00777BCD">
        <w:rPr>
          <w:rFonts w:ascii="Calibri" w:hAnsi="Calibri" w:cs="Calibri"/>
          <w:bCs/>
          <w:color w:val="000000" w:themeColor="text1"/>
          <w:sz w:val="24"/>
        </w:rPr>
        <w:t>7</w:t>
      </w:r>
      <w:r w:rsidRPr="00777BCD">
        <w:rPr>
          <w:rFonts w:ascii="Calibri" w:hAnsi="Calibri" w:cs="Calibri"/>
          <w:bCs/>
          <w:color w:val="000000" w:themeColor="text1"/>
          <w:sz w:val="24"/>
        </w:rPr>
        <w:t>日的投资者收取不低于</w:t>
      </w:r>
      <w:r w:rsidRPr="00777BCD">
        <w:rPr>
          <w:rFonts w:ascii="Calibri" w:hAnsi="Calibri" w:cs="Calibri"/>
          <w:bCs/>
          <w:color w:val="000000" w:themeColor="text1"/>
          <w:sz w:val="24"/>
        </w:rPr>
        <w:t>1.5%</w:t>
      </w:r>
      <w:r w:rsidRPr="00777BCD">
        <w:rPr>
          <w:rFonts w:ascii="Calibri" w:hAnsi="Calibri" w:cs="Calibri"/>
          <w:bCs/>
          <w:color w:val="000000" w:themeColor="text1"/>
          <w:sz w:val="24"/>
        </w:rPr>
        <w:t>的赎回费，并全额计入基金财产。</w:t>
      </w:r>
    </w:p>
    <w:p w14:paraId="131BDB1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6</w:t>
      </w:r>
      <w:r w:rsidRPr="00777BCD">
        <w:rPr>
          <w:rFonts w:ascii="Calibri" w:hAnsi="Calibri" w:cs="Calibri"/>
          <w:bCs/>
          <w:color w:val="000000" w:themeColor="text1"/>
          <w:sz w:val="24"/>
        </w:rPr>
        <w:t>、本基金的申购费率、申购份额具体的计算方法、赎回费率、赎回金额具体的计算方法和收费方式由基金管理人根据基金合同的规定确定，并在招募说明书中列示。基金管理人可以在基金合同约定的范围内调整费率或收费方式，并最迟应于新的费率或收费方式实施日前依照《信息披露办法》的有关规定在规定媒介上公告。</w:t>
      </w:r>
    </w:p>
    <w:p w14:paraId="2EB1560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7</w:t>
      </w:r>
      <w:r w:rsidRPr="00777BCD">
        <w:rPr>
          <w:rFonts w:ascii="Calibri" w:hAnsi="Calibri" w:cs="Calibri"/>
          <w:bCs/>
          <w:color w:val="000000" w:themeColor="text1"/>
          <w:sz w:val="24"/>
        </w:rPr>
        <w:t>、当本基金发生大额申购或赎回情形时，基金管理人可以采用摆动定价机制，以确保基金估值的公平性。具体处理原则与操作规范遵循相关法律法规以及监管部门、自律规则的规定。</w:t>
      </w:r>
    </w:p>
    <w:p w14:paraId="643D2ADE" w14:textId="74CDDE6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8</w:t>
      </w:r>
      <w:r w:rsidRPr="00777BCD">
        <w:rPr>
          <w:rFonts w:ascii="Calibri" w:hAnsi="Calibri" w:cs="Calibri"/>
          <w:bCs/>
          <w:color w:val="000000" w:themeColor="text1"/>
          <w:sz w:val="24"/>
        </w:rPr>
        <w:t>、基金管理人可以在不违反法律法规规定及基金合同约定且对存量基金份额持有人利益无实质性不利影响的情形下，根据市场情况制定基金促销计划，针对投资人定期或不定期地开展基金促销活动。在基金促销活动期间，按相关监管部门要求履行必要手续后，基金管理人可以适当调低基金销售费率，或针对特定渠道、特定投资群体开展有差别的费率优惠活动。</w:t>
      </w:r>
    </w:p>
    <w:p w14:paraId="19A283EE" w14:textId="77777777" w:rsidR="007149DF" w:rsidRPr="00777BCD" w:rsidRDefault="007149DF">
      <w:pPr>
        <w:ind w:firstLine="480"/>
        <w:rPr>
          <w:rFonts w:ascii="Calibri" w:hAnsi="Calibri" w:cs="Calibri"/>
          <w:bCs/>
          <w:color w:val="000000" w:themeColor="text1"/>
          <w:sz w:val="24"/>
        </w:rPr>
      </w:pPr>
    </w:p>
    <w:p w14:paraId="0AAC0FE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七、拒绝或暂停申购的情形</w:t>
      </w:r>
    </w:p>
    <w:p w14:paraId="05EB3E4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发生下列情况时，基金管理人可拒绝或暂停接受投资人的申购申请：</w:t>
      </w:r>
    </w:p>
    <w:p w14:paraId="2CC1F5F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、因不可抗力导致基金无法正常运作。</w:t>
      </w:r>
    </w:p>
    <w:p w14:paraId="28054D49" w14:textId="77777777" w:rsidR="007149DF" w:rsidRPr="00777BCD" w:rsidRDefault="00284640">
      <w:pPr>
        <w:ind w:firstLine="480"/>
        <w:rPr>
          <w:rFonts w:ascii="Calibri" w:hAnsi="Calibri" w:cs="Calibri"/>
          <w:color w:val="000000" w:themeColor="text1"/>
          <w:sz w:val="24"/>
        </w:rPr>
      </w:pPr>
      <w:r w:rsidRPr="00777BCD">
        <w:rPr>
          <w:rFonts w:ascii="Calibri" w:hAnsi="Calibri" w:cs="Calibri"/>
          <w:color w:val="000000" w:themeColor="text1"/>
          <w:sz w:val="24"/>
        </w:rPr>
        <w:t>2</w:t>
      </w:r>
      <w:r w:rsidRPr="00777BCD">
        <w:rPr>
          <w:rFonts w:ascii="Calibri" w:hAnsi="Calibri" w:cs="Calibri"/>
          <w:color w:val="000000" w:themeColor="text1"/>
          <w:sz w:val="24"/>
        </w:rPr>
        <w:t>、发生基金合同规定的暂停基金资产估值情况时。</w:t>
      </w:r>
    </w:p>
    <w:p w14:paraId="6E72B37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、证券</w:t>
      </w:r>
      <w:r w:rsidRPr="00777BCD">
        <w:rPr>
          <w:rFonts w:ascii="Calibri" w:hAnsi="Calibri" w:cs="Calibri"/>
          <w:color w:val="000000" w:themeColor="text1"/>
          <w:sz w:val="24"/>
        </w:rPr>
        <w:t>、期货</w:t>
      </w:r>
      <w:r w:rsidRPr="00777BCD">
        <w:rPr>
          <w:rFonts w:ascii="Calibri" w:hAnsi="Calibri" w:cs="Calibri"/>
          <w:bCs/>
          <w:color w:val="000000" w:themeColor="text1"/>
          <w:sz w:val="24"/>
        </w:rPr>
        <w:t>交易所或外汇市场交易时间非正常停市，或基金参与港股</w:t>
      </w:r>
      <w:proofErr w:type="gramStart"/>
      <w:r w:rsidRPr="00777BCD">
        <w:rPr>
          <w:rFonts w:ascii="Calibri" w:hAnsi="Calibri" w:cs="Calibri"/>
          <w:bCs/>
          <w:color w:val="000000" w:themeColor="text1"/>
          <w:sz w:val="24"/>
        </w:rPr>
        <w:t>通交易且</w:t>
      </w:r>
      <w:proofErr w:type="gramEnd"/>
      <w:r w:rsidRPr="00777BCD">
        <w:rPr>
          <w:rFonts w:ascii="Calibri" w:hAnsi="Calibri" w:cs="Calibri"/>
          <w:bCs/>
          <w:color w:val="000000" w:themeColor="text1"/>
          <w:sz w:val="24"/>
        </w:rPr>
        <w:t>港股通暂停交易，导致基金管理人无法计算当日基金资产净值。</w:t>
      </w:r>
    </w:p>
    <w:p w14:paraId="415C0D83" w14:textId="77777777" w:rsidR="007149DF" w:rsidRPr="00777BCD" w:rsidRDefault="00284640">
      <w:pPr>
        <w:ind w:firstLine="480"/>
        <w:rPr>
          <w:rFonts w:ascii="Calibri" w:hAnsi="Calibri" w:cs="Calibri"/>
          <w:bCs/>
          <w:color w:val="000000" w:themeColor="text1"/>
          <w:sz w:val="24"/>
        </w:rPr>
      </w:pPr>
      <w:bookmarkStart w:id="130" w:name="_Hlt70481650"/>
      <w:bookmarkEnd w:id="130"/>
      <w:r w:rsidRPr="00777BCD">
        <w:rPr>
          <w:rFonts w:ascii="Calibri" w:hAnsi="Calibri" w:cs="Calibri"/>
          <w:bCs/>
          <w:color w:val="000000" w:themeColor="text1"/>
          <w:sz w:val="24"/>
        </w:rPr>
        <w:t>4</w:t>
      </w:r>
      <w:r w:rsidRPr="00777BCD">
        <w:rPr>
          <w:rFonts w:ascii="Calibri" w:hAnsi="Calibri" w:cs="Calibri"/>
          <w:bCs/>
          <w:color w:val="000000" w:themeColor="text1"/>
          <w:sz w:val="24"/>
        </w:rPr>
        <w:t>、接受某笔或某些申购申请可能会影响或损害现有基金份额持有人利益或对存量基金份额持有人利益构成潜在重大不利影响时。</w:t>
      </w:r>
    </w:p>
    <w:p w14:paraId="037F2B7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5</w:t>
      </w:r>
      <w:r w:rsidRPr="00777BCD">
        <w:rPr>
          <w:rFonts w:ascii="Calibri" w:hAnsi="Calibri" w:cs="Calibri"/>
          <w:bCs/>
          <w:color w:val="000000" w:themeColor="text1"/>
          <w:sz w:val="24"/>
        </w:rPr>
        <w:t>、基金资产规模过大，使基金管理人无法找到合适的投资品种，或其他可能对基金业绩产生负面影响，或发生其他损害现有基金份额持有人利益的情形。</w:t>
      </w:r>
    </w:p>
    <w:p w14:paraId="40B2412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6</w:t>
      </w:r>
      <w:r w:rsidRPr="00777BCD">
        <w:rPr>
          <w:rFonts w:ascii="Calibri" w:hAnsi="Calibri" w:cs="Calibri"/>
          <w:bCs/>
          <w:color w:val="000000" w:themeColor="text1"/>
          <w:sz w:val="24"/>
        </w:rPr>
        <w:t>、基金管理人、基金托管人、基金销售机构或登记机构的异常情况导致基金销售系统、基金登记结算系统、基金会计系统或证券登记结算系统无法正常运行。</w:t>
      </w:r>
    </w:p>
    <w:p w14:paraId="117A4A5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7</w:t>
      </w:r>
      <w:r w:rsidRPr="00777BCD">
        <w:rPr>
          <w:rFonts w:ascii="Calibri" w:hAnsi="Calibri" w:cs="Calibri"/>
          <w:bCs/>
          <w:color w:val="000000" w:themeColor="text1"/>
          <w:sz w:val="24"/>
        </w:rPr>
        <w:t>、当前一估值日基金资产净值</w:t>
      </w:r>
      <w:r w:rsidRPr="00777BCD">
        <w:rPr>
          <w:rFonts w:ascii="Calibri" w:hAnsi="Calibri" w:cs="Calibri"/>
          <w:bCs/>
          <w:color w:val="000000" w:themeColor="text1"/>
          <w:sz w:val="24"/>
        </w:rPr>
        <w:t>50%</w:t>
      </w:r>
      <w:r w:rsidRPr="00777BCD">
        <w:rPr>
          <w:rFonts w:ascii="Calibri" w:hAnsi="Calibri" w:cs="Calibri"/>
          <w:bCs/>
          <w:color w:val="000000" w:themeColor="text1"/>
          <w:sz w:val="24"/>
        </w:rPr>
        <w:t>以上的资产出现无可参考的活跃市场价格且采用估值技术</w:t>
      </w:r>
      <w:proofErr w:type="gramStart"/>
      <w:r w:rsidRPr="00777BCD">
        <w:rPr>
          <w:rFonts w:ascii="Calibri" w:hAnsi="Calibri" w:cs="Calibri"/>
          <w:bCs/>
          <w:color w:val="000000" w:themeColor="text1"/>
          <w:sz w:val="24"/>
        </w:rPr>
        <w:t>仍导致</w:t>
      </w:r>
      <w:proofErr w:type="gramEnd"/>
      <w:r w:rsidRPr="00777BCD">
        <w:rPr>
          <w:rFonts w:ascii="Calibri" w:hAnsi="Calibri" w:cs="Calibri"/>
          <w:bCs/>
          <w:color w:val="000000" w:themeColor="text1"/>
          <w:sz w:val="24"/>
        </w:rPr>
        <w:t>公允价值存在重大不确定性时，经与基金托管人协商确认后，基金管理人应当暂停接受基金申购申请。</w:t>
      </w:r>
    </w:p>
    <w:p w14:paraId="1B83996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8</w:t>
      </w:r>
      <w:r w:rsidRPr="00777BCD">
        <w:rPr>
          <w:rFonts w:ascii="Calibri" w:hAnsi="Calibri" w:cs="Calibri"/>
          <w:bCs/>
          <w:color w:val="000000" w:themeColor="text1"/>
          <w:sz w:val="24"/>
        </w:rPr>
        <w:t>、基金管理人接受某笔或者某些申购申请有可能导致单一投资者（基金管理人、基金管理人高级管理人员或基金经理等人员作为发起资金提供方除外）持有基金份额的比例达到或者超过</w:t>
      </w:r>
      <w:r w:rsidRPr="00777BCD">
        <w:rPr>
          <w:rFonts w:ascii="Calibri" w:hAnsi="Calibri" w:cs="Calibri"/>
          <w:bCs/>
          <w:color w:val="000000" w:themeColor="text1"/>
          <w:sz w:val="24"/>
        </w:rPr>
        <w:t>50%</w:t>
      </w:r>
      <w:r w:rsidRPr="00777BCD">
        <w:rPr>
          <w:rFonts w:ascii="Calibri" w:hAnsi="Calibri" w:cs="Calibri"/>
          <w:bCs/>
          <w:color w:val="000000" w:themeColor="text1"/>
          <w:sz w:val="24"/>
        </w:rPr>
        <w:t>，或者变相规避</w:t>
      </w:r>
      <w:r w:rsidRPr="00777BCD">
        <w:rPr>
          <w:rFonts w:ascii="Calibri" w:hAnsi="Calibri" w:cs="Calibri"/>
          <w:bCs/>
          <w:color w:val="000000" w:themeColor="text1"/>
          <w:sz w:val="24"/>
        </w:rPr>
        <w:t>50%</w:t>
      </w:r>
      <w:r w:rsidRPr="00777BCD">
        <w:rPr>
          <w:rFonts w:ascii="Calibri" w:hAnsi="Calibri" w:cs="Calibri"/>
          <w:bCs/>
          <w:color w:val="000000" w:themeColor="text1"/>
          <w:sz w:val="24"/>
        </w:rPr>
        <w:t>集中度的情形。</w:t>
      </w:r>
    </w:p>
    <w:p w14:paraId="22A16A3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9</w:t>
      </w:r>
      <w:r w:rsidRPr="00777BCD">
        <w:rPr>
          <w:rFonts w:ascii="Calibri" w:hAnsi="Calibri" w:cs="Calibri"/>
          <w:bCs/>
          <w:color w:val="000000" w:themeColor="text1"/>
          <w:sz w:val="24"/>
        </w:rPr>
        <w:t>、接受某笔或某些申购申请会超过基金管理人设定的本基金的总规模限额、单日申购金额限制、单日净申购比例上限、单个投资者单日或单笔申购金额上限的，或接受该申购申请会使单个投资者累计持有的基金份额超出基金管理人公告的限额时。</w:t>
      </w:r>
    </w:p>
    <w:p w14:paraId="2574EA1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10</w:t>
      </w:r>
      <w:r w:rsidRPr="00777BCD">
        <w:rPr>
          <w:rFonts w:ascii="Calibri" w:hAnsi="Calibri" w:cs="Calibri"/>
          <w:bCs/>
          <w:color w:val="000000" w:themeColor="text1"/>
          <w:sz w:val="24"/>
        </w:rPr>
        <w:t>、基金参与港股</w:t>
      </w:r>
      <w:proofErr w:type="gramStart"/>
      <w:r w:rsidRPr="00777BCD">
        <w:rPr>
          <w:rFonts w:ascii="Calibri" w:hAnsi="Calibri" w:cs="Calibri"/>
          <w:bCs/>
          <w:color w:val="000000" w:themeColor="text1"/>
          <w:sz w:val="24"/>
        </w:rPr>
        <w:t>通交易且港股通交易</w:t>
      </w:r>
      <w:proofErr w:type="gramEnd"/>
      <w:r w:rsidRPr="00777BCD">
        <w:rPr>
          <w:rFonts w:ascii="Calibri" w:hAnsi="Calibri" w:cs="Calibri"/>
          <w:bCs/>
          <w:color w:val="000000" w:themeColor="text1"/>
          <w:sz w:val="24"/>
        </w:rPr>
        <w:t>每日额度不足，或者发生证券交易服务公司等机构认定的交易异常情况并决定暂停提供部分或者全部港股通服务，或者发生其他影响通过内地与香港股票市场交易互联互通机制进行正常交易的情形。</w:t>
      </w:r>
    </w:p>
    <w:p w14:paraId="1144747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11</w:t>
      </w:r>
      <w:r w:rsidRPr="00777BCD">
        <w:rPr>
          <w:rFonts w:ascii="Calibri" w:hAnsi="Calibri" w:cs="Calibri"/>
          <w:bCs/>
          <w:color w:val="000000" w:themeColor="text1"/>
          <w:sz w:val="24"/>
        </w:rPr>
        <w:t>、法律法规规定或中国证监会认定的其他情形。</w:t>
      </w:r>
    </w:p>
    <w:p w14:paraId="0A345DA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发生上述除第</w:t>
      </w:r>
      <w:r w:rsidRPr="00777BCD">
        <w:rPr>
          <w:rFonts w:ascii="Calibri" w:hAnsi="Calibri" w:cs="Calibri"/>
          <w:bCs/>
          <w:color w:val="000000" w:themeColor="text1"/>
          <w:sz w:val="24"/>
        </w:rPr>
        <w:t>4</w:t>
      </w:r>
      <w:r w:rsidRPr="00777BCD">
        <w:rPr>
          <w:rFonts w:ascii="Calibri" w:hAnsi="Calibri" w:cs="Calibri"/>
          <w:bCs/>
          <w:color w:val="000000" w:themeColor="text1"/>
          <w:sz w:val="24"/>
        </w:rPr>
        <w:t>、</w:t>
      </w:r>
      <w:r w:rsidRPr="00777BCD">
        <w:rPr>
          <w:rFonts w:ascii="Calibri" w:hAnsi="Calibri" w:cs="Calibri"/>
          <w:bCs/>
          <w:color w:val="000000" w:themeColor="text1"/>
          <w:sz w:val="24"/>
        </w:rPr>
        <w:t>8</w:t>
      </w:r>
      <w:r w:rsidRPr="00777BCD">
        <w:rPr>
          <w:rFonts w:ascii="Calibri" w:hAnsi="Calibri" w:cs="Calibri"/>
          <w:bCs/>
          <w:color w:val="000000" w:themeColor="text1"/>
          <w:sz w:val="24"/>
        </w:rPr>
        <w:t>、</w:t>
      </w:r>
      <w:r w:rsidRPr="00777BCD">
        <w:rPr>
          <w:rFonts w:ascii="Calibri" w:hAnsi="Calibri" w:cs="Calibri"/>
          <w:bCs/>
          <w:color w:val="000000" w:themeColor="text1"/>
          <w:sz w:val="24"/>
        </w:rPr>
        <w:t>9</w:t>
      </w:r>
      <w:r w:rsidRPr="00777BCD">
        <w:rPr>
          <w:rFonts w:ascii="Calibri" w:hAnsi="Calibri" w:cs="Calibri"/>
          <w:bCs/>
          <w:color w:val="000000" w:themeColor="text1"/>
          <w:sz w:val="24"/>
        </w:rPr>
        <w:t>项以外的暂停申购情形之一</w:t>
      </w:r>
      <w:proofErr w:type="gramStart"/>
      <w:r w:rsidRPr="00777BCD">
        <w:rPr>
          <w:rFonts w:ascii="Calibri" w:hAnsi="Calibri" w:cs="Calibri"/>
          <w:bCs/>
          <w:color w:val="000000" w:themeColor="text1"/>
          <w:sz w:val="24"/>
        </w:rPr>
        <w:t>且基金</w:t>
      </w:r>
      <w:proofErr w:type="gramEnd"/>
      <w:r w:rsidRPr="00777BCD">
        <w:rPr>
          <w:rFonts w:ascii="Calibri" w:hAnsi="Calibri" w:cs="Calibri"/>
          <w:bCs/>
          <w:color w:val="000000" w:themeColor="text1"/>
          <w:sz w:val="24"/>
        </w:rPr>
        <w:t>管理人决定暂停接受投资人申购申请时，基金管理人应当根据有关规定在规定媒介上刊登暂停申购公告。如果投资人的申购申请被全部或部分拒绝，被拒绝的申购款项本金将退还给投资人，基金管理人及基金托管人不承担该退回款项产生的利息等损失。在暂停申购的情况消除时，基金管理人应及时恢复申购业务的办理。</w:t>
      </w:r>
    </w:p>
    <w:p w14:paraId="15F9D5DE" w14:textId="77777777" w:rsidR="007149DF" w:rsidRPr="00777BCD" w:rsidRDefault="007149DF">
      <w:pPr>
        <w:ind w:firstLine="420"/>
        <w:rPr>
          <w:rFonts w:ascii="Calibri" w:hAnsi="Calibri" w:cs="Calibri"/>
          <w:bCs/>
          <w:color w:val="000000" w:themeColor="text1"/>
        </w:rPr>
      </w:pPr>
    </w:p>
    <w:p w14:paraId="2C8E655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八、暂停赎回或延缓支付赎回款项的情形</w:t>
      </w:r>
    </w:p>
    <w:p w14:paraId="6DD27D3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发生下列情形时，基金管理人可暂停接受投资人的赎回申请或延缓支付赎回款项：</w:t>
      </w:r>
    </w:p>
    <w:p w14:paraId="3F1A932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、因不可抗力导致基金管理人不能支付赎回款项。</w:t>
      </w:r>
    </w:p>
    <w:p w14:paraId="798D0A46" w14:textId="77777777" w:rsidR="007149DF" w:rsidRPr="00777BCD" w:rsidRDefault="00284640">
      <w:pPr>
        <w:ind w:firstLine="480"/>
        <w:rPr>
          <w:rFonts w:ascii="Calibri" w:hAnsi="Calibri" w:cs="Calibri"/>
          <w:color w:val="000000" w:themeColor="text1"/>
          <w:sz w:val="24"/>
        </w:rPr>
      </w:pPr>
      <w:r w:rsidRPr="00777BCD">
        <w:rPr>
          <w:rFonts w:ascii="Calibri" w:hAnsi="Calibri" w:cs="Calibri"/>
          <w:color w:val="000000" w:themeColor="text1"/>
          <w:sz w:val="24"/>
        </w:rPr>
        <w:t>2</w:t>
      </w:r>
      <w:r w:rsidRPr="00777BCD">
        <w:rPr>
          <w:rFonts w:ascii="Calibri" w:hAnsi="Calibri" w:cs="Calibri"/>
          <w:color w:val="000000" w:themeColor="text1"/>
          <w:sz w:val="24"/>
        </w:rPr>
        <w:t>、发生基金合同规定的暂停基金资产估值情况时。</w:t>
      </w:r>
    </w:p>
    <w:p w14:paraId="32D012F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、证券</w:t>
      </w:r>
      <w:r w:rsidRPr="00777BCD">
        <w:rPr>
          <w:rFonts w:ascii="Calibri" w:hAnsi="Calibri" w:cs="Calibri"/>
          <w:color w:val="000000" w:themeColor="text1"/>
          <w:sz w:val="24"/>
        </w:rPr>
        <w:t>、期货</w:t>
      </w:r>
      <w:r w:rsidRPr="00777BCD">
        <w:rPr>
          <w:rFonts w:ascii="Calibri" w:hAnsi="Calibri" w:cs="Calibri"/>
          <w:bCs/>
          <w:color w:val="000000" w:themeColor="text1"/>
          <w:sz w:val="24"/>
        </w:rPr>
        <w:t>交易所或外汇市场交易时间非正常停市，或基金参与港股</w:t>
      </w:r>
      <w:proofErr w:type="gramStart"/>
      <w:r w:rsidRPr="00777BCD">
        <w:rPr>
          <w:rFonts w:ascii="Calibri" w:hAnsi="Calibri" w:cs="Calibri"/>
          <w:bCs/>
          <w:color w:val="000000" w:themeColor="text1"/>
          <w:sz w:val="24"/>
        </w:rPr>
        <w:t>通交易且</w:t>
      </w:r>
      <w:proofErr w:type="gramEnd"/>
      <w:r w:rsidRPr="00777BCD">
        <w:rPr>
          <w:rFonts w:ascii="Calibri" w:hAnsi="Calibri" w:cs="Calibri"/>
          <w:bCs/>
          <w:color w:val="000000" w:themeColor="text1"/>
          <w:sz w:val="24"/>
        </w:rPr>
        <w:t>港股通暂停交易，导致基金管理人无法计算当日基金资产</w:t>
      </w:r>
      <w:bookmarkStart w:id="131" w:name="_Hlt152500890"/>
      <w:r w:rsidRPr="00777BCD">
        <w:rPr>
          <w:rFonts w:ascii="Calibri" w:hAnsi="Calibri" w:cs="Calibri"/>
          <w:bCs/>
          <w:color w:val="000000" w:themeColor="text1"/>
          <w:sz w:val="24"/>
        </w:rPr>
        <w:t>净值。</w:t>
      </w:r>
    </w:p>
    <w:p w14:paraId="7374918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、连续两个或两个以上开放日发生巨额赎回时。</w:t>
      </w:r>
    </w:p>
    <w:p w14:paraId="59FFD54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5</w:t>
      </w:r>
      <w:r w:rsidRPr="00777BCD">
        <w:rPr>
          <w:rFonts w:ascii="Calibri" w:hAnsi="Calibri" w:cs="Calibri"/>
          <w:bCs/>
          <w:color w:val="000000" w:themeColor="text1"/>
          <w:sz w:val="24"/>
        </w:rPr>
        <w:t>、发生继续接受赎回申请将损害现有基金份额持有人利益的情形时。</w:t>
      </w:r>
      <w:bookmarkEnd w:id="131"/>
    </w:p>
    <w:p w14:paraId="46A64B6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6</w:t>
      </w:r>
      <w:r w:rsidRPr="00777BCD">
        <w:rPr>
          <w:rFonts w:ascii="Calibri" w:hAnsi="Calibri" w:cs="Calibri"/>
          <w:bCs/>
          <w:color w:val="000000" w:themeColor="text1"/>
          <w:sz w:val="24"/>
        </w:rPr>
        <w:t>、当前一估值日基金资产净值</w:t>
      </w:r>
      <w:r w:rsidRPr="00777BCD">
        <w:rPr>
          <w:rFonts w:ascii="Calibri" w:hAnsi="Calibri" w:cs="Calibri"/>
          <w:bCs/>
          <w:color w:val="000000" w:themeColor="text1"/>
          <w:sz w:val="24"/>
        </w:rPr>
        <w:t>50%</w:t>
      </w:r>
      <w:r w:rsidRPr="00777BCD">
        <w:rPr>
          <w:rFonts w:ascii="Calibri" w:hAnsi="Calibri" w:cs="Calibri"/>
          <w:bCs/>
          <w:color w:val="000000" w:themeColor="text1"/>
          <w:sz w:val="24"/>
        </w:rPr>
        <w:t>以上的资产出现无可参考的活跃市场价格且采用估值技术</w:t>
      </w:r>
      <w:proofErr w:type="gramStart"/>
      <w:r w:rsidRPr="00777BCD">
        <w:rPr>
          <w:rFonts w:ascii="Calibri" w:hAnsi="Calibri" w:cs="Calibri"/>
          <w:bCs/>
          <w:color w:val="000000" w:themeColor="text1"/>
          <w:sz w:val="24"/>
        </w:rPr>
        <w:t>仍导致</w:t>
      </w:r>
      <w:proofErr w:type="gramEnd"/>
      <w:r w:rsidRPr="00777BCD">
        <w:rPr>
          <w:rFonts w:ascii="Calibri" w:hAnsi="Calibri" w:cs="Calibri"/>
          <w:bCs/>
          <w:color w:val="000000" w:themeColor="text1"/>
          <w:sz w:val="24"/>
        </w:rPr>
        <w:t>公允价值存在重大不确定性时，经与基金托管人协商确认后，基金管理人应当延缓支付赎回款项或暂停接受基金赎回申请。</w:t>
      </w:r>
    </w:p>
    <w:p w14:paraId="74A882B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7</w:t>
      </w:r>
      <w:r w:rsidRPr="00777BCD">
        <w:rPr>
          <w:rFonts w:ascii="Calibri" w:hAnsi="Calibri" w:cs="Calibri"/>
          <w:bCs/>
          <w:color w:val="000000" w:themeColor="text1"/>
          <w:sz w:val="24"/>
        </w:rPr>
        <w:t>、法律法规规定或中国证监会认定的其他情形。</w:t>
      </w:r>
    </w:p>
    <w:p w14:paraId="7FAC8D4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发生上述情形之一</w:t>
      </w:r>
      <w:proofErr w:type="gramStart"/>
      <w:r w:rsidRPr="00777BCD">
        <w:rPr>
          <w:rFonts w:ascii="Calibri" w:hAnsi="Calibri" w:cs="Calibri"/>
          <w:bCs/>
          <w:color w:val="000000" w:themeColor="text1"/>
          <w:sz w:val="24"/>
        </w:rPr>
        <w:t>且基金</w:t>
      </w:r>
      <w:proofErr w:type="gramEnd"/>
      <w:r w:rsidRPr="00777BCD">
        <w:rPr>
          <w:rFonts w:ascii="Calibri" w:hAnsi="Calibri" w:cs="Calibri"/>
          <w:bCs/>
          <w:color w:val="000000" w:themeColor="text1"/>
          <w:sz w:val="24"/>
        </w:rPr>
        <w:t>管理人决定暂停赎回或延缓支付赎回款项时，基金管理人应按规定报中国证监会备案，根据有关规定在规定媒介上刊登暂停赎回公告，已确认的赎回申请，基金管理人应足额支付；如暂时不能足额支付，应将可支付部分按单个账户申请量占申请总量的比例分配给赎回申请人，未支付部分可延期支付。若出现上述第</w:t>
      </w:r>
      <w:r w:rsidRPr="00777BCD">
        <w:rPr>
          <w:rFonts w:ascii="Calibri" w:hAnsi="Calibri" w:cs="Calibri"/>
          <w:bCs/>
          <w:color w:val="000000" w:themeColor="text1"/>
          <w:sz w:val="24"/>
        </w:rPr>
        <w:t>4</w:t>
      </w:r>
      <w:r w:rsidRPr="00777BCD">
        <w:rPr>
          <w:rFonts w:ascii="Calibri" w:hAnsi="Calibri" w:cs="Calibri"/>
          <w:bCs/>
          <w:color w:val="000000" w:themeColor="text1"/>
          <w:sz w:val="24"/>
        </w:rPr>
        <w:t>项所述情形，按基金合同的相关条款处理。基金份额持有人在申请赎回时可事先选择将当日可能未获受理部分予以撤销。在暂停赎回的情况消除时，基金管理人应及时恢复赎回业务的办理并公告。</w:t>
      </w:r>
    </w:p>
    <w:p w14:paraId="19B60B42" w14:textId="77777777" w:rsidR="007149DF" w:rsidRPr="00777BCD" w:rsidRDefault="007149DF">
      <w:pPr>
        <w:ind w:firstLine="420"/>
        <w:rPr>
          <w:rFonts w:ascii="Calibri" w:hAnsi="Calibri" w:cs="Calibri"/>
          <w:bCs/>
          <w:color w:val="000000" w:themeColor="text1"/>
        </w:rPr>
      </w:pPr>
    </w:p>
    <w:p w14:paraId="77DAAAA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九、巨额赎回的情形及处理方式</w:t>
      </w:r>
    </w:p>
    <w:p w14:paraId="1AD2CEE6"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1</w:t>
      </w:r>
      <w:r w:rsidRPr="00777BCD">
        <w:rPr>
          <w:rFonts w:ascii="Calibri" w:hAnsi="Calibri" w:cs="Calibri"/>
          <w:bCs/>
          <w:color w:val="000000" w:themeColor="text1"/>
          <w:sz w:val="24"/>
        </w:rPr>
        <w:t>、巨额赎回的认定</w:t>
      </w:r>
    </w:p>
    <w:p w14:paraId="2458006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若本基金单个开放日内的基金份额净赎回申请</w:t>
      </w:r>
      <w:r w:rsidRPr="00777BCD">
        <w:rPr>
          <w:rFonts w:ascii="Calibri" w:hAnsi="Calibri" w:cs="Calibri"/>
          <w:bCs/>
          <w:color w:val="000000" w:themeColor="text1"/>
          <w:sz w:val="24"/>
        </w:rPr>
        <w:t>(</w:t>
      </w:r>
      <w:r w:rsidRPr="00777BCD">
        <w:rPr>
          <w:rFonts w:ascii="Calibri" w:hAnsi="Calibri" w:cs="Calibri"/>
          <w:bCs/>
          <w:color w:val="000000" w:themeColor="text1"/>
          <w:sz w:val="24"/>
        </w:rPr>
        <w:t>赎回申请份额总数加上基金转换中转出申请份额总数后扣除申购申请份额总数及基金转换中转入申请份额总数后的余额</w:t>
      </w:r>
      <w:r w:rsidRPr="00777BCD">
        <w:rPr>
          <w:rFonts w:ascii="Calibri" w:hAnsi="Calibri" w:cs="Calibri"/>
          <w:bCs/>
          <w:color w:val="000000" w:themeColor="text1"/>
          <w:sz w:val="24"/>
        </w:rPr>
        <w:t>)</w:t>
      </w:r>
      <w:r w:rsidRPr="00777BCD">
        <w:rPr>
          <w:rFonts w:ascii="Calibri" w:hAnsi="Calibri" w:cs="Calibri"/>
          <w:bCs/>
          <w:color w:val="000000" w:themeColor="text1"/>
          <w:sz w:val="24"/>
        </w:rPr>
        <w:t>超过前一开放日的基金总份额的</w:t>
      </w:r>
      <w:r w:rsidRPr="00777BCD">
        <w:rPr>
          <w:rFonts w:ascii="Calibri" w:hAnsi="Calibri" w:cs="Calibri"/>
          <w:bCs/>
          <w:color w:val="000000" w:themeColor="text1"/>
          <w:sz w:val="24"/>
        </w:rPr>
        <w:t>10%</w:t>
      </w:r>
      <w:r w:rsidRPr="00777BCD">
        <w:rPr>
          <w:rFonts w:ascii="Calibri" w:hAnsi="Calibri" w:cs="Calibri"/>
          <w:bCs/>
          <w:color w:val="000000" w:themeColor="text1"/>
          <w:sz w:val="24"/>
        </w:rPr>
        <w:t>，即认为是发生了巨额赎回。</w:t>
      </w:r>
    </w:p>
    <w:p w14:paraId="5F15629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、巨额赎回的处理方式</w:t>
      </w:r>
    </w:p>
    <w:p w14:paraId="5274F507" w14:textId="7F8A9D45"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当基金出现巨额赎回时，基金管理人可以根据基金当时的资产组合状况决定全额赎回或部分延期赎回。</w:t>
      </w:r>
    </w:p>
    <w:p w14:paraId="6BE8FF2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w:t>
      </w:r>
      <w:r w:rsidRPr="00777BCD">
        <w:rPr>
          <w:rFonts w:ascii="Calibri" w:hAnsi="Calibri" w:cs="Calibri"/>
          <w:bCs/>
          <w:color w:val="000000" w:themeColor="text1"/>
          <w:sz w:val="24"/>
        </w:rPr>
        <w:t>）全额赎回：当基金管理人认为有能力支付投资人的全部赎回申请时，按正常赎回程序执行。</w:t>
      </w:r>
    </w:p>
    <w:p w14:paraId="6490A346" w14:textId="77777777" w:rsidR="007149DF" w:rsidRPr="00777BCD" w:rsidRDefault="00284640">
      <w:pPr>
        <w:ind w:firstLine="480"/>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2</w:t>
      </w:r>
      <w:r w:rsidRPr="00777BCD">
        <w:rPr>
          <w:rFonts w:ascii="Calibri" w:hAnsi="Calibri" w:cs="Calibri"/>
          <w:color w:val="000000" w:themeColor="text1"/>
          <w:sz w:val="24"/>
        </w:rPr>
        <w:t>）部分延期赎回：当基金管理人认为支付投资人的赎回申请有困难或认为因支付投资人的赎回申请而进行的财产变现可能会对基金资产净值造成较大波动时，基金管理人在当日接受赎回比例不低于上一</w:t>
      </w:r>
      <w:r w:rsidRPr="00777BCD">
        <w:rPr>
          <w:rFonts w:ascii="Calibri" w:hAnsi="Calibri" w:cs="Calibri"/>
          <w:bCs/>
          <w:color w:val="000000" w:themeColor="text1"/>
          <w:sz w:val="24"/>
        </w:rPr>
        <w:t>开放</w:t>
      </w:r>
      <w:r w:rsidRPr="00777BCD">
        <w:rPr>
          <w:rFonts w:ascii="Calibri" w:hAnsi="Calibri" w:cs="Calibri"/>
          <w:color w:val="000000" w:themeColor="text1"/>
          <w:sz w:val="24"/>
        </w:rPr>
        <w:t>日基金总份额的</w:t>
      </w:r>
      <w:r w:rsidRPr="00777BCD">
        <w:rPr>
          <w:rFonts w:ascii="Calibri" w:hAnsi="Calibri" w:cs="Calibri"/>
          <w:color w:val="000000" w:themeColor="text1"/>
          <w:sz w:val="24"/>
        </w:rPr>
        <w:t>10%</w:t>
      </w:r>
      <w:r w:rsidRPr="00777BCD">
        <w:rPr>
          <w:rFonts w:ascii="Calibri" w:hAnsi="Calibri" w:cs="Calibri"/>
          <w:color w:val="000000" w:themeColor="text1"/>
          <w:sz w:val="24"/>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w:t>
      </w:r>
      <w:proofErr w:type="gramStart"/>
      <w:r w:rsidRPr="00777BCD">
        <w:rPr>
          <w:rFonts w:ascii="Calibri" w:hAnsi="Calibri" w:cs="Calibri"/>
          <w:color w:val="000000" w:themeColor="text1"/>
          <w:sz w:val="24"/>
        </w:rPr>
        <w:t>并以下</w:t>
      </w:r>
      <w:proofErr w:type="gramEnd"/>
      <w:r w:rsidRPr="00777BCD">
        <w:rPr>
          <w:rFonts w:ascii="Calibri" w:hAnsi="Calibri" w:cs="Calibri"/>
          <w:color w:val="000000" w:themeColor="text1"/>
          <w:sz w:val="24"/>
        </w:rPr>
        <w:t>一开放日的该类基金份额净值为基础计算赎回金额，以此类推，直到全部赎回为止。如投资人在提交赎回申请时未作明确选择，投资人未能赎回部分作自动延期赎回处理。部分延期赎回不受单笔赎回最低份额的限制。</w:t>
      </w:r>
    </w:p>
    <w:p w14:paraId="1BD4B23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3</w:t>
      </w:r>
      <w:r w:rsidRPr="00777BCD">
        <w:rPr>
          <w:rFonts w:ascii="Calibri" w:hAnsi="Calibri" w:cs="Calibri"/>
          <w:color w:val="000000" w:themeColor="text1"/>
          <w:sz w:val="24"/>
        </w:rPr>
        <w:t>）若本基金发生巨额赎回，且在单个开放日内出现单个基金份额持有人超过前一开放日基金总份额</w:t>
      </w:r>
      <w:r w:rsidRPr="00777BCD">
        <w:rPr>
          <w:rFonts w:ascii="Calibri" w:hAnsi="Calibri" w:cs="Calibri"/>
          <w:color w:val="000000" w:themeColor="text1"/>
          <w:sz w:val="24"/>
        </w:rPr>
        <w:t>10%</w:t>
      </w:r>
      <w:r w:rsidRPr="00777BCD">
        <w:rPr>
          <w:rFonts w:ascii="Calibri" w:hAnsi="Calibri" w:cs="Calibri"/>
          <w:color w:val="000000" w:themeColor="text1"/>
          <w:sz w:val="24"/>
        </w:rPr>
        <w:t>的赎回申请（</w:t>
      </w:r>
      <w:r w:rsidRPr="00777BCD">
        <w:rPr>
          <w:rFonts w:ascii="Calibri" w:hAnsi="Calibri" w:cs="Calibri"/>
          <w:color w:val="000000" w:themeColor="text1"/>
          <w:sz w:val="24"/>
        </w:rPr>
        <w:t>“</w:t>
      </w:r>
      <w:r w:rsidRPr="00777BCD">
        <w:rPr>
          <w:rFonts w:ascii="Calibri" w:hAnsi="Calibri" w:cs="Calibri"/>
          <w:color w:val="000000" w:themeColor="text1"/>
          <w:sz w:val="24"/>
        </w:rPr>
        <w:t>大额赎回申请人</w:t>
      </w:r>
      <w:r w:rsidRPr="00777BCD">
        <w:rPr>
          <w:rFonts w:ascii="Calibri" w:hAnsi="Calibri" w:cs="Calibri"/>
          <w:color w:val="000000" w:themeColor="text1"/>
          <w:sz w:val="24"/>
        </w:rPr>
        <w:t>”</w:t>
      </w:r>
      <w:r w:rsidRPr="00777BCD">
        <w:rPr>
          <w:rFonts w:ascii="Calibri" w:hAnsi="Calibri" w:cs="Calibri"/>
          <w:color w:val="000000" w:themeColor="text1"/>
          <w:sz w:val="24"/>
        </w:rPr>
        <w:t>）的情形时，基金管理人有权对大额赎回申请人的赎回申请延期办理，即按照保护其他赎回申请人（</w:t>
      </w:r>
      <w:r w:rsidRPr="00777BCD">
        <w:rPr>
          <w:rFonts w:ascii="Calibri" w:hAnsi="Calibri" w:cs="Calibri"/>
          <w:color w:val="000000" w:themeColor="text1"/>
          <w:sz w:val="24"/>
        </w:rPr>
        <w:t>“</w:t>
      </w:r>
      <w:r w:rsidRPr="00777BCD">
        <w:rPr>
          <w:rFonts w:ascii="Calibri" w:hAnsi="Calibri" w:cs="Calibri"/>
          <w:color w:val="000000" w:themeColor="text1"/>
          <w:sz w:val="24"/>
        </w:rPr>
        <w:t>小额赎回申请人</w:t>
      </w:r>
      <w:r w:rsidRPr="00777BCD">
        <w:rPr>
          <w:rFonts w:ascii="Calibri" w:hAnsi="Calibri" w:cs="Calibri"/>
          <w:color w:val="000000" w:themeColor="text1"/>
          <w:sz w:val="24"/>
        </w:rPr>
        <w:t>”</w:t>
      </w:r>
      <w:r w:rsidRPr="00777BCD">
        <w:rPr>
          <w:rFonts w:ascii="Calibri" w:hAnsi="Calibri" w:cs="Calibri"/>
          <w:color w:val="000000" w:themeColor="text1"/>
          <w:sz w:val="24"/>
        </w:rPr>
        <w:t>）利益的原则，基金管理人有权优先确认小额赎回申请人的赎回申请，对小额赎回申请人的赎回申请在当日被全部确认，且在当日接受赎回比例不低于上一开放日基金总份额的</w:t>
      </w:r>
      <w:r w:rsidRPr="00777BCD">
        <w:rPr>
          <w:rFonts w:ascii="Calibri" w:hAnsi="Calibri" w:cs="Calibri"/>
          <w:color w:val="000000" w:themeColor="text1"/>
          <w:sz w:val="24"/>
        </w:rPr>
        <w:t>10%</w:t>
      </w:r>
      <w:r w:rsidRPr="00777BCD">
        <w:rPr>
          <w:rFonts w:ascii="Calibri" w:hAnsi="Calibri" w:cs="Calibri"/>
          <w:color w:val="000000" w:themeColor="text1"/>
          <w:sz w:val="24"/>
        </w:rPr>
        <w:t>的前提下，在仍可接受赎回申请的范围内对大额赎回申请人的赎回</w:t>
      </w:r>
      <w:proofErr w:type="gramStart"/>
      <w:r w:rsidRPr="00777BCD">
        <w:rPr>
          <w:rFonts w:ascii="Calibri" w:hAnsi="Calibri" w:cs="Calibri"/>
          <w:color w:val="000000" w:themeColor="text1"/>
          <w:sz w:val="24"/>
        </w:rPr>
        <w:t>申请按</w:t>
      </w:r>
      <w:proofErr w:type="gramEnd"/>
      <w:r w:rsidRPr="00777BCD">
        <w:rPr>
          <w:rFonts w:ascii="Calibri" w:hAnsi="Calibri" w:cs="Calibri"/>
          <w:color w:val="000000" w:themeColor="text1"/>
          <w:sz w:val="24"/>
        </w:rPr>
        <w:t>比例确认。对大额赎回申请人</w:t>
      </w:r>
      <w:r w:rsidRPr="00777BCD">
        <w:rPr>
          <w:rFonts w:ascii="Calibri" w:hAnsi="Calibri" w:cs="Calibri"/>
          <w:color w:val="000000" w:themeColor="text1"/>
          <w:sz w:val="24"/>
        </w:rPr>
        <w:lastRenderedPageBreak/>
        <w:t>当日未予确认的部分，在提交赎回申请时可以选择延期赎回或取消赎回，选择延期赎回的，当日未获处理的赎回申请将自动转入下一个开放日继续赎回，直至全部赎回为止；选择取消赎回的，当日未获受理的赎回申请将被撤销。延期的赎回申请与下一开放日赎回申请一并处理，无优先权</w:t>
      </w:r>
      <w:proofErr w:type="gramStart"/>
      <w:r w:rsidRPr="00777BCD">
        <w:rPr>
          <w:rFonts w:ascii="Calibri" w:hAnsi="Calibri" w:cs="Calibri"/>
          <w:color w:val="000000" w:themeColor="text1"/>
          <w:sz w:val="24"/>
        </w:rPr>
        <w:t>并以下</w:t>
      </w:r>
      <w:proofErr w:type="gramEnd"/>
      <w:r w:rsidRPr="00777BCD">
        <w:rPr>
          <w:rFonts w:ascii="Calibri" w:hAnsi="Calibri" w:cs="Calibri"/>
          <w:color w:val="000000" w:themeColor="text1"/>
          <w:sz w:val="24"/>
        </w:rPr>
        <w:t>一开放日的该类基金份额净值为基础计算赎回金额，以此类推，直至全部赎回为止。如大额赎回申请人在提交赎回申请时未作明确选择，大额赎回申请人未能赎回部分作自动延期赎回处理。如小额赎回申请人的赎回申请在当日未被全部确认，则对全部未确认的赎回申请（含小额赎回申请人的其余赎回申请与大额赎回申请人的全部赎回申请）延期办理。</w:t>
      </w:r>
      <w:r w:rsidRPr="00777BCD">
        <w:rPr>
          <w:rFonts w:ascii="Calibri" w:hAnsi="Calibri" w:cs="Calibri"/>
          <w:bCs/>
          <w:color w:val="000000" w:themeColor="text1"/>
          <w:sz w:val="24"/>
        </w:rPr>
        <w:t>延期办理的具体程序，按照本条规定的延期赎回或取消赎回的方式办理；同时，</w:t>
      </w:r>
      <w:r w:rsidRPr="00777BCD">
        <w:rPr>
          <w:rFonts w:ascii="Calibri" w:hAnsi="Calibri" w:cs="Calibri"/>
          <w:color w:val="000000" w:themeColor="text1"/>
          <w:sz w:val="24"/>
        </w:rPr>
        <w:t>基金管理人应当对延期办理事宜在规定媒介上刊登公告。</w:t>
      </w:r>
      <w:r w:rsidRPr="00777BCD">
        <w:rPr>
          <w:rFonts w:ascii="Calibri" w:hAnsi="Calibri" w:cs="Calibri"/>
          <w:bCs/>
          <w:color w:val="000000" w:themeColor="text1"/>
          <w:sz w:val="24"/>
        </w:rPr>
        <w:t>基金管理人在履行适当程序后，有权根据当时市场环境调整前述比例和办理措施，并在规定媒介上进行公告。</w:t>
      </w:r>
      <w:r w:rsidRPr="00777BCD">
        <w:rPr>
          <w:rFonts w:ascii="Calibri" w:hAnsi="Calibri" w:cs="Calibri"/>
          <w:bCs/>
          <w:color w:val="000000" w:themeColor="text1"/>
          <w:sz w:val="24"/>
        </w:rPr>
        <w:t xml:space="preserve">  </w:t>
      </w:r>
    </w:p>
    <w:p w14:paraId="49C680A9" w14:textId="77777777" w:rsidR="007149DF" w:rsidRPr="00777BCD" w:rsidRDefault="00284640">
      <w:pPr>
        <w:ind w:firstLine="480"/>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4</w:t>
      </w:r>
      <w:r w:rsidRPr="00777BCD">
        <w:rPr>
          <w:rFonts w:ascii="Calibri" w:hAnsi="Calibri" w:cs="Calibri"/>
          <w:color w:val="000000" w:themeColor="text1"/>
          <w:sz w:val="24"/>
        </w:rPr>
        <w:t>）暂停赎回：连续</w:t>
      </w:r>
      <w:r w:rsidRPr="00777BCD">
        <w:rPr>
          <w:rFonts w:ascii="Calibri" w:hAnsi="Calibri" w:cs="Calibri"/>
          <w:color w:val="000000" w:themeColor="text1"/>
          <w:sz w:val="24"/>
        </w:rPr>
        <w:t>2</w:t>
      </w:r>
      <w:r w:rsidRPr="00777BCD">
        <w:rPr>
          <w:rFonts w:ascii="Calibri" w:hAnsi="Calibri" w:cs="Calibri"/>
          <w:color w:val="000000" w:themeColor="text1"/>
          <w:sz w:val="24"/>
        </w:rPr>
        <w:t>个开放日以上（含本数）发生巨额赎回，如基金管理人认为有必要，可暂停接受基金的赎回申请；已经确认的赎回申请可以延缓支付赎回款项，但不得超过</w:t>
      </w:r>
      <w:r w:rsidRPr="00777BCD">
        <w:rPr>
          <w:rFonts w:ascii="Calibri" w:hAnsi="Calibri" w:cs="Calibri"/>
          <w:color w:val="000000" w:themeColor="text1"/>
          <w:sz w:val="24"/>
        </w:rPr>
        <w:t>20</w:t>
      </w:r>
      <w:r w:rsidRPr="00777BCD">
        <w:rPr>
          <w:rFonts w:ascii="Calibri" w:hAnsi="Calibri" w:cs="Calibri"/>
          <w:color w:val="000000" w:themeColor="text1"/>
          <w:sz w:val="24"/>
        </w:rPr>
        <w:t>个工作日，并应当在规定媒介上进行公告。</w:t>
      </w:r>
    </w:p>
    <w:p w14:paraId="5F42BD9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、巨额赎回的公告</w:t>
      </w:r>
    </w:p>
    <w:p w14:paraId="1E6F4C47" w14:textId="77777777" w:rsidR="007149DF" w:rsidRPr="00777BCD" w:rsidRDefault="00284640">
      <w:pPr>
        <w:ind w:firstLine="480"/>
        <w:rPr>
          <w:rFonts w:ascii="Calibri" w:hAnsi="Calibri" w:cs="Calibri"/>
          <w:color w:val="000000" w:themeColor="text1"/>
          <w:sz w:val="24"/>
        </w:rPr>
      </w:pPr>
      <w:r w:rsidRPr="00777BCD">
        <w:rPr>
          <w:rFonts w:ascii="Calibri" w:hAnsi="Calibri" w:cs="Calibri"/>
          <w:bCs/>
          <w:color w:val="000000" w:themeColor="text1"/>
          <w:sz w:val="24"/>
        </w:rPr>
        <w:t>当发生上述巨额赎回并延期办理时，基金管理人应当通过邮寄、传真或者招募说明书规定的其他方式在</w:t>
      </w:r>
      <w:r w:rsidRPr="00777BCD">
        <w:rPr>
          <w:rFonts w:ascii="Calibri" w:hAnsi="Calibri" w:cs="Calibri"/>
          <w:bCs/>
          <w:color w:val="000000" w:themeColor="text1"/>
          <w:sz w:val="24"/>
        </w:rPr>
        <w:t>3</w:t>
      </w:r>
      <w:r w:rsidRPr="00777BCD">
        <w:rPr>
          <w:rFonts w:ascii="Calibri" w:hAnsi="Calibri" w:cs="Calibri"/>
          <w:bCs/>
          <w:color w:val="000000" w:themeColor="text1"/>
          <w:sz w:val="24"/>
        </w:rPr>
        <w:t>个交易日内通知基金份额持有人，说明有关处理方法，并在</w:t>
      </w:r>
      <w:r w:rsidRPr="00777BCD">
        <w:rPr>
          <w:rFonts w:ascii="Calibri" w:hAnsi="Calibri" w:cs="Calibri"/>
          <w:bCs/>
          <w:color w:val="000000" w:themeColor="text1"/>
          <w:sz w:val="24"/>
        </w:rPr>
        <w:t>2</w:t>
      </w:r>
      <w:r w:rsidRPr="00777BCD">
        <w:rPr>
          <w:rFonts w:ascii="Calibri" w:hAnsi="Calibri" w:cs="Calibri"/>
          <w:bCs/>
          <w:color w:val="000000" w:themeColor="text1"/>
          <w:sz w:val="24"/>
        </w:rPr>
        <w:t>日内在规定媒介上刊登公告。</w:t>
      </w:r>
    </w:p>
    <w:p w14:paraId="2ECE0926" w14:textId="77777777" w:rsidR="007149DF" w:rsidRPr="00777BCD" w:rsidRDefault="007149DF">
      <w:pPr>
        <w:ind w:firstLine="420"/>
        <w:rPr>
          <w:rFonts w:ascii="Calibri" w:hAnsi="Calibri" w:cs="Calibri"/>
          <w:bCs/>
          <w:color w:val="000000" w:themeColor="text1"/>
        </w:rPr>
      </w:pPr>
    </w:p>
    <w:p w14:paraId="3141C9F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十、暂停申购或赎回的公告和重新开放申购或赎回的公告</w:t>
      </w:r>
    </w:p>
    <w:p w14:paraId="43EE472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、发生上述暂停申购或赎回情况的，基金管理人应在规定期限内在规定媒介上刊登暂停公告。</w:t>
      </w:r>
    </w:p>
    <w:p w14:paraId="272B5F2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、如发生暂停的时间为</w:t>
      </w:r>
      <w:r w:rsidRPr="00777BCD">
        <w:rPr>
          <w:rFonts w:ascii="Calibri" w:hAnsi="Calibri" w:cs="Calibri"/>
          <w:bCs/>
          <w:color w:val="000000" w:themeColor="text1"/>
          <w:sz w:val="24"/>
        </w:rPr>
        <w:t>1</w:t>
      </w:r>
      <w:r w:rsidRPr="00777BCD">
        <w:rPr>
          <w:rFonts w:ascii="Calibri" w:hAnsi="Calibri" w:cs="Calibri"/>
          <w:bCs/>
          <w:color w:val="000000" w:themeColor="text1"/>
          <w:sz w:val="24"/>
        </w:rPr>
        <w:t>日，基金管理人应于重新开放日，在规定媒介上刊登基金重新开放申购或赎回公告，并公布最近</w:t>
      </w:r>
      <w:r w:rsidRPr="00777BCD">
        <w:rPr>
          <w:rFonts w:ascii="Calibri" w:hAnsi="Calibri" w:cs="Calibri"/>
          <w:bCs/>
          <w:color w:val="000000" w:themeColor="text1"/>
          <w:sz w:val="24"/>
        </w:rPr>
        <w:t>1</w:t>
      </w:r>
      <w:r w:rsidRPr="00777BCD">
        <w:rPr>
          <w:rFonts w:ascii="Calibri" w:hAnsi="Calibri" w:cs="Calibri"/>
          <w:bCs/>
          <w:color w:val="000000" w:themeColor="text1"/>
          <w:sz w:val="24"/>
        </w:rPr>
        <w:t>个开放日的各类基金份额净值。</w:t>
      </w:r>
    </w:p>
    <w:p w14:paraId="45EE54C7" w14:textId="6A37965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、如发生暂停的时间超过</w:t>
      </w:r>
      <w:r w:rsidRPr="00777BCD">
        <w:rPr>
          <w:rFonts w:ascii="Calibri" w:hAnsi="Calibri" w:cs="Calibri"/>
          <w:bCs/>
          <w:color w:val="000000" w:themeColor="text1"/>
          <w:sz w:val="24"/>
        </w:rPr>
        <w:t>1</w:t>
      </w:r>
      <w:r w:rsidRPr="00777BCD">
        <w:rPr>
          <w:rFonts w:ascii="Calibri" w:hAnsi="Calibri" w:cs="Calibri"/>
          <w:bCs/>
          <w:color w:val="000000" w:themeColor="text1"/>
          <w:sz w:val="24"/>
        </w:rPr>
        <w:t>日，基金管理人可以根据暂停申购或赎回的时间，依照《信息披露办法》的有关规定，最迟于重新开放日在规定媒介上刊登</w:t>
      </w:r>
      <w:r w:rsidRPr="00777BCD">
        <w:rPr>
          <w:rFonts w:ascii="Calibri" w:hAnsi="Calibri" w:cs="Calibri"/>
          <w:bCs/>
          <w:color w:val="000000" w:themeColor="text1"/>
          <w:sz w:val="24"/>
        </w:rPr>
        <w:lastRenderedPageBreak/>
        <w:t>重新开放申购或赎回的公告；也可以根据实际情况在暂停公告中明确重新开放申购或赎回的时间，届时</w:t>
      </w:r>
      <w:r w:rsidR="00C53355" w:rsidRPr="00777BCD">
        <w:rPr>
          <w:rFonts w:ascii="Calibri" w:hAnsi="Calibri" w:cs="Calibri"/>
          <w:bCs/>
          <w:color w:val="000000" w:themeColor="text1"/>
          <w:sz w:val="24"/>
        </w:rPr>
        <w:t>可</w:t>
      </w:r>
      <w:r w:rsidRPr="00777BCD">
        <w:rPr>
          <w:rFonts w:ascii="Calibri" w:hAnsi="Calibri" w:cs="Calibri"/>
          <w:bCs/>
          <w:color w:val="000000" w:themeColor="text1"/>
          <w:sz w:val="24"/>
        </w:rPr>
        <w:t>不再另行发布重新开放的公告。</w:t>
      </w:r>
    </w:p>
    <w:p w14:paraId="63372890" w14:textId="77777777" w:rsidR="007149DF" w:rsidRPr="00777BCD" w:rsidRDefault="007149DF">
      <w:pPr>
        <w:ind w:firstLine="480"/>
        <w:rPr>
          <w:rFonts w:ascii="Calibri" w:hAnsi="Calibri" w:cs="Calibri"/>
          <w:color w:val="000000" w:themeColor="text1"/>
          <w:sz w:val="24"/>
        </w:rPr>
      </w:pPr>
    </w:p>
    <w:p w14:paraId="561C0716"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十一、基金转换</w:t>
      </w:r>
    </w:p>
    <w:p w14:paraId="0C48AA9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管理人可以根据相关法律法规以及本基金合同的规定决定开办基金转换业务，基金转换可以收取一定的转换费，相关规则由基金管理人届时根据相关法律法规及本基金合同的规定制定并公告，并提前告知基金托管人与相关机构。</w:t>
      </w:r>
    </w:p>
    <w:p w14:paraId="5AC617C9" w14:textId="77777777" w:rsidR="007149DF" w:rsidRPr="00777BCD" w:rsidRDefault="00284640">
      <w:pPr>
        <w:tabs>
          <w:tab w:val="left" w:pos="5124"/>
        </w:tabs>
        <w:ind w:firstLine="480"/>
        <w:rPr>
          <w:rFonts w:ascii="Calibri" w:hAnsi="Calibri" w:cs="Calibri"/>
          <w:bCs/>
          <w:color w:val="000000" w:themeColor="text1"/>
          <w:sz w:val="24"/>
        </w:rPr>
      </w:pPr>
      <w:r w:rsidRPr="00777BCD">
        <w:rPr>
          <w:rFonts w:ascii="Calibri" w:hAnsi="Calibri" w:cs="Calibri"/>
          <w:bCs/>
          <w:color w:val="000000" w:themeColor="text1"/>
          <w:sz w:val="24"/>
        </w:rPr>
        <w:tab/>
      </w:r>
    </w:p>
    <w:p w14:paraId="7C8B502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十二、基金的</w:t>
      </w:r>
      <w:proofErr w:type="gramStart"/>
      <w:r w:rsidRPr="00777BCD">
        <w:rPr>
          <w:rFonts w:ascii="Calibri" w:hAnsi="Calibri" w:cs="Calibri"/>
          <w:bCs/>
          <w:color w:val="000000" w:themeColor="text1"/>
          <w:sz w:val="24"/>
        </w:rPr>
        <w:t>非交易</w:t>
      </w:r>
      <w:proofErr w:type="gramEnd"/>
      <w:r w:rsidRPr="00777BCD">
        <w:rPr>
          <w:rFonts w:ascii="Calibri" w:hAnsi="Calibri" w:cs="Calibri"/>
          <w:bCs/>
          <w:color w:val="000000" w:themeColor="text1"/>
          <w:sz w:val="24"/>
        </w:rPr>
        <w:t>过户</w:t>
      </w:r>
    </w:p>
    <w:p w14:paraId="079016E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基金的</w:t>
      </w:r>
      <w:proofErr w:type="gramStart"/>
      <w:r w:rsidRPr="00777BCD">
        <w:rPr>
          <w:rFonts w:ascii="Calibri" w:hAnsi="Calibri" w:cs="Calibri"/>
          <w:bCs/>
          <w:color w:val="000000" w:themeColor="text1"/>
          <w:sz w:val="24"/>
        </w:rPr>
        <w:t>非交易</w:t>
      </w:r>
      <w:proofErr w:type="gramEnd"/>
      <w:r w:rsidRPr="00777BCD">
        <w:rPr>
          <w:rFonts w:ascii="Calibri" w:hAnsi="Calibri" w:cs="Calibri"/>
          <w:bCs/>
          <w:color w:val="000000" w:themeColor="text1"/>
          <w:sz w:val="24"/>
        </w:rPr>
        <w:t>过户是指基金登记机构受理继承、捐赠和司法强制执行等情形而产生的</w:t>
      </w:r>
      <w:proofErr w:type="gramStart"/>
      <w:r w:rsidRPr="00777BCD">
        <w:rPr>
          <w:rFonts w:ascii="Calibri" w:hAnsi="Calibri" w:cs="Calibri"/>
          <w:bCs/>
          <w:color w:val="000000" w:themeColor="text1"/>
          <w:sz w:val="24"/>
        </w:rPr>
        <w:t>非交易</w:t>
      </w:r>
      <w:proofErr w:type="gramEnd"/>
      <w:r w:rsidRPr="00777BCD">
        <w:rPr>
          <w:rFonts w:ascii="Calibri" w:hAnsi="Calibri" w:cs="Calibri"/>
          <w:bCs/>
          <w:color w:val="000000" w:themeColor="text1"/>
          <w:sz w:val="24"/>
        </w:rPr>
        <w:t>过户以及登记机构认可、符合法律法规的其它</w:t>
      </w:r>
      <w:proofErr w:type="gramStart"/>
      <w:r w:rsidRPr="00777BCD">
        <w:rPr>
          <w:rFonts w:ascii="Calibri" w:hAnsi="Calibri" w:cs="Calibri"/>
          <w:bCs/>
          <w:color w:val="000000" w:themeColor="text1"/>
          <w:sz w:val="24"/>
        </w:rPr>
        <w:t>非交易</w:t>
      </w:r>
      <w:proofErr w:type="gramEnd"/>
      <w:r w:rsidRPr="00777BCD">
        <w:rPr>
          <w:rFonts w:ascii="Calibri" w:hAnsi="Calibri" w:cs="Calibri"/>
          <w:bCs/>
          <w:color w:val="000000" w:themeColor="text1"/>
          <w:sz w:val="24"/>
        </w:rPr>
        <w:t>过户，或者按照相关法律法规或国家有权机关要求的方式进行处理的行为。无论在上述何种情况下，接受划转的主体必须是依法可以持有本</w:t>
      </w:r>
      <w:proofErr w:type="gramStart"/>
      <w:r w:rsidRPr="00777BCD">
        <w:rPr>
          <w:rFonts w:ascii="Calibri" w:hAnsi="Calibri" w:cs="Calibri"/>
          <w:bCs/>
          <w:color w:val="000000" w:themeColor="text1"/>
          <w:sz w:val="24"/>
        </w:rPr>
        <w:t>基金基金</w:t>
      </w:r>
      <w:proofErr w:type="gramEnd"/>
      <w:r w:rsidRPr="00777BCD">
        <w:rPr>
          <w:rFonts w:ascii="Calibri" w:hAnsi="Calibri" w:cs="Calibri"/>
          <w:bCs/>
          <w:color w:val="000000" w:themeColor="text1"/>
          <w:sz w:val="24"/>
        </w:rPr>
        <w:t>份额的投资人或者是按照相关法律法规或国家有权机关要求的方式进行处理。</w:t>
      </w:r>
    </w:p>
    <w:p w14:paraId="3DCC8C0B" w14:textId="3BB301C9" w:rsidR="007149DF" w:rsidRPr="00777BCD" w:rsidRDefault="00284640">
      <w:pPr>
        <w:ind w:firstLine="480"/>
        <w:rPr>
          <w:rFonts w:ascii="Calibri" w:hAnsi="Calibri" w:cs="Calibri"/>
          <w:color w:val="000000" w:themeColor="text1"/>
          <w:sz w:val="24"/>
        </w:rPr>
      </w:pPr>
      <w:r w:rsidRPr="00777BCD">
        <w:rPr>
          <w:rFonts w:ascii="Calibri" w:hAnsi="Calibri" w:cs="Calibri"/>
          <w:color w:val="000000" w:themeColor="text1"/>
          <w:sz w:val="24"/>
        </w:rPr>
        <w:t>继承是指基金份额持有人死亡，其持有的基金份额由其合法的继承人继承；捐赠</w:t>
      </w:r>
      <w:r w:rsidR="00E6297E" w:rsidRPr="00777BCD">
        <w:rPr>
          <w:rFonts w:ascii="Calibri" w:hAnsi="Calibri" w:cs="Calibri"/>
          <w:color w:val="000000" w:themeColor="text1"/>
          <w:sz w:val="24"/>
        </w:rPr>
        <w:t>是</w:t>
      </w:r>
      <w:r w:rsidRPr="00777BCD">
        <w:rPr>
          <w:rFonts w:ascii="Calibri" w:hAnsi="Calibri" w:cs="Calibri"/>
          <w:color w:val="000000" w:themeColor="text1"/>
          <w:sz w:val="24"/>
        </w:rPr>
        <w:t>指基金份额持有人将其合法持有的基金份额捐赠给福利性质的基金会或社会团体；司法强制执行是指司法机构依据生效司法文书将基金份额持有人持有的基金份额强制划转给其他自然人、法人或其他组织。办理</w:t>
      </w:r>
      <w:proofErr w:type="gramStart"/>
      <w:r w:rsidRPr="00777BCD">
        <w:rPr>
          <w:rFonts w:ascii="Calibri" w:hAnsi="Calibri" w:cs="Calibri"/>
          <w:color w:val="000000" w:themeColor="text1"/>
          <w:sz w:val="24"/>
        </w:rPr>
        <w:t>非交易</w:t>
      </w:r>
      <w:proofErr w:type="gramEnd"/>
      <w:r w:rsidRPr="00777BCD">
        <w:rPr>
          <w:rFonts w:ascii="Calibri" w:hAnsi="Calibri" w:cs="Calibri"/>
          <w:color w:val="000000" w:themeColor="text1"/>
          <w:sz w:val="24"/>
        </w:rPr>
        <w:t>过户必须提供基金登记机构要求提供的相关资料，对于符合条件的</w:t>
      </w:r>
      <w:proofErr w:type="gramStart"/>
      <w:r w:rsidRPr="00777BCD">
        <w:rPr>
          <w:rFonts w:ascii="Calibri" w:hAnsi="Calibri" w:cs="Calibri"/>
          <w:color w:val="000000" w:themeColor="text1"/>
          <w:sz w:val="24"/>
        </w:rPr>
        <w:t>非交易过户申请按</w:t>
      </w:r>
      <w:proofErr w:type="gramEnd"/>
      <w:r w:rsidRPr="00777BCD">
        <w:rPr>
          <w:rFonts w:ascii="Calibri" w:hAnsi="Calibri" w:cs="Calibri"/>
          <w:color w:val="000000" w:themeColor="text1"/>
          <w:sz w:val="24"/>
        </w:rPr>
        <w:t>基金登记机构的规定办理，并按基金登记机构规定的标准收费。</w:t>
      </w:r>
    </w:p>
    <w:p w14:paraId="6B2544D4" w14:textId="77777777" w:rsidR="007149DF" w:rsidRPr="00777BCD" w:rsidRDefault="007149DF">
      <w:pPr>
        <w:ind w:firstLine="480"/>
        <w:rPr>
          <w:rFonts w:ascii="Calibri" w:hAnsi="Calibri" w:cs="Calibri"/>
          <w:bCs/>
          <w:color w:val="000000" w:themeColor="text1"/>
          <w:sz w:val="24"/>
        </w:rPr>
      </w:pPr>
    </w:p>
    <w:p w14:paraId="0FCE7A1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十三、基金的转托管</w:t>
      </w:r>
    </w:p>
    <w:p w14:paraId="7F2FA98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基金份额持有人可办理已持有基金份额在不同销售机构之间的转托管，基金销售机构可以按照规定的标准收取转托管费。</w:t>
      </w:r>
    </w:p>
    <w:p w14:paraId="6287E866" w14:textId="77777777" w:rsidR="007149DF" w:rsidRPr="00777BCD" w:rsidRDefault="007149DF">
      <w:pPr>
        <w:ind w:firstLine="480"/>
        <w:rPr>
          <w:rFonts w:ascii="Calibri" w:hAnsi="Calibri" w:cs="Calibri"/>
          <w:bCs/>
          <w:color w:val="000000" w:themeColor="text1"/>
          <w:sz w:val="24"/>
        </w:rPr>
      </w:pPr>
    </w:p>
    <w:p w14:paraId="12EB862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十四、定期定额投资计划</w:t>
      </w:r>
    </w:p>
    <w:p w14:paraId="7086F5C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基金管理人可以为投资人办理定期定额投资计划，具体规则由基金管理人另行规定。投资人在办理定期定额投资计划时可自行约定每期扣款金额，每期</w:t>
      </w:r>
      <w:r w:rsidRPr="00777BCD">
        <w:rPr>
          <w:rFonts w:ascii="Calibri" w:hAnsi="Calibri" w:cs="Calibri"/>
          <w:bCs/>
          <w:color w:val="000000" w:themeColor="text1"/>
          <w:sz w:val="24"/>
        </w:rPr>
        <w:lastRenderedPageBreak/>
        <w:t>扣款金额必须不低于基金管理人在相关公告或更新的招募说明书中所规定的定期定额投资计划最低申购金额。</w:t>
      </w:r>
    </w:p>
    <w:p w14:paraId="04901BE1" w14:textId="77777777" w:rsidR="007149DF" w:rsidRPr="00777BCD" w:rsidRDefault="007149DF">
      <w:pPr>
        <w:ind w:firstLine="480"/>
        <w:rPr>
          <w:rFonts w:ascii="Calibri" w:hAnsi="Calibri" w:cs="Calibri"/>
          <w:bCs/>
          <w:color w:val="000000" w:themeColor="text1"/>
          <w:sz w:val="24"/>
        </w:rPr>
      </w:pPr>
    </w:p>
    <w:p w14:paraId="278A43F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十五、基金份额的冻结、解冻和质押</w:t>
      </w:r>
    </w:p>
    <w:p w14:paraId="7E5DD0D6" w14:textId="0799EB3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登记机构只受理国家有权机关依法要求的基金份额的冻结与解冻，以及登记机构认可、符合法律法规的其他情况下的冻结与解冻。基金账户或基金份额被冻结的，被冻结部分产生的权益一并冻结，被冻结部分份额仍然参与收益分配。法律法规或监管部门另有规定的除外。</w:t>
      </w:r>
    </w:p>
    <w:p w14:paraId="7021A2D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如相关法律法规允许基金管理人办理基金份额的质押业务或其他基金业务，在对基金份额持有人利益无实质性不利影响的情况下，基金管理人将制定和实施相应的业务规则。</w:t>
      </w:r>
    </w:p>
    <w:p w14:paraId="5571111C" w14:textId="77777777" w:rsidR="007149DF" w:rsidRPr="00777BCD" w:rsidRDefault="007149DF">
      <w:pPr>
        <w:ind w:firstLine="480"/>
        <w:rPr>
          <w:rFonts w:ascii="Calibri" w:hAnsi="Calibri" w:cs="Calibri"/>
          <w:bCs/>
          <w:color w:val="000000" w:themeColor="text1"/>
          <w:sz w:val="24"/>
        </w:rPr>
      </w:pPr>
    </w:p>
    <w:p w14:paraId="6DAA348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十六、基金份额的转让</w:t>
      </w:r>
    </w:p>
    <w:p w14:paraId="35AD8186"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在法律法规允许且条件具备的情况下，基金管理人可受理基金份额持有人通过中国证监会认可的交易场所或者交易方式进行份额转让的申请并由登记机构办理基金份额的过户登记。基金管理人拟受理基金份额转让业务的，将提前公告，基金份额持有人应根据基金管理人公告的业务规则办理基金份额转让业务。</w:t>
      </w:r>
    </w:p>
    <w:p w14:paraId="5C4EB5F0" w14:textId="77777777" w:rsidR="007149DF" w:rsidRPr="00777BCD" w:rsidRDefault="007149DF">
      <w:pPr>
        <w:ind w:firstLine="480"/>
        <w:rPr>
          <w:rFonts w:ascii="Calibri" w:hAnsi="Calibri" w:cs="Calibri"/>
          <w:bCs/>
          <w:color w:val="000000" w:themeColor="text1"/>
          <w:sz w:val="24"/>
        </w:rPr>
      </w:pPr>
    </w:p>
    <w:p w14:paraId="52A6A43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十七、实施</w:t>
      </w:r>
      <w:proofErr w:type="gramStart"/>
      <w:r w:rsidRPr="00777BCD">
        <w:rPr>
          <w:rFonts w:ascii="Calibri" w:hAnsi="Calibri" w:cs="Calibri"/>
          <w:bCs/>
          <w:color w:val="000000" w:themeColor="text1"/>
          <w:sz w:val="24"/>
        </w:rPr>
        <w:t>侧袋机制</w:t>
      </w:r>
      <w:proofErr w:type="gramEnd"/>
      <w:r w:rsidRPr="00777BCD">
        <w:rPr>
          <w:rFonts w:ascii="Calibri" w:hAnsi="Calibri" w:cs="Calibri"/>
          <w:bCs/>
          <w:color w:val="000000" w:themeColor="text1"/>
          <w:sz w:val="24"/>
        </w:rPr>
        <w:t>期间本基金的申购与赎回</w:t>
      </w:r>
    </w:p>
    <w:p w14:paraId="5DF768C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本基金实施</w:t>
      </w:r>
      <w:proofErr w:type="gramStart"/>
      <w:r w:rsidRPr="00777BCD">
        <w:rPr>
          <w:rFonts w:ascii="Calibri" w:hAnsi="Calibri" w:cs="Calibri"/>
          <w:bCs/>
          <w:color w:val="000000" w:themeColor="text1"/>
          <w:sz w:val="24"/>
        </w:rPr>
        <w:t>侧袋机制</w:t>
      </w:r>
      <w:proofErr w:type="gramEnd"/>
      <w:r w:rsidRPr="00777BCD">
        <w:rPr>
          <w:rFonts w:ascii="Calibri" w:hAnsi="Calibri" w:cs="Calibri"/>
          <w:bCs/>
          <w:color w:val="000000" w:themeColor="text1"/>
          <w:sz w:val="24"/>
        </w:rPr>
        <w:t>的，本基金的申购和赎回安排详见招募说明书或相关公告。</w:t>
      </w:r>
    </w:p>
    <w:p w14:paraId="777BE2CC" w14:textId="77777777" w:rsidR="007149DF" w:rsidRPr="00777BCD" w:rsidRDefault="00284640">
      <w:pPr>
        <w:pStyle w:val="11"/>
        <w:spacing w:before="0" w:after="0"/>
        <w:ind w:firstLine="480"/>
        <w:jc w:val="center"/>
        <w:rPr>
          <w:rFonts w:ascii="Calibri" w:hAnsi="Calibri" w:cs="Calibri"/>
          <w:color w:val="000000" w:themeColor="text1"/>
          <w:sz w:val="30"/>
        </w:rPr>
      </w:pPr>
      <w:r w:rsidRPr="00777BCD">
        <w:rPr>
          <w:rFonts w:ascii="Calibri" w:hAnsi="Calibri" w:cs="Calibri"/>
          <w:b w:val="0"/>
          <w:bCs/>
          <w:color w:val="000000" w:themeColor="text1"/>
        </w:rPr>
        <w:br w:type="page"/>
      </w:r>
      <w:bookmarkStart w:id="132" w:name="_Toc98560353"/>
      <w:bookmarkStart w:id="133" w:name="_Toc123102454"/>
      <w:bookmarkStart w:id="134" w:name="_Toc6405"/>
      <w:bookmarkStart w:id="135" w:name="_Toc29251"/>
      <w:bookmarkStart w:id="136" w:name="_Toc31235"/>
      <w:bookmarkStart w:id="137" w:name="_Toc6820026"/>
      <w:bookmarkStart w:id="138" w:name="_Toc15143"/>
      <w:bookmarkStart w:id="139" w:name="_Toc31644"/>
      <w:bookmarkStart w:id="140" w:name="_Toc123112235"/>
      <w:bookmarkStart w:id="141" w:name="_Toc3601"/>
      <w:bookmarkStart w:id="142" w:name="_Toc139991737"/>
      <w:bookmarkStart w:id="143" w:name="_Toc12245"/>
      <w:bookmarkStart w:id="144" w:name="_Toc26207"/>
      <w:bookmarkStart w:id="145" w:name="_Toc141703887"/>
      <w:bookmarkStart w:id="146" w:name="_Toc14835"/>
      <w:bookmarkStart w:id="147" w:name="_Toc123051453"/>
      <w:bookmarkStart w:id="148" w:name="_Toc31653"/>
      <w:bookmarkStart w:id="149" w:name="_Toc160725905"/>
      <w:bookmarkStart w:id="150" w:name="_Hlk23248885"/>
      <w:r w:rsidRPr="00777BCD">
        <w:rPr>
          <w:rFonts w:ascii="Calibri" w:hAnsi="Calibri" w:cs="Calibri"/>
          <w:color w:val="000000" w:themeColor="text1"/>
          <w:sz w:val="30"/>
        </w:rPr>
        <w:lastRenderedPageBreak/>
        <w:t>第七部分</w:t>
      </w:r>
      <w:r w:rsidRPr="00777BCD">
        <w:rPr>
          <w:rFonts w:ascii="Calibri" w:hAnsi="Calibri" w:cs="Calibri"/>
          <w:color w:val="000000" w:themeColor="text1"/>
          <w:sz w:val="30"/>
        </w:rPr>
        <w:t xml:space="preserve">  </w:t>
      </w:r>
      <w:r w:rsidRPr="00777BCD">
        <w:rPr>
          <w:rFonts w:ascii="Calibri" w:hAnsi="Calibri" w:cs="Calibri"/>
          <w:color w:val="000000" w:themeColor="text1"/>
          <w:sz w:val="30"/>
        </w:rPr>
        <w:t>基金合同当事人及权利义务</w:t>
      </w:r>
      <w:bookmarkStart w:id="151" w:name="_Hlt55355235"/>
      <w:bookmarkStart w:id="152" w:name="_Toc523711668"/>
      <w:bookmarkStart w:id="153" w:name="_Toc15118234"/>
      <w:bookmarkStart w:id="154" w:name="_Toc57530239"/>
      <w:bookmarkStart w:id="155" w:name="_Toc79392580"/>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1"/>
    </w:p>
    <w:p w14:paraId="66B8AF02" w14:textId="77777777" w:rsidR="007149DF" w:rsidRPr="00777BCD" w:rsidRDefault="007149DF">
      <w:pPr>
        <w:ind w:firstLine="480"/>
        <w:rPr>
          <w:rFonts w:ascii="Calibri" w:hAnsi="Calibri" w:cs="Calibri"/>
          <w:bCs/>
          <w:color w:val="000000" w:themeColor="text1"/>
          <w:sz w:val="24"/>
        </w:rPr>
      </w:pPr>
    </w:p>
    <w:p w14:paraId="561EC62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一、基金</w:t>
      </w:r>
      <w:bookmarkEnd w:id="152"/>
      <w:r w:rsidRPr="00777BCD">
        <w:rPr>
          <w:rFonts w:ascii="Calibri" w:hAnsi="Calibri" w:cs="Calibri"/>
          <w:bCs/>
          <w:color w:val="000000" w:themeColor="text1"/>
          <w:sz w:val="24"/>
        </w:rPr>
        <w:t>管理人</w:t>
      </w:r>
      <w:bookmarkEnd w:id="153"/>
      <w:bookmarkEnd w:id="154"/>
      <w:bookmarkEnd w:id="155"/>
    </w:p>
    <w:p w14:paraId="75A4AB9E" w14:textId="77777777" w:rsidR="007149DF" w:rsidRPr="00777BCD" w:rsidRDefault="00284640">
      <w:pPr>
        <w:ind w:firstLine="480"/>
        <w:rPr>
          <w:rFonts w:ascii="Calibri" w:hAnsi="Calibri" w:cs="Calibri"/>
          <w:bCs/>
          <w:color w:val="000000" w:themeColor="text1"/>
          <w:sz w:val="24"/>
        </w:rPr>
      </w:pPr>
      <w:bookmarkStart w:id="156" w:name="_Toc15118235"/>
      <w:r w:rsidRPr="00777BCD">
        <w:rPr>
          <w:rFonts w:ascii="Calibri" w:hAnsi="Calibri" w:cs="Calibri"/>
          <w:bCs/>
          <w:color w:val="000000" w:themeColor="text1"/>
          <w:sz w:val="24"/>
        </w:rPr>
        <w:t>（一）</w:t>
      </w:r>
      <w:r w:rsidRPr="00777BCD">
        <w:rPr>
          <w:rFonts w:ascii="Calibri" w:hAnsi="Calibri" w:cs="Calibri"/>
          <w:bCs/>
          <w:color w:val="000000" w:themeColor="text1"/>
          <w:sz w:val="24"/>
        </w:rPr>
        <w:tab/>
      </w:r>
      <w:r w:rsidRPr="00777BCD">
        <w:rPr>
          <w:rFonts w:ascii="Calibri" w:hAnsi="Calibri" w:cs="Calibri"/>
          <w:bCs/>
          <w:color w:val="000000" w:themeColor="text1"/>
          <w:sz w:val="24"/>
        </w:rPr>
        <w:t>基金管理人简况</w:t>
      </w:r>
      <w:bookmarkEnd w:id="156"/>
    </w:p>
    <w:p w14:paraId="4958CA5A" w14:textId="77777777" w:rsidR="007149DF" w:rsidRPr="00777BCD" w:rsidRDefault="00284640">
      <w:pPr>
        <w:ind w:firstLine="480"/>
        <w:rPr>
          <w:rFonts w:ascii="Calibri" w:hAnsi="Calibri" w:cs="Calibri"/>
          <w:bCs/>
          <w:color w:val="000000" w:themeColor="text1"/>
          <w:sz w:val="24"/>
        </w:rPr>
      </w:pPr>
      <w:bookmarkStart w:id="157" w:name="_Toc15118236"/>
      <w:bookmarkStart w:id="158" w:name="_Toc15118237"/>
      <w:r w:rsidRPr="00777BCD">
        <w:rPr>
          <w:rFonts w:ascii="Calibri" w:hAnsi="Calibri" w:cs="Calibri"/>
          <w:bCs/>
          <w:color w:val="000000" w:themeColor="text1"/>
          <w:sz w:val="24"/>
        </w:rPr>
        <w:t>名称：</w:t>
      </w:r>
      <w:bookmarkEnd w:id="157"/>
      <w:r w:rsidRPr="00777BCD">
        <w:rPr>
          <w:rFonts w:ascii="Calibri" w:hAnsi="Calibri" w:cs="Calibri"/>
          <w:bCs/>
          <w:color w:val="000000" w:themeColor="text1"/>
          <w:sz w:val="24"/>
        </w:rPr>
        <w:t>银河基金管理有限公司</w:t>
      </w:r>
    </w:p>
    <w:p w14:paraId="6E57C592" w14:textId="5DA654C3"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住所：</w:t>
      </w:r>
      <w:r w:rsidR="00657378" w:rsidRPr="00777BCD">
        <w:rPr>
          <w:rFonts w:ascii="Calibri" w:hAnsi="Calibri" w:cs="Calibri"/>
          <w:bCs/>
          <w:sz w:val="24"/>
        </w:rPr>
        <w:t>中国（上海）自由贸易试验区富城路</w:t>
      </w:r>
      <w:r w:rsidR="00657378" w:rsidRPr="00777BCD">
        <w:rPr>
          <w:rFonts w:ascii="Calibri" w:hAnsi="Calibri" w:cs="Calibri"/>
          <w:bCs/>
          <w:sz w:val="24"/>
        </w:rPr>
        <w:t>99</w:t>
      </w:r>
      <w:r w:rsidR="00657378" w:rsidRPr="00777BCD">
        <w:rPr>
          <w:rFonts w:ascii="Calibri" w:hAnsi="Calibri" w:cs="Calibri"/>
          <w:bCs/>
          <w:sz w:val="24"/>
        </w:rPr>
        <w:t>号</w:t>
      </w:r>
      <w:r w:rsidR="00657378" w:rsidRPr="00777BCD">
        <w:rPr>
          <w:rFonts w:ascii="Calibri" w:hAnsi="Calibri" w:cs="Calibri"/>
          <w:bCs/>
          <w:sz w:val="24"/>
        </w:rPr>
        <w:t>21-22</w:t>
      </w:r>
      <w:r w:rsidR="00657378" w:rsidRPr="00777BCD">
        <w:rPr>
          <w:rFonts w:ascii="Calibri" w:hAnsi="Calibri" w:cs="Calibri"/>
          <w:bCs/>
          <w:sz w:val="24"/>
        </w:rPr>
        <w:t>层</w:t>
      </w:r>
    </w:p>
    <w:p w14:paraId="38435AF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法定代表人：宋卫刚</w:t>
      </w:r>
    </w:p>
    <w:p w14:paraId="0B048E6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设立日期：</w:t>
      </w:r>
      <w:r w:rsidRPr="00777BCD">
        <w:rPr>
          <w:rFonts w:ascii="Calibri" w:hAnsi="Calibri" w:cs="Calibri"/>
          <w:bCs/>
          <w:color w:val="000000" w:themeColor="text1"/>
          <w:sz w:val="24"/>
        </w:rPr>
        <w:t>2002</w:t>
      </w:r>
      <w:r w:rsidRPr="00777BCD">
        <w:rPr>
          <w:rFonts w:ascii="Calibri" w:hAnsi="Calibri" w:cs="Calibri"/>
          <w:bCs/>
          <w:color w:val="000000" w:themeColor="text1"/>
          <w:sz w:val="24"/>
        </w:rPr>
        <w:t>年</w:t>
      </w:r>
      <w:r w:rsidRPr="00777BCD">
        <w:rPr>
          <w:rFonts w:ascii="Calibri" w:hAnsi="Calibri" w:cs="Calibri"/>
          <w:bCs/>
          <w:color w:val="000000" w:themeColor="text1"/>
          <w:sz w:val="24"/>
        </w:rPr>
        <w:t>6</w:t>
      </w:r>
      <w:r w:rsidRPr="00777BCD">
        <w:rPr>
          <w:rFonts w:ascii="Calibri" w:hAnsi="Calibri" w:cs="Calibri"/>
          <w:bCs/>
          <w:color w:val="000000" w:themeColor="text1"/>
          <w:sz w:val="24"/>
        </w:rPr>
        <w:t>月</w:t>
      </w:r>
      <w:r w:rsidRPr="00777BCD">
        <w:rPr>
          <w:rFonts w:ascii="Calibri" w:hAnsi="Calibri" w:cs="Calibri"/>
          <w:bCs/>
          <w:color w:val="000000" w:themeColor="text1"/>
          <w:sz w:val="24"/>
        </w:rPr>
        <w:t>14</w:t>
      </w:r>
      <w:r w:rsidRPr="00777BCD">
        <w:rPr>
          <w:rFonts w:ascii="Calibri" w:hAnsi="Calibri" w:cs="Calibri"/>
          <w:bCs/>
          <w:color w:val="000000" w:themeColor="text1"/>
          <w:sz w:val="24"/>
        </w:rPr>
        <w:t>日</w:t>
      </w:r>
    </w:p>
    <w:p w14:paraId="48D8618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批准设立机关及批准设立文号：中国证监会证</w:t>
      </w:r>
      <w:proofErr w:type="gramStart"/>
      <w:r w:rsidRPr="00777BCD">
        <w:rPr>
          <w:rFonts w:ascii="Calibri" w:hAnsi="Calibri" w:cs="Calibri"/>
          <w:bCs/>
          <w:color w:val="000000" w:themeColor="text1"/>
          <w:sz w:val="24"/>
        </w:rPr>
        <w:t>监基金字</w:t>
      </w:r>
      <w:proofErr w:type="gramEnd"/>
      <w:r w:rsidRPr="00777BCD">
        <w:rPr>
          <w:rFonts w:ascii="Calibri" w:hAnsi="Calibri" w:cs="Calibri"/>
          <w:bCs/>
          <w:color w:val="000000" w:themeColor="text1"/>
          <w:sz w:val="24"/>
        </w:rPr>
        <w:t>[2002]21</w:t>
      </w:r>
      <w:r w:rsidRPr="00777BCD">
        <w:rPr>
          <w:rFonts w:ascii="Calibri" w:hAnsi="Calibri" w:cs="Calibri"/>
          <w:bCs/>
          <w:color w:val="000000" w:themeColor="text1"/>
          <w:sz w:val="24"/>
        </w:rPr>
        <w:t>号</w:t>
      </w:r>
    </w:p>
    <w:p w14:paraId="302377C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组织形式：有限责任公司</w:t>
      </w:r>
    </w:p>
    <w:p w14:paraId="5BB5E18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注册资本：</w:t>
      </w:r>
      <w:r w:rsidRPr="00777BCD">
        <w:rPr>
          <w:rFonts w:ascii="Calibri" w:hAnsi="Calibri" w:cs="Calibri"/>
          <w:bCs/>
          <w:color w:val="000000" w:themeColor="text1"/>
          <w:sz w:val="24"/>
        </w:rPr>
        <w:t>2.0</w:t>
      </w:r>
      <w:r w:rsidRPr="00777BCD">
        <w:rPr>
          <w:rFonts w:ascii="Calibri" w:hAnsi="Calibri" w:cs="Calibri"/>
          <w:bCs/>
          <w:color w:val="000000" w:themeColor="text1"/>
          <w:sz w:val="24"/>
        </w:rPr>
        <w:t>亿元人民币</w:t>
      </w:r>
    </w:p>
    <w:p w14:paraId="6B9AF87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存续期限：持续经营</w:t>
      </w:r>
    </w:p>
    <w:p w14:paraId="333C204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联系电话：</w:t>
      </w:r>
      <w:r w:rsidRPr="00777BCD">
        <w:rPr>
          <w:rFonts w:ascii="Calibri" w:hAnsi="Calibri" w:cs="Calibri"/>
          <w:bCs/>
          <w:color w:val="000000" w:themeColor="text1"/>
          <w:sz w:val="24"/>
        </w:rPr>
        <w:t>021-38568888</w:t>
      </w:r>
    </w:p>
    <w:p w14:paraId="24AE9B8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（二）</w:t>
      </w:r>
      <w:r w:rsidRPr="00777BCD">
        <w:rPr>
          <w:rFonts w:ascii="Calibri" w:hAnsi="Calibri" w:cs="Calibri"/>
          <w:bCs/>
          <w:color w:val="000000" w:themeColor="text1"/>
          <w:sz w:val="24"/>
        </w:rPr>
        <w:tab/>
      </w:r>
      <w:r w:rsidRPr="00777BCD">
        <w:rPr>
          <w:rFonts w:ascii="Calibri" w:hAnsi="Calibri" w:cs="Calibri"/>
          <w:bCs/>
          <w:color w:val="000000" w:themeColor="text1"/>
          <w:sz w:val="24"/>
        </w:rPr>
        <w:t>基金管理人的权利与义务</w:t>
      </w:r>
      <w:bookmarkEnd w:id="158"/>
    </w:p>
    <w:p w14:paraId="59928208" w14:textId="77777777" w:rsidR="007149DF" w:rsidRPr="00777BCD" w:rsidRDefault="00284640">
      <w:pPr>
        <w:ind w:firstLine="480"/>
        <w:rPr>
          <w:rFonts w:ascii="Calibri" w:hAnsi="Calibri" w:cs="Calibri"/>
          <w:bCs/>
          <w:color w:val="000000" w:themeColor="text1"/>
          <w:sz w:val="24"/>
        </w:rPr>
      </w:pPr>
      <w:bookmarkStart w:id="159" w:name="_Hlk6490902"/>
      <w:r w:rsidRPr="00777BCD">
        <w:rPr>
          <w:rFonts w:ascii="Calibri" w:hAnsi="Calibri" w:cs="Calibri"/>
          <w:bCs/>
          <w:color w:val="000000" w:themeColor="text1"/>
          <w:sz w:val="24"/>
        </w:rPr>
        <w:t>1</w:t>
      </w:r>
      <w:r w:rsidRPr="00777BCD">
        <w:rPr>
          <w:rFonts w:ascii="Calibri" w:hAnsi="Calibri" w:cs="Calibri"/>
          <w:bCs/>
          <w:color w:val="000000" w:themeColor="text1"/>
          <w:sz w:val="24"/>
        </w:rPr>
        <w:t>、根据《基金法》、《运作办法》及其他有关规定，基金管理人的权利包括但不限于：</w:t>
      </w:r>
    </w:p>
    <w:p w14:paraId="649358E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w:t>
      </w:r>
      <w:r w:rsidRPr="00777BCD">
        <w:rPr>
          <w:rFonts w:ascii="Calibri" w:hAnsi="Calibri" w:cs="Calibri"/>
          <w:bCs/>
          <w:color w:val="000000" w:themeColor="text1"/>
          <w:sz w:val="24"/>
        </w:rPr>
        <w:t>）依法募集资金；</w:t>
      </w:r>
    </w:p>
    <w:p w14:paraId="03C57FC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2</w:t>
      </w:r>
      <w:r w:rsidRPr="00777BCD">
        <w:rPr>
          <w:rFonts w:ascii="Calibri" w:hAnsi="Calibri" w:cs="Calibri"/>
          <w:bCs/>
          <w:color w:val="000000" w:themeColor="text1"/>
          <w:sz w:val="24"/>
        </w:rPr>
        <w:t>）自《基金合同》生效之日起，根据法律法规和《基金合同》独立运用并管理基金财产；</w:t>
      </w:r>
    </w:p>
    <w:p w14:paraId="4AC3356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3</w:t>
      </w:r>
      <w:r w:rsidRPr="00777BCD">
        <w:rPr>
          <w:rFonts w:ascii="Calibri" w:hAnsi="Calibri" w:cs="Calibri"/>
          <w:bCs/>
          <w:color w:val="000000" w:themeColor="text1"/>
          <w:sz w:val="24"/>
        </w:rPr>
        <w:t>）依照《基金合同》收取基金管理费以及法律法规规定或中国证监会批准的其他费用；</w:t>
      </w:r>
    </w:p>
    <w:p w14:paraId="3DE3A66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4</w:t>
      </w:r>
      <w:r w:rsidRPr="00777BCD">
        <w:rPr>
          <w:rFonts w:ascii="Calibri" w:hAnsi="Calibri" w:cs="Calibri"/>
          <w:bCs/>
          <w:color w:val="000000" w:themeColor="text1"/>
          <w:sz w:val="24"/>
        </w:rPr>
        <w:t>）销售基金份额；</w:t>
      </w:r>
    </w:p>
    <w:p w14:paraId="617380E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5</w:t>
      </w:r>
      <w:r w:rsidRPr="00777BCD">
        <w:rPr>
          <w:rFonts w:ascii="Calibri" w:hAnsi="Calibri" w:cs="Calibri"/>
          <w:bCs/>
          <w:color w:val="000000" w:themeColor="text1"/>
          <w:sz w:val="24"/>
        </w:rPr>
        <w:t>）</w:t>
      </w:r>
      <w:bookmarkStart w:id="160" w:name="_Hlt88896155"/>
      <w:r w:rsidRPr="00777BCD">
        <w:rPr>
          <w:rFonts w:ascii="Calibri" w:hAnsi="Calibri" w:cs="Calibri"/>
          <w:bCs/>
          <w:color w:val="000000" w:themeColor="text1"/>
          <w:sz w:val="24"/>
        </w:rPr>
        <w:t>按照规定召集</w:t>
      </w:r>
      <w:bookmarkEnd w:id="160"/>
      <w:r w:rsidRPr="00777BCD">
        <w:rPr>
          <w:rFonts w:ascii="Calibri" w:hAnsi="Calibri" w:cs="Calibri"/>
          <w:bCs/>
          <w:color w:val="000000" w:themeColor="text1"/>
          <w:sz w:val="24"/>
        </w:rPr>
        <w:t>基金份额持有人大会；</w:t>
      </w:r>
    </w:p>
    <w:p w14:paraId="2725F73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6</w:t>
      </w:r>
      <w:r w:rsidRPr="00777BCD">
        <w:rPr>
          <w:rFonts w:ascii="Calibri" w:hAnsi="Calibri" w:cs="Calibri"/>
          <w:bCs/>
          <w:color w:val="000000" w:themeColor="text1"/>
          <w:sz w:val="24"/>
        </w:rPr>
        <w:t>）依据《基金合同》及有关法律规定监督基金托管人，如认为基金托管人违反了《基金合同》及国家有关法律规定，应呈报中国证监会和其他监管部门，并采取必要措施保护基金投资者的利益；</w:t>
      </w:r>
    </w:p>
    <w:p w14:paraId="7688C646"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7</w:t>
      </w:r>
      <w:r w:rsidRPr="00777BCD">
        <w:rPr>
          <w:rFonts w:ascii="Calibri" w:hAnsi="Calibri" w:cs="Calibri"/>
          <w:bCs/>
          <w:color w:val="000000" w:themeColor="text1"/>
          <w:sz w:val="24"/>
        </w:rPr>
        <w:t>）在基金托管人更换时，提名新的基金托管人；</w:t>
      </w:r>
    </w:p>
    <w:p w14:paraId="782B6376"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8</w:t>
      </w:r>
      <w:r w:rsidRPr="00777BCD">
        <w:rPr>
          <w:rFonts w:ascii="Calibri" w:hAnsi="Calibri" w:cs="Calibri"/>
          <w:bCs/>
          <w:color w:val="000000" w:themeColor="text1"/>
          <w:sz w:val="24"/>
        </w:rPr>
        <w:t>）选择、更换基金销售机构，对基金销售机构的相关行为进行监督和处理；</w:t>
      </w:r>
      <w:r w:rsidRPr="00777BCD">
        <w:rPr>
          <w:rFonts w:ascii="Calibri" w:hAnsi="Calibri" w:cs="Calibri"/>
          <w:bCs/>
          <w:color w:val="000000" w:themeColor="text1"/>
          <w:sz w:val="24"/>
        </w:rPr>
        <w:t xml:space="preserve"> </w:t>
      </w:r>
    </w:p>
    <w:p w14:paraId="3393A5C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w:t>
      </w:r>
      <w:r w:rsidRPr="00777BCD">
        <w:rPr>
          <w:rFonts w:ascii="Calibri" w:hAnsi="Calibri" w:cs="Calibri"/>
          <w:bCs/>
          <w:color w:val="000000" w:themeColor="text1"/>
          <w:sz w:val="24"/>
        </w:rPr>
        <w:t>9</w:t>
      </w:r>
      <w:r w:rsidRPr="00777BCD">
        <w:rPr>
          <w:rFonts w:ascii="Calibri" w:hAnsi="Calibri" w:cs="Calibri"/>
          <w:bCs/>
          <w:color w:val="000000" w:themeColor="text1"/>
          <w:sz w:val="24"/>
        </w:rPr>
        <w:t>）担任或委托其他符合条件的机构担任基金登记机构办理基金登记业务并获得《基金合同》规定的费用；</w:t>
      </w:r>
      <w:r w:rsidRPr="00777BCD">
        <w:rPr>
          <w:rFonts w:ascii="Calibri" w:hAnsi="Calibri" w:cs="Calibri"/>
          <w:bCs/>
          <w:color w:val="000000" w:themeColor="text1"/>
          <w:sz w:val="24"/>
        </w:rPr>
        <w:t xml:space="preserve"> </w:t>
      </w:r>
    </w:p>
    <w:p w14:paraId="424B52C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10</w:t>
      </w:r>
      <w:r w:rsidRPr="00777BCD">
        <w:rPr>
          <w:rFonts w:ascii="Calibri" w:hAnsi="Calibri" w:cs="Calibri"/>
          <w:bCs/>
          <w:color w:val="000000" w:themeColor="text1"/>
          <w:sz w:val="24"/>
        </w:rPr>
        <w:t>）依据《基金合同》及有关法律规定决定基金收益的分配方案；</w:t>
      </w:r>
      <w:r w:rsidRPr="00777BCD">
        <w:rPr>
          <w:rFonts w:ascii="Calibri" w:hAnsi="Calibri" w:cs="Calibri"/>
          <w:bCs/>
          <w:color w:val="000000" w:themeColor="text1"/>
          <w:sz w:val="24"/>
        </w:rPr>
        <w:tab/>
      </w:r>
    </w:p>
    <w:p w14:paraId="5EB4735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11</w:t>
      </w:r>
      <w:r w:rsidRPr="00777BCD">
        <w:rPr>
          <w:rFonts w:ascii="Calibri" w:hAnsi="Calibri" w:cs="Calibri"/>
          <w:bCs/>
          <w:color w:val="000000" w:themeColor="text1"/>
          <w:sz w:val="24"/>
        </w:rPr>
        <w:t>）在《基金合同》约定的范围内，拒绝或暂停受理申购、赎回或转换申请；</w:t>
      </w:r>
      <w:r w:rsidRPr="00777BCD">
        <w:rPr>
          <w:rFonts w:ascii="Calibri" w:hAnsi="Calibri" w:cs="Calibri"/>
          <w:bCs/>
          <w:color w:val="000000" w:themeColor="text1"/>
          <w:sz w:val="24"/>
        </w:rPr>
        <w:t xml:space="preserve"> </w:t>
      </w:r>
    </w:p>
    <w:p w14:paraId="4BB8B30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12</w:t>
      </w:r>
      <w:r w:rsidRPr="00777BCD">
        <w:rPr>
          <w:rFonts w:ascii="Calibri" w:hAnsi="Calibri" w:cs="Calibri"/>
          <w:bCs/>
          <w:color w:val="000000" w:themeColor="text1"/>
          <w:sz w:val="24"/>
        </w:rPr>
        <w:t>）依照法律法规为基金的利益对被投资公司行使股东权利，为基金的利益行使因基金财产投资于证券所产生的权利；</w:t>
      </w:r>
    </w:p>
    <w:p w14:paraId="07B9142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13</w:t>
      </w:r>
      <w:r w:rsidRPr="00777BCD">
        <w:rPr>
          <w:rFonts w:ascii="Calibri" w:hAnsi="Calibri" w:cs="Calibri"/>
          <w:bCs/>
          <w:color w:val="000000" w:themeColor="text1"/>
          <w:sz w:val="24"/>
        </w:rPr>
        <w:t>）在法律法规允许的前提下，为基金的利益依法为基金进行融资；</w:t>
      </w:r>
      <w:r w:rsidRPr="00777BCD">
        <w:rPr>
          <w:rFonts w:ascii="Calibri" w:hAnsi="Calibri" w:cs="Calibri"/>
          <w:bCs/>
          <w:color w:val="000000" w:themeColor="text1"/>
          <w:sz w:val="24"/>
        </w:rPr>
        <w:tab/>
      </w:r>
    </w:p>
    <w:p w14:paraId="6245B769" w14:textId="40F3D1B3"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14</w:t>
      </w:r>
      <w:r w:rsidRPr="00777BCD">
        <w:rPr>
          <w:rFonts w:ascii="Calibri" w:hAnsi="Calibri" w:cs="Calibri"/>
          <w:bCs/>
          <w:color w:val="000000" w:themeColor="text1"/>
          <w:sz w:val="24"/>
        </w:rPr>
        <w:t>）以基金管理人的名义，代表基金份额持有人的利益行使诉讼权利或者实施其他法律行为；</w:t>
      </w:r>
      <w:r w:rsidRPr="00777BCD">
        <w:rPr>
          <w:rFonts w:ascii="Calibri" w:hAnsi="Calibri" w:cs="Calibri"/>
          <w:bCs/>
          <w:color w:val="000000" w:themeColor="text1"/>
          <w:sz w:val="24"/>
        </w:rPr>
        <w:tab/>
      </w:r>
    </w:p>
    <w:p w14:paraId="279A224B" w14:textId="64C089AE"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15</w:t>
      </w:r>
      <w:r w:rsidRPr="00777BCD">
        <w:rPr>
          <w:rFonts w:ascii="Calibri" w:hAnsi="Calibri" w:cs="Calibri"/>
          <w:bCs/>
          <w:color w:val="000000" w:themeColor="text1"/>
          <w:sz w:val="24"/>
        </w:rPr>
        <w:t>）选择、更换律师事务所、会计师事务所、证券</w:t>
      </w:r>
      <w:r w:rsidRPr="00777BCD">
        <w:rPr>
          <w:rFonts w:ascii="Calibri" w:hAnsi="Calibri" w:cs="Calibri"/>
          <w:bCs/>
          <w:color w:val="000000" w:themeColor="text1"/>
          <w:sz w:val="24"/>
        </w:rPr>
        <w:t>/</w:t>
      </w:r>
      <w:r w:rsidRPr="00777BCD">
        <w:rPr>
          <w:rFonts w:ascii="Calibri" w:hAnsi="Calibri" w:cs="Calibri"/>
          <w:bCs/>
          <w:color w:val="000000" w:themeColor="text1"/>
          <w:sz w:val="24"/>
        </w:rPr>
        <w:t>期货经纪商或其他为基金提供服务的外部机构；</w:t>
      </w:r>
      <w:r w:rsidRPr="00777BCD">
        <w:rPr>
          <w:rFonts w:ascii="Calibri" w:hAnsi="Calibri" w:cs="Calibri"/>
          <w:bCs/>
          <w:color w:val="000000" w:themeColor="text1"/>
          <w:sz w:val="24"/>
        </w:rPr>
        <w:tab/>
      </w:r>
    </w:p>
    <w:p w14:paraId="5F226758" w14:textId="496EC741"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16</w:t>
      </w:r>
      <w:r w:rsidRPr="00777BCD">
        <w:rPr>
          <w:rFonts w:ascii="Calibri" w:hAnsi="Calibri" w:cs="Calibri"/>
          <w:bCs/>
          <w:color w:val="000000" w:themeColor="text1"/>
          <w:sz w:val="24"/>
        </w:rPr>
        <w:t>）在符合有关法律、法规的前提下，制订和调整有关基金认购、申购、赎回、转换、</w:t>
      </w:r>
      <w:proofErr w:type="gramStart"/>
      <w:r w:rsidRPr="00777BCD">
        <w:rPr>
          <w:rFonts w:ascii="Calibri" w:hAnsi="Calibri" w:cs="Calibri"/>
          <w:bCs/>
          <w:color w:val="000000" w:themeColor="text1"/>
          <w:sz w:val="24"/>
        </w:rPr>
        <w:t>非交易</w:t>
      </w:r>
      <w:proofErr w:type="gramEnd"/>
      <w:r w:rsidRPr="00777BCD">
        <w:rPr>
          <w:rFonts w:ascii="Calibri" w:hAnsi="Calibri" w:cs="Calibri"/>
          <w:bCs/>
          <w:color w:val="000000" w:themeColor="text1"/>
          <w:sz w:val="24"/>
        </w:rPr>
        <w:t>过户、定期定额投资、转托管和收益分配等业务规则；</w:t>
      </w:r>
    </w:p>
    <w:p w14:paraId="45E37B7A" w14:textId="39DEE9CC"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17</w:t>
      </w:r>
      <w:r w:rsidRPr="00777BCD">
        <w:rPr>
          <w:rFonts w:ascii="Calibri" w:hAnsi="Calibri" w:cs="Calibri"/>
          <w:bCs/>
          <w:color w:val="000000" w:themeColor="text1"/>
          <w:sz w:val="24"/>
        </w:rPr>
        <w:t>）法律法规及中国证监会规定的和《基金合同》约定的其他权利。</w:t>
      </w:r>
    </w:p>
    <w:p w14:paraId="4304CF5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、根据《基金法》、《运作办法》及其他有关规定，基金管理人的义务包括但不限于：</w:t>
      </w:r>
    </w:p>
    <w:p w14:paraId="2A93E6AC" w14:textId="77777777" w:rsidR="007149DF" w:rsidRPr="00777BCD" w:rsidRDefault="00284640">
      <w:pPr>
        <w:ind w:firstLine="480"/>
        <w:rPr>
          <w:rFonts w:ascii="Calibri" w:hAnsi="Calibri" w:cs="Calibri"/>
          <w:bCs/>
          <w:color w:val="000000" w:themeColor="text1"/>
          <w:sz w:val="24"/>
        </w:rPr>
      </w:pPr>
      <w:bookmarkStart w:id="161" w:name="_Toc523711669"/>
      <w:r w:rsidRPr="00777BCD">
        <w:rPr>
          <w:rFonts w:ascii="Calibri" w:hAnsi="Calibri" w:cs="Calibri"/>
          <w:bCs/>
          <w:color w:val="000000" w:themeColor="text1"/>
          <w:sz w:val="24"/>
        </w:rPr>
        <w:t>（</w:t>
      </w:r>
      <w:r w:rsidRPr="00777BCD">
        <w:rPr>
          <w:rFonts w:ascii="Calibri" w:hAnsi="Calibri" w:cs="Calibri"/>
          <w:bCs/>
          <w:color w:val="000000" w:themeColor="text1"/>
          <w:sz w:val="24"/>
        </w:rPr>
        <w:t>1</w:t>
      </w:r>
      <w:r w:rsidRPr="00777BCD">
        <w:rPr>
          <w:rFonts w:ascii="Calibri" w:hAnsi="Calibri" w:cs="Calibri"/>
          <w:bCs/>
          <w:color w:val="000000" w:themeColor="text1"/>
          <w:sz w:val="24"/>
        </w:rPr>
        <w:t>）依法募集资金，办理或者委托经中国证监会认定的其他机构代为办理基金份额的发售、申购、赎回和登记事宜；</w:t>
      </w:r>
    </w:p>
    <w:p w14:paraId="07051DB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2</w:t>
      </w:r>
      <w:r w:rsidRPr="00777BCD">
        <w:rPr>
          <w:rFonts w:ascii="Calibri" w:hAnsi="Calibri" w:cs="Calibri"/>
          <w:bCs/>
          <w:color w:val="000000" w:themeColor="text1"/>
          <w:sz w:val="24"/>
        </w:rPr>
        <w:t>）办理基金备案手续；</w:t>
      </w:r>
    </w:p>
    <w:p w14:paraId="6A50D48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3</w:t>
      </w:r>
      <w:r w:rsidRPr="00777BCD">
        <w:rPr>
          <w:rFonts w:ascii="Calibri" w:hAnsi="Calibri" w:cs="Calibri"/>
          <w:bCs/>
          <w:color w:val="000000" w:themeColor="text1"/>
          <w:sz w:val="24"/>
        </w:rPr>
        <w:t>）自《基金合同》生效之日起，以诚实信用、谨慎勤勉的原则管理和运用基金财产；</w:t>
      </w:r>
    </w:p>
    <w:p w14:paraId="39F65F5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4</w:t>
      </w:r>
      <w:r w:rsidRPr="00777BCD">
        <w:rPr>
          <w:rFonts w:ascii="Calibri" w:hAnsi="Calibri" w:cs="Calibri"/>
          <w:bCs/>
          <w:color w:val="000000" w:themeColor="text1"/>
          <w:sz w:val="24"/>
        </w:rPr>
        <w:t>）配备足够的具有专业资格的人员进行基金投资分析、决策，以专业化的经营方式管理和运作基金财产；</w:t>
      </w:r>
    </w:p>
    <w:p w14:paraId="3BB36E3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5</w:t>
      </w:r>
      <w:r w:rsidRPr="00777BCD">
        <w:rPr>
          <w:rFonts w:ascii="Calibri" w:hAnsi="Calibri" w:cs="Calibri"/>
          <w:bCs/>
          <w:color w:val="000000" w:themeColor="text1"/>
          <w:sz w:val="24"/>
        </w:rPr>
        <w:t>）建立健全内部风险控制、监察与稽核、财务管理及人事管理等制度，保证所管理的基金财产和基金管理人的财产相互独立，对所管理的不同基金分别管理，分别记账，进行证券投资；</w:t>
      </w:r>
    </w:p>
    <w:p w14:paraId="6D97C18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w:t>
      </w:r>
      <w:r w:rsidRPr="00777BCD">
        <w:rPr>
          <w:rFonts w:ascii="Calibri" w:hAnsi="Calibri" w:cs="Calibri"/>
          <w:bCs/>
          <w:color w:val="000000" w:themeColor="text1"/>
          <w:sz w:val="24"/>
        </w:rPr>
        <w:t>6</w:t>
      </w:r>
      <w:r w:rsidRPr="00777BCD">
        <w:rPr>
          <w:rFonts w:ascii="Calibri" w:hAnsi="Calibri" w:cs="Calibri"/>
          <w:bCs/>
          <w:color w:val="000000" w:themeColor="text1"/>
          <w:sz w:val="24"/>
        </w:rPr>
        <w:t>）除依据《基金法》、《基金合同》及其他有关规定外，不得利用基金财产为自己及任何第三人谋取利益，不得委托第三人运作基金财产；</w:t>
      </w:r>
      <w:bookmarkStart w:id="162" w:name="_Hlt88897298"/>
      <w:bookmarkEnd w:id="162"/>
    </w:p>
    <w:p w14:paraId="71E8C69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7</w:t>
      </w:r>
      <w:r w:rsidRPr="00777BCD">
        <w:rPr>
          <w:rFonts w:ascii="Calibri" w:hAnsi="Calibri" w:cs="Calibri"/>
          <w:bCs/>
          <w:color w:val="000000" w:themeColor="text1"/>
          <w:sz w:val="24"/>
        </w:rPr>
        <w:t>）依法接受基金托管人的监督；</w:t>
      </w:r>
    </w:p>
    <w:p w14:paraId="0A185C1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8</w:t>
      </w:r>
      <w:r w:rsidRPr="00777BCD">
        <w:rPr>
          <w:rFonts w:ascii="Calibri" w:hAnsi="Calibri" w:cs="Calibri"/>
          <w:bCs/>
          <w:color w:val="000000" w:themeColor="text1"/>
          <w:sz w:val="24"/>
        </w:rPr>
        <w:t>）采取适当合理的措施使计算各类基金份额认购、申购、赎回和注销价格的方法符合《基金合同》等法律文件的规定，按有关规定计算并公告基金净值信息，确定基金份额申购、赎回的价格；</w:t>
      </w:r>
    </w:p>
    <w:p w14:paraId="6390A25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9</w:t>
      </w:r>
      <w:r w:rsidRPr="00777BCD">
        <w:rPr>
          <w:rFonts w:ascii="Calibri" w:hAnsi="Calibri" w:cs="Calibri"/>
          <w:bCs/>
          <w:color w:val="000000" w:themeColor="text1"/>
          <w:sz w:val="24"/>
        </w:rPr>
        <w:t>）进行基金会计核算并编制基金财务会计报告；</w:t>
      </w:r>
    </w:p>
    <w:p w14:paraId="3EB1876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10</w:t>
      </w:r>
      <w:r w:rsidRPr="00777BCD">
        <w:rPr>
          <w:rFonts w:ascii="Calibri" w:hAnsi="Calibri" w:cs="Calibri"/>
          <w:bCs/>
          <w:color w:val="000000" w:themeColor="text1"/>
          <w:sz w:val="24"/>
        </w:rPr>
        <w:t>）编制季度报告、中期报告和年度报告；</w:t>
      </w:r>
    </w:p>
    <w:p w14:paraId="3BA3538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11</w:t>
      </w:r>
      <w:r w:rsidRPr="00777BCD">
        <w:rPr>
          <w:rFonts w:ascii="Calibri" w:hAnsi="Calibri" w:cs="Calibri"/>
          <w:bCs/>
          <w:color w:val="000000" w:themeColor="text1"/>
          <w:sz w:val="24"/>
        </w:rPr>
        <w:t>）严格按照《基金法》、《基金合同》及其他有关规定，履行信息披露及报告义务；</w:t>
      </w:r>
    </w:p>
    <w:p w14:paraId="03C934B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12</w:t>
      </w:r>
      <w:r w:rsidRPr="00777BCD">
        <w:rPr>
          <w:rFonts w:ascii="Calibri" w:hAnsi="Calibri" w:cs="Calibri"/>
          <w:bCs/>
          <w:color w:val="000000" w:themeColor="text1"/>
          <w:sz w:val="24"/>
        </w:rPr>
        <w:t>）保守基金商业秘密，不泄露基金投资计划、投资意向等。除《基金法》、《基金合同》及其他有关规定另有规定外，在基金信息公开披露前应予保密，不向他人泄露，</w:t>
      </w:r>
      <w:r w:rsidRPr="00777BCD">
        <w:rPr>
          <w:rFonts w:ascii="Calibri" w:hAnsi="Calibri" w:cs="Calibri"/>
          <w:bCs/>
          <w:color w:val="000000" w:themeColor="text1"/>
          <w:sz w:val="24"/>
          <w:szCs w:val="24"/>
        </w:rPr>
        <w:t>但根据监管机构、司法机关等有权机关的要求，或</w:t>
      </w:r>
      <w:r w:rsidRPr="00777BCD">
        <w:rPr>
          <w:rFonts w:ascii="Calibri" w:hAnsi="Calibri" w:cs="Calibri"/>
          <w:bCs/>
          <w:color w:val="000000" w:themeColor="text1"/>
          <w:sz w:val="24"/>
        </w:rPr>
        <w:t>因审计、法律等外部专业顾问提供服务而向其提供的情况除外；</w:t>
      </w:r>
    </w:p>
    <w:p w14:paraId="58F8514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13</w:t>
      </w:r>
      <w:r w:rsidRPr="00777BCD">
        <w:rPr>
          <w:rFonts w:ascii="Calibri" w:hAnsi="Calibri" w:cs="Calibri"/>
          <w:bCs/>
          <w:color w:val="000000" w:themeColor="text1"/>
          <w:sz w:val="24"/>
        </w:rPr>
        <w:t>）按《基金合同》的约定确定基金收益分配方案，及时向基金份额持有人分配基金收益；</w:t>
      </w:r>
    </w:p>
    <w:p w14:paraId="49531A36"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14</w:t>
      </w:r>
      <w:r w:rsidRPr="00777BCD">
        <w:rPr>
          <w:rFonts w:ascii="Calibri" w:hAnsi="Calibri" w:cs="Calibri"/>
          <w:bCs/>
          <w:color w:val="000000" w:themeColor="text1"/>
          <w:sz w:val="24"/>
        </w:rPr>
        <w:t>）按规定受理申购与赎回申请，及时、足额支付赎回款项；</w:t>
      </w:r>
    </w:p>
    <w:p w14:paraId="1421686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15</w:t>
      </w:r>
      <w:r w:rsidRPr="00777BCD">
        <w:rPr>
          <w:rFonts w:ascii="Calibri" w:hAnsi="Calibri" w:cs="Calibri"/>
          <w:bCs/>
          <w:color w:val="000000" w:themeColor="text1"/>
          <w:sz w:val="24"/>
        </w:rPr>
        <w:t>）依据《基金法》、《基金合同》及其他有关规定召集基金份额持有人大会或配合基金托管人、基金份额持有人依法召集基金份额持有人大会；</w:t>
      </w:r>
    </w:p>
    <w:p w14:paraId="60AF08A3" w14:textId="77B227AF"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16</w:t>
      </w:r>
      <w:r w:rsidRPr="00777BCD">
        <w:rPr>
          <w:rFonts w:ascii="Calibri" w:hAnsi="Calibri" w:cs="Calibri"/>
          <w:bCs/>
          <w:color w:val="000000" w:themeColor="text1"/>
          <w:sz w:val="24"/>
        </w:rPr>
        <w:t>）按规定保存基金财产管理业务活动的会计账册、报表、记录和其他相关资料</w:t>
      </w:r>
      <w:r w:rsidRPr="00777BCD">
        <w:rPr>
          <w:rFonts w:ascii="Calibri" w:hAnsi="Calibri" w:cs="Calibri"/>
          <w:bCs/>
          <w:color w:val="000000" w:themeColor="text1"/>
          <w:sz w:val="24"/>
        </w:rPr>
        <w:t>20</w:t>
      </w:r>
      <w:r w:rsidRPr="00777BCD">
        <w:rPr>
          <w:rFonts w:ascii="Calibri" w:hAnsi="Calibri" w:cs="Calibri"/>
          <w:bCs/>
          <w:color w:val="000000" w:themeColor="text1"/>
          <w:sz w:val="24"/>
        </w:rPr>
        <w:t>年以上，法律法规另有规定的从其规定；</w:t>
      </w:r>
    </w:p>
    <w:p w14:paraId="35EB5186"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17</w:t>
      </w:r>
      <w:r w:rsidRPr="00777BCD">
        <w:rPr>
          <w:rFonts w:ascii="Calibri" w:hAnsi="Calibri" w:cs="Calibri"/>
          <w:bCs/>
          <w:color w:val="000000" w:themeColor="text1"/>
          <w:sz w:val="24"/>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1FA3424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18</w:t>
      </w:r>
      <w:r w:rsidRPr="00777BCD">
        <w:rPr>
          <w:rFonts w:ascii="Calibri" w:hAnsi="Calibri" w:cs="Calibri"/>
          <w:bCs/>
          <w:color w:val="000000" w:themeColor="text1"/>
          <w:sz w:val="24"/>
        </w:rPr>
        <w:t>）组织并参加基金财产清算小组，参与基金财产的保管、清理、估价、变现和分配；</w:t>
      </w:r>
    </w:p>
    <w:p w14:paraId="55321A9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19</w:t>
      </w:r>
      <w:r w:rsidRPr="00777BCD">
        <w:rPr>
          <w:rFonts w:ascii="Calibri" w:hAnsi="Calibri" w:cs="Calibri"/>
          <w:bCs/>
          <w:color w:val="000000" w:themeColor="text1"/>
          <w:sz w:val="24"/>
        </w:rPr>
        <w:t>）面临解散、依法被撤销或者被依法宣告破产时，及时报告中国证监会并通知基金托管人；</w:t>
      </w:r>
    </w:p>
    <w:p w14:paraId="7E32342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w:t>
      </w:r>
      <w:r w:rsidRPr="00777BCD">
        <w:rPr>
          <w:rFonts w:ascii="Calibri" w:hAnsi="Calibri" w:cs="Calibri"/>
          <w:bCs/>
          <w:color w:val="000000" w:themeColor="text1"/>
          <w:sz w:val="24"/>
        </w:rPr>
        <w:t>20</w:t>
      </w:r>
      <w:r w:rsidRPr="00777BCD">
        <w:rPr>
          <w:rFonts w:ascii="Calibri" w:hAnsi="Calibri" w:cs="Calibri"/>
          <w:bCs/>
          <w:color w:val="000000" w:themeColor="text1"/>
          <w:sz w:val="24"/>
        </w:rPr>
        <w:t>）因违反《基金合同》导致基金财产的损失或损害基金份额持有人合法权益时，应当承担赔偿责任，其赔偿责任不因其退任而免除；</w:t>
      </w:r>
    </w:p>
    <w:p w14:paraId="670758D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21</w:t>
      </w:r>
      <w:r w:rsidRPr="00777BCD">
        <w:rPr>
          <w:rFonts w:ascii="Calibri" w:hAnsi="Calibri" w:cs="Calibri"/>
          <w:bCs/>
          <w:color w:val="000000" w:themeColor="text1"/>
          <w:sz w:val="24"/>
        </w:rPr>
        <w:t>）监督基金托管人按法律法规和《基金合同》规定履行自己的义务，基金托管人违反《基金合同》造成基金财产损失时，基金管理人应为基金份额持有人利益向基金托管人追偿；</w:t>
      </w:r>
    </w:p>
    <w:p w14:paraId="1FE9060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22</w:t>
      </w:r>
      <w:r w:rsidRPr="00777BCD">
        <w:rPr>
          <w:rFonts w:ascii="Calibri" w:hAnsi="Calibri" w:cs="Calibri"/>
          <w:bCs/>
          <w:color w:val="000000" w:themeColor="text1"/>
          <w:sz w:val="24"/>
        </w:rPr>
        <w:t>）当基金管理人将其义务委托第三方处理时，应当对第三方处理有关基金事务的行为承担责任；</w:t>
      </w:r>
    </w:p>
    <w:p w14:paraId="4998278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23</w:t>
      </w:r>
      <w:r w:rsidRPr="00777BCD">
        <w:rPr>
          <w:rFonts w:ascii="Calibri" w:hAnsi="Calibri" w:cs="Calibri"/>
          <w:bCs/>
          <w:color w:val="000000" w:themeColor="text1"/>
          <w:sz w:val="24"/>
        </w:rPr>
        <w:t>）以基金管理人名义，代表基金份额持有人利益行使诉讼权利或实施其他法律行为；</w:t>
      </w:r>
    </w:p>
    <w:p w14:paraId="6D317E1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24</w:t>
      </w:r>
      <w:r w:rsidRPr="00777BCD">
        <w:rPr>
          <w:rFonts w:ascii="Calibri" w:hAnsi="Calibri" w:cs="Calibri"/>
          <w:bCs/>
          <w:color w:val="000000" w:themeColor="text1"/>
          <w:sz w:val="24"/>
        </w:rPr>
        <w:t>）基金管理人在募集期间未能达到基金</w:t>
      </w:r>
      <w:bookmarkStart w:id="163" w:name="_Hlt88823209"/>
      <w:bookmarkEnd w:id="163"/>
      <w:r w:rsidRPr="00777BCD">
        <w:rPr>
          <w:rFonts w:ascii="Calibri" w:hAnsi="Calibri" w:cs="Calibri"/>
          <w:bCs/>
          <w:color w:val="000000" w:themeColor="text1"/>
          <w:sz w:val="24"/>
        </w:rPr>
        <w:t>的备案条件，《基金合同》不能生效，基金管理人承担全部募集费用，将已募集资金并加计银行同期活期存款利息（税后）在基金募集期结束后</w:t>
      </w:r>
      <w:r w:rsidRPr="00777BCD">
        <w:rPr>
          <w:rFonts w:ascii="Calibri" w:hAnsi="Calibri" w:cs="Calibri"/>
          <w:bCs/>
          <w:color w:val="000000" w:themeColor="text1"/>
          <w:sz w:val="24"/>
        </w:rPr>
        <w:t>30</w:t>
      </w:r>
      <w:r w:rsidRPr="00777BCD">
        <w:rPr>
          <w:rFonts w:ascii="Calibri" w:hAnsi="Calibri" w:cs="Calibri"/>
          <w:bCs/>
          <w:color w:val="000000" w:themeColor="text1"/>
          <w:sz w:val="24"/>
        </w:rPr>
        <w:t>日内退还基金认购人；</w:t>
      </w:r>
    </w:p>
    <w:p w14:paraId="1EBE676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25</w:t>
      </w:r>
      <w:r w:rsidRPr="00777BCD">
        <w:rPr>
          <w:rFonts w:ascii="Calibri" w:hAnsi="Calibri" w:cs="Calibri"/>
          <w:bCs/>
          <w:color w:val="000000" w:themeColor="text1"/>
          <w:sz w:val="24"/>
        </w:rPr>
        <w:t>）执行生效的基金份额持有人大会的决议；</w:t>
      </w:r>
    </w:p>
    <w:p w14:paraId="0992E09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26</w:t>
      </w:r>
      <w:r w:rsidRPr="00777BCD">
        <w:rPr>
          <w:rFonts w:ascii="Calibri" w:hAnsi="Calibri" w:cs="Calibri"/>
          <w:bCs/>
          <w:color w:val="000000" w:themeColor="text1"/>
          <w:sz w:val="24"/>
        </w:rPr>
        <w:t>）建立并保存基金份额持有人名册；</w:t>
      </w:r>
    </w:p>
    <w:p w14:paraId="62BE134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27</w:t>
      </w:r>
      <w:r w:rsidRPr="00777BCD">
        <w:rPr>
          <w:rFonts w:ascii="Calibri" w:hAnsi="Calibri" w:cs="Calibri"/>
          <w:bCs/>
          <w:color w:val="000000" w:themeColor="text1"/>
          <w:sz w:val="24"/>
        </w:rPr>
        <w:t>）法律法规及中国证监会规定的和《基金合同》约定的其他义务。</w:t>
      </w:r>
      <w:bookmarkEnd w:id="159"/>
    </w:p>
    <w:p w14:paraId="30F7A879" w14:textId="77777777" w:rsidR="007149DF" w:rsidRPr="00777BCD" w:rsidRDefault="007149DF">
      <w:pPr>
        <w:ind w:firstLine="480"/>
        <w:rPr>
          <w:rFonts w:ascii="Calibri" w:hAnsi="Calibri" w:cs="Calibri"/>
          <w:bCs/>
          <w:color w:val="000000" w:themeColor="text1"/>
          <w:sz w:val="24"/>
        </w:rPr>
      </w:pPr>
    </w:p>
    <w:p w14:paraId="2806FD94" w14:textId="77777777" w:rsidR="007149DF" w:rsidRPr="00777BCD" w:rsidRDefault="00284640">
      <w:pPr>
        <w:ind w:firstLine="480"/>
        <w:rPr>
          <w:rFonts w:ascii="Calibri" w:hAnsi="Calibri" w:cs="Calibri"/>
          <w:bCs/>
          <w:color w:val="000000" w:themeColor="text1"/>
          <w:sz w:val="24"/>
        </w:rPr>
      </w:pPr>
      <w:bookmarkStart w:id="164" w:name="_Toc79392581"/>
      <w:bookmarkStart w:id="165" w:name="_Toc15118238"/>
      <w:bookmarkStart w:id="166" w:name="_Toc57530240"/>
      <w:r w:rsidRPr="00777BCD">
        <w:rPr>
          <w:rFonts w:ascii="Calibri" w:hAnsi="Calibri" w:cs="Calibri"/>
          <w:bCs/>
          <w:color w:val="000000" w:themeColor="text1"/>
          <w:sz w:val="24"/>
        </w:rPr>
        <w:t>二、基金托管人</w:t>
      </w:r>
      <w:bookmarkEnd w:id="161"/>
      <w:bookmarkEnd w:id="164"/>
      <w:bookmarkEnd w:id="165"/>
      <w:bookmarkEnd w:id="166"/>
    </w:p>
    <w:p w14:paraId="2F3AE584" w14:textId="77777777" w:rsidR="007149DF" w:rsidRPr="00777BCD" w:rsidRDefault="00284640">
      <w:pPr>
        <w:ind w:firstLine="480"/>
        <w:rPr>
          <w:rFonts w:ascii="Calibri" w:hAnsi="Calibri" w:cs="Calibri"/>
          <w:bCs/>
          <w:color w:val="000000" w:themeColor="text1"/>
          <w:sz w:val="24"/>
        </w:rPr>
      </w:pPr>
      <w:bookmarkStart w:id="167" w:name="_Toc15118239"/>
      <w:r w:rsidRPr="00777BCD">
        <w:rPr>
          <w:rFonts w:ascii="Calibri" w:hAnsi="Calibri" w:cs="Calibri"/>
          <w:bCs/>
          <w:color w:val="000000" w:themeColor="text1"/>
          <w:sz w:val="24"/>
        </w:rPr>
        <w:t>（一）</w:t>
      </w:r>
      <w:r w:rsidRPr="00777BCD">
        <w:rPr>
          <w:rFonts w:ascii="Calibri" w:hAnsi="Calibri" w:cs="Calibri"/>
          <w:bCs/>
          <w:color w:val="000000" w:themeColor="text1"/>
          <w:sz w:val="24"/>
        </w:rPr>
        <w:tab/>
      </w:r>
      <w:r w:rsidRPr="00777BCD">
        <w:rPr>
          <w:rFonts w:ascii="Calibri" w:hAnsi="Calibri" w:cs="Calibri"/>
          <w:bCs/>
          <w:color w:val="000000" w:themeColor="text1"/>
          <w:sz w:val="24"/>
        </w:rPr>
        <w:t>基金托管人简况</w:t>
      </w:r>
      <w:bookmarkEnd w:id="167"/>
    </w:p>
    <w:p w14:paraId="0183CF20" w14:textId="37BC0124" w:rsidR="007149DF" w:rsidRPr="00777BCD" w:rsidRDefault="00284640">
      <w:pPr>
        <w:ind w:firstLine="480"/>
        <w:rPr>
          <w:rFonts w:ascii="Calibri" w:hAnsi="Calibri" w:cs="Calibri"/>
          <w:bCs/>
          <w:color w:val="000000" w:themeColor="text1"/>
          <w:sz w:val="24"/>
        </w:rPr>
      </w:pPr>
      <w:bookmarkStart w:id="168" w:name="_Toc15118240"/>
      <w:r w:rsidRPr="00777BCD">
        <w:rPr>
          <w:rFonts w:ascii="Calibri" w:hAnsi="Calibri" w:cs="Calibri"/>
          <w:bCs/>
          <w:color w:val="000000" w:themeColor="text1"/>
          <w:sz w:val="24"/>
        </w:rPr>
        <w:t>名称：中国民生银行股份有限公司</w:t>
      </w:r>
    </w:p>
    <w:p w14:paraId="38ADADC1" w14:textId="7E7A4D8F"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住所：北京市西城区复兴门内大街</w:t>
      </w:r>
      <w:r w:rsidRPr="00777BCD">
        <w:rPr>
          <w:rFonts w:ascii="Calibri" w:hAnsi="Calibri" w:cs="Calibri"/>
          <w:bCs/>
          <w:color w:val="000000" w:themeColor="text1"/>
          <w:sz w:val="24"/>
        </w:rPr>
        <w:t>2</w:t>
      </w:r>
      <w:r w:rsidRPr="00777BCD">
        <w:rPr>
          <w:rFonts w:ascii="Calibri" w:hAnsi="Calibri" w:cs="Calibri"/>
          <w:bCs/>
          <w:color w:val="000000" w:themeColor="text1"/>
          <w:sz w:val="24"/>
        </w:rPr>
        <w:t>号</w:t>
      </w:r>
    </w:p>
    <w:p w14:paraId="79EFA89E" w14:textId="34FE674D"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法定代表人：高迎欣</w:t>
      </w:r>
    </w:p>
    <w:p w14:paraId="6A91A68F" w14:textId="74E77A41" w:rsidR="007149DF" w:rsidRPr="00777BCD" w:rsidRDefault="00284640">
      <w:pPr>
        <w:ind w:firstLine="480"/>
        <w:rPr>
          <w:rFonts w:ascii="Calibri" w:eastAsia="新宋体" w:hAnsi="Calibri" w:cs="Calibri"/>
          <w:sz w:val="24"/>
          <w:szCs w:val="21"/>
        </w:rPr>
      </w:pPr>
      <w:r w:rsidRPr="00777BCD">
        <w:rPr>
          <w:rFonts w:ascii="Calibri" w:hAnsi="Calibri" w:cs="Calibri"/>
          <w:bCs/>
          <w:color w:val="000000" w:themeColor="text1"/>
          <w:sz w:val="24"/>
        </w:rPr>
        <w:t>成立时间：</w:t>
      </w:r>
      <w:r w:rsidRPr="00777BCD">
        <w:rPr>
          <w:rFonts w:ascii="Calibri" w:hAnsi="Calibri" w:cs="Calibri"/>
          <w:bCs/>
          <w:color w:val="000000" w:themeColor="text1"/>
          <w:sz w:val="24"/>
        </w:rPr>
        <w:t>1996</w:t>
      </w:r>
      <w:r w:rsidRPr="00777BCD">
        <w:rPr>
          <w:rFonts w:ascii="Calibri" w:hAnsi="Calibri" w:cs="Calibri"/>
          <w:bCs/>
          <w:color w:val="000000" w:themeColor="text1"/>
          <w:sz w:val="24"/>
        </w:rPr>
        <w:t>年</w:t>
      </w:r>
      <w:r w:rsidRPr="00777BCD">
        <w:rPr>
          <w:rFonts w:ascii="Calibri" w:hAnsi="Calibri" w:cs="Calibri"/>
          <w:bCs/>
          <w:color w:val="000000" w:themeColor="text1"/>
          <w:sz w:val="24"/>
        </w:rPr>
        <w:t>2</w:t>
      </w:r>
      <w:r w:rsidRPr="00777BCD">
        <w:rPr>
          <w:rFonts w:ascii="Calibri" w:hAnsi="Calibri" w:cs="Calibri"/>
          <w:bCs/>
          <w:color w:val="000000" w:themeColor="text1"/>
          <w:sz w:val="24"/>
        </w:rPr>
        <w:t>月</w:t>
      </w:r>
      <w:r w:rsidRPr="00777BCD">
        <w:rPr>
          <w:rFonts w:ascii="Calibri" w:hAnsi="Calibri" w:cs="Calibri"/>
          <w:bCs/>
          <w:color w:val="000000" w:themeColor="text1"/>
          <w:sz w:val="24"/>
        </w:rPr>
        <w:t>7</w:t>
      </w:r>
      <w:r w:rsidRPr="00777BCD">
        <w:rPr>
          <w:rFonts w:ascii="Calibri" w:hAnsi="Calibri" w:cs="Calibri"/>
          <w:bCs/>
          <w:color w:val="000000" w:themeColor="text1"/>
          <w:sz w:val="24"/>
        </w:rPr>
        <w:t>日</w:t>
      </w:r>
    </w:p>
    <w:p w14:paraId="70AFA9D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邮政编码：</w:t>
      </w:r>
      <w:r w:rsidRPr="00777BCD">
        <w:rPr>
          <w:rFonts w:ascii="Calibri" w:hAnsi="Calibri" w:cs="Calibri"/>
          <w:bCs/>
          <w:color w:val="000000" w:themeColor="text1"/>
          <w:sz w:val="24"/>
        </w:rPr>
        <w:t>100031</w:t>
      </w:r>
    </w:p>
    <w:p w14:paraId="1E149566"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基金托管业务批准文号：证</w:t>
      </w:r>
      <w:proofErr w:type="gramStart"/>
      <w:r w:rsidRPr="00777BCD">
        <w:rPr>
          <w:rFonts w:ascii="Calibri" w:hAnsi="Calibri" w:cs="Calibri"/>
          <w:bCs/>
          <w:color w:val="000000" w:themeColor="text1"/>
          <w:sz w:val="24"/>
        </w:rPr>
        <w:t>监基金字</w:t>
      </w:r>
      <w:proofErr w:type="gramEnd"/>
      <w:r w:rsidRPr="00777BCD">
        <w:rPr>
          <w:rFonts w:ascii="Calibri" w:hAnsi="Calibri" w:cs="Calibri"/>
          <w:bCs/>
          <w:color w:val="000000" w:themeColor="text1"/>
          <w:sz w:val="24"/>
        </w:rPr>
        <w:t>[2004]101</w:t>
      </w:r>
      <w:r w:rsidRPr="00777BCD">
        <w:rPr>
          <w:rFonts w:ascii="Calibri" w:hAnsi="Calibri" w:cs="Calibri"/>
          <w:bCs/>
          <w:color w:val="000000" w:themeColor="text1"/>
          <w:sz w:val="24"/>
        </w:rPr>
        <w:t>号</w:t>
      </w:r>
    </w:p>
    <w:p w14:paraId="16B4255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组织形式：其他股份有限公司（上市）</w:t>
      </w:r>
    </w:p>
    <w:p w14:paraId="1808AEA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注册资本：</w:t>
      </w:r>
      <w:r w:rsidRPr="00777BCD">
        <w:rPr>
          <w:rFonts w:ascii="Calibri" w:hAnsi="Calibri" w:cs="Calibri"/>
          <w:bCs/>
          <w:color w:val="000000" w:themeColor="text1"/>
          <w:sz w:val="24"/>
        </w:rPr>
        <w:t>43,782,418,502</w:t>
      </w:r>
      <w:r w:rsidRPr="00777BCD">
        <w:rPr>
          <w:rFonts w:ascii="Calibri" w:hAnsi="Calibri" w:cs="Calibri"/>
          <w:bCs/>
          <w:color w:val="000000" w:themeColor="text1"/>
          <w:sz w:val="24"/>
        </w:rPr>
        <w:t>元人民币</w:t>
      </w:r>
    </w:p>
    <w:p w14:paraId="2020294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存续期间：</w:t>
      </w:r>
      <w:r w:rsidRPr="00777BCD">
        <w:rPr>
          <w:rFonts w:ascii="Calibri" w:hAnsi="Calibri" w:cs="Calibri"/>
          <w:bCs/>
          <w:color w:val="000000" w:themeColor="text1"/>
          <w:sz w:val="24"/>
        </w:rPr>
        <w:t>1996</w:t>
      </w:r>
      <w:r w:rsidRPr="00777BCD">
        <w:rPr>
          <w:rFonts w:ascii="Calibri" w:hAnsi="Calibri" w:cs="Calibri"/>
          <w:bCs/>
          <w:color w:val="000000" w:themeColor="text1"/>
          <w:sz w:val="24"/>
        </w:rPr>
        <w:t>年</w:t>
      </w:r>
      <w:r w:rsidRPr="00777BCD">
        <w:rPr>
          <w:rFonts w:ascii="Calibri" w:hAnsi="Calibri" w:cs="Calibri"/>
          <w:bCs/>
          <w:color w:val="000000" w:themeColor="text1"/>
          <w:sz w:val="24"/>
        </w:rPr>
        <w:t>02</w:t>
      </w:r>
      <w:r w:rsidRPr="00777BCD">
        <w:rPr>
          <w:rFonts w:ascii="Calibri" w:hAnsi="Calibri" w:cs="Calibri"/>
          <w:bCs/>
          <w:color w:val="000000" w:themeColor="text1"/>
          <w:sz w:val="24"/>
        </w:rPr>
        <w:t>月</w:t>
      </w:r>
      <w:r w:rsidRPr="00777BCD">
        <w:rPr>
          <w:rFonts w:ascii="Calibri" w:hAnsi="Calibri" w:cs="Calibri"/>
          <w:bCs/>
          <w:color w:val="000000" w:themeColor="text1"/>
          <w:sz w:val="24"/>
        </w:rPr>
        <w:t>07</w:t>
      </w:r>
      <w:r w:rsidRPr="00777BCD">
        <w:rPr>
          <w:rFonts w:ascii="Calibri" w:hAnsi="Calibri" w:cs="Calibri"/>
          <w:bCs/>
          <w:color w:val="000000" w:themeColor="text1"/>
          <w:sz w:val="24"/>
        </w:rPr>
        <w:t>日至长期</w:t>
      </w:r>
    </w:p>
    <w:p w14:paraId="504171E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（二）</w:t>
      </w:r>
      <w:r w:rsidRPr="00777BCD">
        <w:rPr>
          <w:rFonts w:ascii="Calibri" w:hAnsi="Calibri" w:cs="Calibri"/>
          <w:bCs/>
          <w:color w:val="000000" w:themeColor="text1"/>
          <w:sz w:val="24"/>
        </w:rPr>
        <w:tab/>
      </w:r>
      <w:r w:rsidRPr="00777BCD">
        <w:rPr>
          <w:rFonts w:ascii="Calibri" w:hAnsi="Calibri" w:cs="Calibri"/>
          <w:bCs/>
          <w:color w:val="000000" w:themeColor="text1"/>
          <w:sz w:val="24"/>
        </w:rPr>
        <w:t>基金托管人的权利与义务</w:t>
      </w:r>
      <w:bookmarkEnd w:id="168"/>
    </w:p>
    <w:p w14:paraId="79BC9186"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1</w:t>
      </w:r>
      <w:r w:rsidRPr="00777BCD">
        <w:rPr>
          <w:rFonts w:ascii="Calibri" w:hAnsi="Calibri" w:cs="Calibri"/>
          <w:bCs/>
          <w:color w:val="000000" w:themeColor="text1"/>
          <w:sz w:val="24"/>
        </w:rPr>
        <w:t>、根据《基金法》、《运作办法》及其他有关规定，基金托管人的权利包括但不限于：</w:t>
      </w:r>
    </w:p>
    <w:p w14:paraId="5227A84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w:t>
      </w:r>
      <w:r w:rsidRPr="00777BCD">
        <w:rPr>
          <w:rFonts w:ascii="Calibri" w:hAnsi="Calibri" w:cs="Calibri"/>
          <w:bCs/>
          <w:color w:val="000000" w:themeColor="text1"/>
          <w:sz w:val="24"/>
        </w:rPr>
        <w:t>）自《基金合同》生效之日起，依法</w:t>
      </w:r>
      <w:proofErr w:type="gramStart"/>
      <w:r w:rsidRPr="00777BCD">
        <w:rPr>
          <w:rFonts w:ascii="Calibri" w:hAnsi="Calibri" w:cs="Calibri"/>
          <w:bCs/>
          <w:color w:val="000000" w:themeColor="text1"/>
          <w:sz w:val="24"/>
        </w:rPr>
        <w:t>律法规</w:t>
      </w:r>
      <w:proofErr w:type="gramEnd"/>
      <w:r w:rsidRPr="00777BCD">
        <w:rPr>
          <w:rFonts w:ascii="Calibri" w:hAnsi="Calibri" w:cs="Calibri"/>
          <w:bCs/>
          <w:color w:val="000000" w:themeColor="text1"/>
          <w:sz w:val="24"/>
        </w:rPr>
        <w:t>和《基金合同》的规定安全保管基金财产；</w:t>
      </w:r>
    </w:p>
    <w:p w14:paraId="566EB91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2</w:t>
      </w:r>
      <w:r w:rsidRPr="00777BCD">
        <w:rPr>
          <w:rFonts w:ascii="Calibri" w:hAnsi="Calibri" w:cs="Calibri"/>
          <w:bCs/>
          <w:color w:val="000000" w:themeColor="text1"/>
          <w:sz w:val="24"/>
        </w:rPr>
        <w:t>）依《基金合同》约定获得基金托管费以及法律法规规定或监管部门批准的其他费用；</w:t>
      </w:r>
    </w:p>
    <w:p w14:paraId="70BF0A9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3</w:t>
      </w:r>
      <w:r w:rsidRPr="00777BCD">
        <w:rPr>
          <w:rFonts w:ascii="Calibri" w:hAnsi="Calibri" w:cs="Calibri"/>
          <w:bCs/>
          <w:color w:val="000000" w:themeColor="text1"/>
          <w:sz w:val="24"/>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6C05D98E" w14:textId="2BB9751F"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4</w:t>
      </w:r>
      <w:r w:rsidRPr="00777BCD">
        <w:rPr>
          <w:rFonts w:ascii="Calibri" w:hAnsi="Calibri" w:cs="Calibri"/>
          <w:bCs/>
          <w:color w:val="000000" w:themeColor="text1"/>
          <w:sz w:val="24"/>
        </w:rPr>
        <w:t>）根据相关市场规则，为基金开设证券账户、资金账户等投资所需账户，为基金办理证券</w:t>
      </w:r>
      <w:r w:rsidRPr="00777BCD">
        <w:rPr>
          <w:rFonts w:ascii="Calibri" w:hAnsi="Calibri" w:cs="Calibri"/>
          <w:color w:val="000000" w:themeColor="text1"/>
          <w:sz w:val="24"/>
        </w:rPr>
        <w:t>、期货</w:t>
      </w:r>
      <w:r w:rsidRPr="00777BCD">
        <w:rPr>
          <w:rFonts w:ascii="Calibri" w:hAnsi="Calibri" w:cs="Calibri"/>
          <w:bCs/>
          <w:color w:val="000000" w:themeColor="text1"/>
          <w:sz w:val="24"/>
        </w:rPr>
        <w:t>交易资金清算；</w:t>
      </w:r>
    </w:p>
    <w:p w14:paraId="37781E4A"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5</w:t>
      </w:r>
      <w:r w:rsidRPr="00777BCD">
        <w:rPr>
          <w:rFonts w:ascii="Calibri" w:hAnsi="Calibri" w:cs="Calibri"/>
          <w:bCs/>
          <w:color w:val="000000" w:themeColor="text1"/>
          <w:sz w:val="24"/>
          <w:szCs w:val="24"/>
        </w:rPr>
        <w:t>）提议召开或召集基金份额持有人大会；</w:t>
      </w:r>
    </w:p>
    <w:p w14:paraId="162EC08C"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6</w:t>
      </w:r>
      <w:r w:rsidRPr="00777BCD">
        <w:rPr>
          <w:rFonts w:ascii="Calibri" w:hAnsi="Calibri" w:cs="Calibri"/>
          <w:bCs/>
          <w:color w:val="000000" w:themeColor="text1"/>
          <w:sz w:val="24"/>
          <w:szCs w:val="24"/>
        </w:rPr>
        <w:t>）在基金管理人更换时，提名新的基金管理人；</w:t>
      </w:r>
    </w:p>
    <w:p w14:paraId="1A9D6F29"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7</w:t>
      </w:r>
      <w:r w:rsidRPr="00777BCD">
        <w:rPr>
          <w:rFonts w:ascii="Calibri" w:hAnsi="Calibri" w:cs="Calibri"/>
          <w:bCs/>
          <w:color w:val="000000" w:themeColor="text1"/>
          <w:sz w:val="24"/>
          <w:szCs w:val="24"/>
        </w:rPr>
        <w:t>）法律法规及中国证监会规定的和《基金合同》约定的其他权利。</w:t>
      </w:r>
    </w:p>
    <w:p w14:paraId="24BE497E"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、根据《基金法》、《运作办法》及其他有关规定，基金托管人的义务包括但不限于：</w:t>
      </w:r>
    </w:p>
    <w:p w14:paraId="33163932"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w:t>
      </w:r>
      <w:r w:rsidRPr="00777BCD">
        <w:rPr>
          <w:rFonts w:ascii="Calibri" w:hAnsi="Calibri" w:cs="Calibri"/>
          <w:bCs/>
          <w:color w:val="000000" w:themeColor="text1"/>
          <w:sz w:val="24"/>
          <w:szCs w:val="24"/>
        </w:rPr>
        <w:t>）以诚实信用、勤勉尽责的原则持有并安全保管基金财产；</w:t>
      </w:r>
    </w:p>
    <w:p w14:paraId="769D0582"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）设立专门的基金托管部门，具有符合要求的营业场所，配备足够的、合格的熟悉基金托管业务的专职人员，负责基金财产托管事宜；</w:t>
      </w:r>
    </w:p>
    <w:p w14:paraId="00E93DF9"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3</w:t>
      </w:r>
      <w:r w:rsidRPr="00777BCD">
        <w:rPr>
          <w:rFonts w:ascii="Calibri" w:hAnsi="Calibri" w:cs="Calibri"/>
          <w:bCs/>
          <w:color w:val="000000" w:themeColor="text1"/>
          <w:sz w:val="24"/>
          <w:szCs w:val="24"/>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0EFB22BF"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4</w:t>
      </w:r>
      <w:r w:rsidRPr="00777BCD">
        <w:rPr>
          <w:rFonts w:ascii="Calibri" w:hAnsi="Calibri" w:cs="Calibri"/>
          <w:bCs/>
          <w:color w:val="000000" w:themeColor="text1"/>
          <w:sz w:val="24"/>
          <w:szCs w:val="24"/>
        </w:rPr>
        <w:t>）除依据《基金法》、《基金合同》及其他有关规定外，不得利用基金财产为自己及任何第三人谋取利益，不得委托第三人托管基金财产；</w:t>
      </w:r>
    </w:p>
    <w:p w14:paraId="5370B016"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5</w:t>
      </w:r>
      <w:r w:rsidRPr="00777BCD">
        <w:rPr>
          <w:rFonts w:ascii="Calibri" w:hAnsi="Calibri" w:cs="Calibri"/>
          <w:bCs/>
          <w:color w:val="000000" w:themeColor="text1"/>
          <w:sz w:val="24"/>
          <w:szCs w:val="24"/>
        </w:rPr>
        <w:t>）保管由基金管理人代表基金签订的与基金有关的重大合同及有关凭证；</w:t>
      </w:r>
    </w:p>
    <w:p w14:paraId="252011E6"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lastRenderedPageBreak/>
        <w:t>（</w:t>
      </w:r>
      <w:r w:rsidRPr="00777BCD">
        <w:rPr>
          <w:rFonts w:ascii="Calibri" w:hAnsi="Calibri" w:cs="Calibri"/>
          <w:bCs/>
          <w:color w:val="000000" w:themeColor="text1"/>
          <w:sz w:val="24"/>
          <w:szCs w:val="24"/>
        </w:rPr>
        <w:t>6</w:t>
      </w:r>
      <w:r w:rsidRPr="00777BCD">
        <w:rPr>
          <w:rFonts w:ascii="Calibri" w:hAnsi="Calibri" w:cs="Calibri"/>
          <w:bCs/>
          <w:color w:val="000000" w:themeColor="text1"/>
          <w:sz w:val="24"/>
          <w:szCs w:val="24"/>
        </w:rPr>
        <w:t>）按规定开设基金财产的资金账户和证券账户等投资所需账户，按照《基金合同》的约定，根据基金管理人的投资指令，及时办理清算、交割事宜；</w:t>
      </w:r>
    </w:p>
    <w:p w14:paraId="5A5B74E0"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7</w:t>
      </w:r>
      <w:r w:rsidRPr="00777BCD">
        <w:rPr>
          <w:rFonts w:ascii="Calibri" w:hAnsi="Calibri" w:cs="Calibri"/>
          <w:bCs/>
          <w:color w:val="000000" w:themeColor="text1"/>
          <w:sz w:val="24"/>
          <w:szCs w:val="24"/>
        </w:rPr>
        <w:t>）</w:t>
      </w:r>
      <w:r w:rsidRPr="00777BCD">
        <w:rPr>
          <w:rFonts w:ascii="Calibri" w:hAnsi="Calibri" w:cs="Calibri"/>
          <w:bCs/>
          <w:color w:val="000000" w:themeColor="text1"/>
          <w:sz w:val="24"/>
        </w:rPr>
        <w:t>保守基金商业秘密，除《基金法》、《基金合同》及其他有关规定另有规定外，在基金信息公开披露前予以保密，不得向他人泄露，</w:t>
      </w:r>
      <w:r w:rsidRPr="00777BCD">
        <w:rPr>
          <w:rFonts w:ascii="Calibri" w:hAnsi="Calibri" w:cs="Calibri"/>
          <w:bCs/>
          <w:color w:val="000000" w:themeColor="text1"/>
          <w:sz w:val="24"/>
          <w:szCs w:val="24"/>
        </w:rPr>
        <w:t>但根据监管机构、司法机关等有权机关的要求，或</w:t>
      </w:r>
      <w:r w:rsidRPr="00777BCD">
        <w:rPr>
          <w:rFonts w:ascii="Calibri" w:hAnsi="Calibri" w:cs="Calibri"/>
          <w:bCs/>
          <w:color w:val="000000" w:themeColor="text1"/>
          <w:sz w:val="24"/>
        </w:rPr>
        <w:t>因审计、法律等外部专业顾问提供服务而向其提供的情况除外；</w:t>
      </w:r>
    </w:p>
    <w:p w14:paraId="019FAACB"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8</w:t>
      </w:r>
      <w:r w:rsidRPr="00777BCD">
        <w:rPr>
          <w:rFonts w:ascii="Calibri" w:hAnsi="Calibri" w:cs="Calibri"/>
          <w:bCs/>
          <w:color w:val="000000" w:themeColor="text1"/>
          <w:sz w:val="24"/>
          <w:szCs w:val="24"/>
        </w:rPr>
        <w:t>）复核、审查基金管理人计算的基金资产净值、各类基金份额净值、基金份额申购、赎回价格；</w:t>
      </w:r>
    </w:p>
    <w:p w14:paraId="6567D30F"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9</w:t>
      </w:r>
      <w:r w:rsidRPr="00777BCD">
        <w:rPr>
          <w:rFonts w:ascii="Calibri" w:hAnsi="Calibri" w:cs="Calibri"/>
          <w:bCs/>
          <w:color w:val="000000" w:themeColor="text1"/>
          <w:sz w:val="24"/>
          <w:szCs w:val="24"/>
        </w:rPr>
        <w:t>）办理与基金托管业务活动有关的信息披露事项；</w:t>
      </w:r>
    </w:p>
    <w:p w14:paraId="5B18D1D2"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10</w:t>
      </w:r>
      <w:r w:rsidRPr="00777BCD">
        <w:rPr>
          <w:rFonts w:ascii="Calibri" w:hAnsi="Calibri" w:cs="Calibri"/>
          <w:bCs/>
          <w:color w:val="000000" w:themeColor="text1"/>
          <w:sz w:val="24"/>
          <w:szCs w:val="24"/>
        </w:rPr>
        <w:t>）对基金财务会计报告、季度报告、中期报告和年度报告出具意见，说明基金管理人在各重要方面的运作是否严格按照《基金合同》的规定进行；如果基金管理人有未执行《基金合同》规定的行为，还应当说明基金托管人是否采取了适当的措施；</w:t>
      </w:r>
    </w:p>
    <w:p w14:paraId="623655C1"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11</w:t>
      </w:r>
      <w:r w:rsidRPr="00777BCD">
        <w:rPr>
          <w:rFonts w:ascii="Calibri" w:hAnsi="Calibri" w:cs="Calibri"/>
          <w:bCs/>
          <w:color w:val="000000" w:themeColor="text1"/>
          <w:sz w:val="24"/>
          <w:szCs w:val="24"/>
        </w:rPr>
        <w:t>）保存基金托管业务活动的记录、账册、报表和其他相关资料</w:t>
      </w:r>
      <w:r w:rsidRPr="00777BCD">
        <w:rPr>
          <w:rFonts w:ascii="Calibri" w:hAnsi="Calibri" w:cs="Calibri"/>
          <w:color w:val="000000" w:themeColor="text1"/>
          <w:sz w:val="24"/>
          <w:szCs w:val="24"/>
        </w:rPr>
        <w:t>20</w:t>
      </w:r>
      <w:r w:rsidRPr="00777BCD">
        <w:rPr>
          <w:rFonts w:ascii="Calibri" w:hAnsi="Calibri" w:cs="Calibri"/>
          <w:color w:val="000000" w:themeColor="text1"/>
          <w:sz w:val="24"/>
          <w:szCs w:val="24"/>
        </w:rPr>
        <w:t>年以上</w:t>
      </w:r>
      <w:r w:rsidRPr="00777BCD">
        <w:rPr>
          <w:rFonts w:ascii="Calibri" w:hAnsi="Calibri" w:cs="Calibri"/>
          <w:bCs/>
          <w:color w:val="000000" w:themeColor="text1"/>
          <w:sz w:val="24"/>
          <w:szCs w:val="24"/>
        </w:rPr>
        <w:t>，法律法规另有规定的从其规定；</w:t>
      </w:r>
    </w:p>
    <w:p w14:paraId="5984BF9A"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12</w:t>
      </w:r>
      <w:r w:rsidRPr="00777BCD">
        <w:rPr>
          <w:rFonts w:ascii="Calibri" w:hAnsi="Calibri" w:cs="Calibri"/>
          <w:bCs/>
          <w:color w:val="000000" w:themeColor="text1"/>
          <w:sz w:val="24"/>
          <w:szCs w:val="24"/>
        </w:rPr>
        <w:t>）从基金管理人或其委托的登记机构处接收并保存基金份额持有人名册；</w:t>
      </w:r>
    </w:p>
    <w:p w14:paraId="54B765C3"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13</w:t>
      </w:r>
      <w:r w:rsidRPr="00777BCD">
        <w:rPr>
          <w:rFonts w:ascii="Calibri" w:hAnsi="Calibri" w:cs="Calibri"/>
          <w:bCs/>
          <w:color w:val="000000" w:themeColor="text1"/>
          <w:sz w:val="24"/>
          <w:szCs w:val="24"/>
        </w:rPr>
        <w:t>）按规定制作相关账册并与基金管理人核对；</w:t>
      </w:r>
    </w:p>
    <w:p w14:paraId="1AC7DC7C"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14</w:t>
      </w:r>
      <w:r w:rsidRPr="00777BCD">
        <w:rPr>
          <w:rFonts w:ascii="Calibri" w:hAnsi="Calibri" w:cs="Calibri"/>
          <w:bCs/>
          <w:color w:val="000000" w:themeColor="text1"/>
          <w:sz w:val="24"/>
          <w:szCs w:val="24"/>
        </w:rPr>
        <w:t>）依据基金管理人的指令或有关规定向基金份额持有人支付基金收益和赎回款项；</w:t>
      </w:r>
    </w:p>
    <w:p w14:paraId="00623115"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15</w:t>
      </w:r>
      <w:r w:rsidRPr="00777BCD">
        <w:rPr>
          <w:rFonts w:ascii="Calibri" w:hAnsi="Calibri" w:cs="Calibri"/>
          <w:bCs/>
          <w:color w:val="000000" w:themeColor="text1"/>
          <w:sz w:val="24"/>
          <w:szCs w:val="24"/>
        </w:rPr>
        <w:t>）依据《基金法》、《基金合同》及其他有关规定，召集基金份额持有人大会或配合基金管理人、基金份额持有人依法召集基金份额持有人大会；</w:t>
      </w:r>
    </w:p>
    <w:p w14:paraId="5201904D"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16</w:t>
      </w:r>
      <w:r w:rsidRPr="00777BCD">
        <w:rPr>
          <w:rFonts w:ascii="Calibri" w:hAnsi="Calibri" w:cs="Calibri"/>
          <w:bCs/>
          <w:color w:val="000000" w:themeColor="text1"/>
          <w:sz w:val="24"/>
          <w:szCs w:val="24"/>
        </w:rPr>
        <w:t>）按照法律法规和《基金合同》的规定监督基金管理人的投资运作；</w:t>
      </w:r>
    </w:p>
    <w:p w14:paraId="2109B11E"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17</w:t>
      </w:r>
      <w:r w:rsidRPr="00777BCD">
        <w:rPr>
          <w:rFonts w:ascii="Calibri" w:hAnsi="Calibri" w:cs="Calibri"/>
          <w:bCs/>
          <w:color w:val="000000" w:themeColor="text1"/>
          <w:sz w:val="24"/>
          <w:szCs w:val="24"/>
        </w:rPr>
        <w:t>）参加基金财产清算小组，参与基金财产的保管、清理、估价、变现和分配；</w:t>
      </w:r>
    </w:p>
    <w:p w14:paraId="0BDC9748"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18</w:t>
      </w:r>
      <w:r w:rsidRPr="00777BCD">
        <w:rPr>
          <w:rFonts w:ascii="Calibri" w:hAnsi="Calibri" w:cs="Calibri"/>
          <w:bCs/>
          <w:color w:val="000000" w:themeColor="text1"/>
          <w:sz w:val="24"/>
          <w:szCs w:val="24"/>
        </w:rPr>
        <w:t>）面临解散、依法被撤销或者被依法宣告破产时，及时报告中国证监会和银行业监督管理机构，并通知基金管理人；</w:t>
      </w:r>
    </w:p>
    <w:p w14:paraId="28A44E4B"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lastRenderedPageBreak/>
        <w:t>（</w:t>
      </w:r>
      <w:r w:rsidRPr="00777BCD">
        <w:rPr>
          <w:rFonts w:ascii="Calibri" w:hAnsi="Calibri" w:cs="Calibri"/>
          <w:bCs/>
          <w:color w:val="000000" w:themeColor="text1"/>
          <w:sz w:val="24"/>
          <w:szCs w:val="24"/>
        </w:rPr>
        <w:t>19</w:t>
      </w:r>
      <w:r w:rsidRPr="00777BCD">
        <w:rPr>
          <w:rFonts w:ascii="Calibri" w:hAnsi="Calibri" w:cs="Calibri"/>
          <w:bCs/>
          <w:color w:val="000000" w:themeColor="text1"/>
          <w:sz w:val="24"/>
          <w:szCs w:val="24"/>
        </w:rPr>
        <w:t>）因违反《基金合同》导致基金财产损失时，应承担赔偿责任，其赔偿责任不因其退任而免除；</w:t>
      </w:r>
    </w:p>
    <w:p w14:paraId="425C625F"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20</w:t>
      </w:r>
      <w:r w:rsidRPr="00777BCD">
        <w:rPr>
          <w:rFonts w:ascii="Calibri" w:hAnsi="Calibri" w:cs="Calibri"/>
          <w:bCs/>
          <w:color w:val="000000" w:themeColor="text1"/>
          <w:sz w:val="24"/>
          <w:szCs w:val="24"/>
        </w:rPr>
        <w:t>）</w:t>
      </w:r>
      <w:r w:rsidRPr="00777BCD">
        <w:rPr>
          <w:rFonts w:ascii="Calibri" w:hAnsi="Calibri" w:cs="Calibri"/>
          <w:bCs/>
          <w:color w:val="000000" w:themeColor="text1"/>
          <w:sz w:val="24"/>
        </w:rPr>
        <w:t>按规定监督基金管理人按法律法规和《基金合同》规定履行自己的义务，</w:t>
      </w:r>
      <w:r w:rsidRPr="00777BCD">
        <w:rPr>
          <w:rFonts w:ascii="Calibri" w:hAnsi="Calibri" w:cs="Calibri"/>
          <w:bCs/>
          <w:color w:val="000000" w:themeColor="text1"/>
          <w:sz w:val="24"/>
          <w:szCs w:val="24"/>
        </w:rPr>
        <w:t>基金管理人因违反《基金合同》造成基金财产损失时，应为基金份额持有人利益向基金管理人追偿</w:t>
      </w:r>
      <w:bookmarkStart w:id="169" w:name="_Hlt88825668"/>
      <w:bookmarkEnd w:id="169"/>
      <w:r w:rsidRPr="00777BCD">
        <w:rPr>
          <w:rFonts w:ascii="Calibri" w:hAnsi="Calibri" w:cs="Calibri"/>
          <w:bCs/>
          <w:color w:val="000000" w:themeColor="text1"/>
          <w:sz w:val="24"/>
          <w:szCs w:val="24"/>
        </w:rPr>
        <w:t>；</w:t>
      </w:r>
    </w:p>
    <w:p w14:paraId="6D36A928"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21</w:t>
      </w:r>
      <w:r w:rsidRPr="00777BCD">
        <w:rPr>
          <w:rFonts w:ascii="Calibri" w:hAnsi="Calibri" w:cs="Calibri"/>
          <w:bCs/>
          <w:color w:val="000000" w:themeColor="text1"/>
          <w:sz w:val="24"/>
          <w:szCs w:val="24"/>
        </w:rPr>
        <w:t>）执行生效的基金份额持有人大会的决议；</w:t>
      </w:r>
    </w:p>
    <w:p w14:paraId="65044AC8"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22</w:t>
      </w:r>
      <w:r w:rsidRPr="00777BCD">
        <w:rPr>
          <w:rFonts w:ascii="Calibri" w:hAnsi="Calibri" w:cs="Calibri"/>
          <w:bCs/>
          <w:color w:val="000000" w:themeColor="text1"/>
          <w:sz w:val="24"/>
          <w:szCs w:val="24"/>
        </w:rPr>
        <w:t>）</w:t>
      </w:r>
      <w:bookmarkStart w:id="170" w:name="_Toc523711670"/>
      <w:r w:rsidRPr="00777BCD">
        <w:rPr>
          <w:rFonts w:ascii="Calibri" w:hAnsi="Calibri" w:cs="Calibri"/>
          <w:bCs/>
          <w:color w:val="000000" w:themeColor="text1"/>
          <w:sz w:val="24"/>
          <w:szCs w:val="24"/>
        </w:rPr>
        <w:t>法律法规及中国证监会规定的和《基金合同》约定的其他义务。</w:t>
      </w:r>
    </w:p>
    <w:p w14:paraId="70B5C02E" w14:textId="77777777" w:rsidR="007149DF" w:rsidRPr="00777BCD" w:rsidRDefault="007149DF">
      <w:pPr>
        <w:ind w:firstLine="480"/>
        <w:rPr>
          <w:rFonts w:ascii="Calibri" w:hAnsi="Calibri" w:cs="Calibri"/>
          <w:bCs/>
          <w:color w:val="000000" w:themeColor="text1"/>
          <w:sz w:val="24"/>
          <w:szCs w:val="24"/>
        </w:rPr>
      </w:pPr>
    </w:p>
    <w:p w14:paraId="079AA9A3" w14:textId="77777777" w:rsidR="007149DF" w:rsidRPr="00777BCD" w:rsidRDefault="00284640">
      <w:pPr>
        <w:ind w:firstLine="480"/>
        <w:rPr>
          <w:rFonts w:ascii="Calibri" w:hAnsi="Calibri" w:cs="Calibri"/>
          <w:bCs/>
          <w:color w:val="000000" w:themeColor="text1"/>
          <w:sz w:val="24"/>
          <w:szCs w:val="24"/>
        </w:rPr>
      </w:pPr>
      <w:bookmarkStart w:id="171" w:name="_Toc79392582"/>
      <w:bookmarkEnd w:id="170"/>
      <w:r w:rsidRPr="00777BCD">
        <w:rPr>
          <w:rFonts w:ascii="Calibri" w:hAnsi="Calibri" w:cs="Calibri"/>
          <w:bCs/>
          <w:color w:val="000000" w:themeColor="text1"/>
          <w:sz w:val="24"/>
          <w:szCs w:val="24"/>
        </w:rPr>
        <w:t>三、基金份额持有人</w:t>
      </w:r>
      <w:bookmarkEnd w:id="171"/>
    </w:p>
    <w:p w14:paraId="536A8EAE" w14:textId="77777777" w:rsidR="007149DF" w:rsidRPr="00777BCD" w:rsidRDefault="00284640">
      <w:pPr>
        <w:ind w:firstLine="480"/>
        <w:rPr>
          <w:rFonts w:ascii="Calibri" w:hAnsi="Calibri" w:cs="Calibri"/>
          <w:bCs/>
          <w:color w:val="000000" w:themeColor="text1"/>
          <w:sz w:val="24"/>
          <w:szCs w:val="24"/>
        </w:rPr>
      </w:pPr>
      <w:bookmarkStart w:id="172" w:name="_Hlk6490835"/>
      <w:r w:rsidRPr="00777BCD">
        <w:rPr>
          <w:rFonts w:ascii="Calibri" w:hAnsi="Calibri" w:cs="Calibri"/>
          <w:bCs/>
          <w:color w:val="000000" w:themeColor="text1"/>
          <w:sz w:val="24"/>
          <w:szCs w:val="24"/>
        </w:rPr>
        <w:t>基金投资者持有本</w:t>
      </w:r>
      <w:proofErr w:type="gramStart"/>
      <w:r w:rsidRPr="00777BCD">
        <w:rPr>
          <w:rFonts w:ascii="Calibri" w:hAnsi="Calibri" w:cs="Calibri"/>
          <w:bCs/>
          <w:color w:val="000000" w:themeColor="text1"/>
          <w:sz w:val="24"/>
          <w:szCs w:val="24"/>
        </w:rPr>
        <w:t>基金</w:t>
      </w:r>
      <w:bookmarkStart w:id="173" w:name="_Hlt88899909"/>
      <w:bookmarkEnd w:id="173"/>
      <w:r w:rsidRPr="00777BCD">
        <w:rPr>
          <w:rFonts w:ascii="Calibri" w:hAnsi="Calibri" w:cs="Calibri"/>
          <w:bCs/>
          <w:color w:val="000000" w:themeColor="text1"/>
          <w:sz w:val="24"/>
          <w:szCs w:val="24"/>
        </w:rPr>
        <w:t>基金</w:t>
      </w:r>
      <w:proofErr w:type="gramEnd"/>
      <w:r w:rsidRPr="00777BCD">
        <w:rPr>
          <w:rFonts w:ascii="Calibri" w:hAnsi="Calibri" w:cs="Calibri"/>
          <w:bCs/>
          <w:color w:val="000000" w:themeColor="text1"/>
          <w:sz w:val="24"/>
          <w:szCs w:val="24"/>
        </w:rPr>
        <w:t>份额的行为即视为对《基金合同》的承认和接受，基金投资者</w:t>
      </w:r>
      <w:proofErr w:type="gramStart"/>
      <w:r w:rsidRPr="00777BCD">
        <w:rPr>
          <w:rFonts w:ascii="Calibri" w:hAnsi="Calibri" w:cs="Calibri"/>
          <w:bCs/>
          <w:color w:val="000000" w:themeColor="text1"/>
          <w:sz w:val="24"/>
          <w:szCs w:val="24"/>
        </w:rPr>
        <w:t>自依据</w:t>
      </w:r>
      <w:proofErr w:type="gramEnd"/>
      <w:r w:rsidRPr="00777BCD">
        <w:rPr>
          <w:rFonts w:ascii="Calibri" w:hAnsi="Calibri" w:cs="Calibri"/>
          <w:bCs/>
          <w:color w:val="000000" w:themeColor="text1"/>
          <w:sz w:val="24"/>
          <w:szCs w:val="24"/>
        </w:rPr>
        <w:t>《基金合同》取得基金份额，即成为本基金的基金份额持有人和《基金合同》的当事人，直至其不再持有本基金的基金份额。基金份额持有人作为《基金合同》当事人并不以在《基金合同》上书面签章或签字为必要条件。</w:t>
      </w:r>
    </w:p>
    <w:p w14:paraId="39F09974"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除法律法规另有规定或基金合同另有约定外，同一类别每份基金份额具有同等的合法权益。</w:t>
      </w:r>
    </w:p>
    <w:p w14:paraId="5E3BD4B9"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1</w:t>
      </w:r>
      <w:r w:rsidRPr="00777BCD">
        <w:rPr>
          <w:rFonts w:ascii="Calibri" w:hAnsi="Calibri" w:cs="Calibri"/>
          <w:bCs/>
          <w:color w:val="000000" w:themeColor="text1"/>
          <w:sz w:val="24"/>
          <w:szCs w:val="24"/>
        </w:rPr>
        <w:t>、根据《基金法》、《运作办法》及其他有关规定，基金份额持有人的权利包括但不限于：</w:t>
      </w:r>
    </w:p>
    <w:p w14:paraId="385CB864"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w:t>
      </w:r>
      <w:r w:rsidRPr="00777BCD">
        <w:rPr>
          <w:rFonts w:ascii="Calibri" w:hAnsi="Calibri" w:cs="Calibri"/>
          <w:bCs/>
          <w:color w:val="000000" w:themeColor="text1"/>
          <w:sz w:val="24"/>
          <w:szCs w:val="24"/>
        </w:rPr>
        <w:t>）分享基金财产收益；</w:t>
      </w:r>
    </w:p>
    <w:p w14:paraId="581A9F7B"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）参与分配清算后的剩余基金财产；</w:t>
      </w:r>
      <w:bookmarkStart w:id="174" w:name="_Hlt88825574"/>
      <w:bookmarkEnd w:id="174"/>
    </w:p>
    <w:p w14:paraId="106512A5"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3</w:t>
      </w:r>
      <w:r w:rsidRPr="00777BCD">
        <w:rPr>
          <w:rFonts w:ascii="Calibri" w:hAnsi="Calibri" w:cs="Calibri"/>
          <w:bCs/>
          <w:color w:val="000000" w:themeColor="text1"/>
          <w:sz w:val="24"/>
          <w:szCs w:val="24"/>
        </w:rPr>
        <w:t>）依法转让或者申请赎回其持有的基金份额；</w:t>
      </w:r>
    </w:p>
    <w:p w14:paraId="1088F912"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4</w:t>
      </w:r>
      <w:r w:rsidRPr="00777BCD">
        <w:rPr>
          <w:rFonts w:ascii="Calibri" w:hAnsi="Calibri" w:cs="Calibri"/>
          <w:bCs/>
          <w:color w:val="000000" w:themeColor="text1"/>
          <w:sz w:val="24"/>
          <w:szCs w:val="24"/>
        </w:rPr>
        <w:t>）按照规定要求召开基金份额持有人大会或者召集基金份额持有人大会；</w:t>
      </w:r>
    </w:p>
    <w:p w14:paraId="71C7D2B2"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5</w:t>
      </w:r>
      <w:r w:rsidRPr="00777BCD">
        <w:rPr>
          <w:rFonts w:ascii="Calibri" w:hAnsi="Calibri" w:cs="Calibri"/>
          <w:bCs/>
          <w:color w:val="000000" w:themeColor="text1"/>
          <w:sz w:val="24"/>
          <w:szCs w:val="24"/>
        </w:rPr>
        <w:t>）出席或者委派代表出席基金份额持有人大会，对基金份额持有人大会审议事项行使表决权；</w:t>
      </w:r>
    </w:p>
    <w:p w14:paraId="19EAE87C"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6</w:t>
      </w:r>
      <w:r w:rsidRPr="00777BCD">
        <w:rPr>
          <w:rFonts w:ascii="Calibri" w:hAnsi="Calibri" w:cs="Calibri"/>
          <w:bCs/>
          <w:color w:val="000000" w:themeColor="text1"/>
          <w:sz w:val="24"/>
          <w:szCs w:val="24"/>
        </w:rPr>
        <w:t>）查阅或者复制公开披露的基金信息资料；</w:t>
      </w:r>
    </w:p>
    <w:p w14:paraId="63E58D39"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7</w:t>
      </w:r>
      <w:r w:rsidRPr="00777BCD">
        <w:rPr>
          <w:rFonts w:ascii="Calibri" w:hAnsi="Calibri" w:cs="Calibri"/>
          <w:bCs/>
          <w:color w:val="000000" w:themeColor="text1"/>
          <w:sz w:val="24"/>
          <w:szCs w:val="24"/>
        </w:rPr>
        <w:t>）监督基金管理人的投资运作；</w:t>
      </w:r>
    </w:p>
    <w:p w14:paraId="7867BC0A"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8</w:t>
      </w:r>
      <w:r w:rsidRPr="00777BCD">
        <w:rPr>
          <w:rFonts w:ascii="Calibri" w:hAnsi="Calibri" w:cs="Calibri"/>
          <w:bCs/>
          <w:color w:val="000000" w:themeColor="text1"/>
          <w:sz w:val="24"/>
          <w:szCs w:val="24"/>
        </w:rPr>
        <w:t>）对基金管理人、基金托管人、基金服务机构损害其合法权益的行为依法提起诉讼或仲裁；</w:t>
      </w:r>
    </w:p>
    <w:p w14:paraId="3EA5C0E5"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lastRenderedPageBreak/>
        <w:t>（</w:t>
      </w:r>
      <w:r w:rsidRPr="00777BCD">
        <w:rPr>
          <w:rFonts w:ascii="Calibri" w:hAnsi="Calibri" w:cs="Calibri"/>
          <w:bCs/>
          <w:color w:val="000000" w:themeColor="text1"/>
          <w:sz w:val="24"/>
          <w:szCs w:val="24"/>
        </w:rPr>
        <w:t>9</w:t>
      </w:r>
      <w:r w:rsidRPr="00777BCD">
        <w:rPr>
          <w:rFonts w:ascii="Calibri" w:hAnsi="Calibri" w:cs="Calibri"/>
          <w:bCs/>
          <w:color w:val="000000" w:themeColor="text1"/>
          <w:sz w:val="24"/>
          <w:szCs w:val="24"/>
        </w:rPr>
        <w:t>）法律法规及中国证监会规定的和《基金合同》约定的其他权利。</w:t>
      </w:r>
    </w:p>
    <w:p w14:paraId="77E5F55E"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、根据《基金法》、《运作办法》及其他有关规定，基金份额持有人的义务包括但不限于：</w:t>
      </w:r>
    </w:p>
    <w:p w14:paraId="4C0311BB"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w:t>
      </w:r>
      <w:r w:rsidRPr="00777BCD">
        <w:rPr>
          <w:rFonts w:ascii="Calibri" w:hAnsi="Calibri" w:cs="Calibri"/>
          <w:bCs/>
          <w:color w:val="000000" w:themeColor="text1"/>
          <w:sz w:val="24"/>
          <w:szCs w:val="24"/>
        </w:rPr>
        <w:t>）认真阅读并遵守《基金合同》、招募说明书、基金产品资料概要等信息披露文件；</w:t>
      </w:r>
    </w:p>
    <w:p w14:paraId="2CCC1311"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）了解所投资基金产品，了解自身风险承受能力，自主判断基金的投资价值，自主做出投资决策，自行承担投资风险；</w:t>
      </w:r>
    </w:p>
    <w:p w14:paraId="2C044EBD"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3</w:t>
      </w:r>
      <w:r w:rsidRPr="00777BCD">
        <w:rPr>
          <w:rFonts w:ascii="Calibri" w:hAnsi="Calibri" w:cs="Calibri"/>
          <w:bCs/>
          <w:color w:val="000000" w:themeColor="text1"/>
          <w:sz w:val="24"/>
          <w:szCs w:val="24"/>
        </w:rPr>
        <w:t>）关注基金信息披露，及时行使权利和履行义务；</w:t>
      </w:r>
    </w:p>
    <w:p w14:paraId="3C4D8127"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4</w:t>
      </w:r>
      <w:r w:rsidRPr="00777BCD">
        <w:rPr>
          <w:rFonts w:ascii="Calibri" w:hAnsi="Calibri" w:cs="Calibri"/>
          <w:bCs/>
          <w:color w:val="000000" w:themeColor="text1"/>
          <w:sz w:val="24"/>
          <w:szCs w:val="24"/>
        </w:rPr>
        <w:t>）交纳基金认购、申购款项及法律法规和《基金合同》所规定的费用；</w:t>
      </w:r>
    </w:p>
    <w:p w14:paraId="04607C81"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5</w:t>
      </w:r>
      <w:r w:rsidRPr="00777BCD">
        <w:rPr>
          <w:rFonts w:ascii="Calibri" w:hAnsi="Calibri" w:cs="Calibri"/>
          <w:bCs/>
          <w:color w:val="000000" w:themeColor="text1"/>
          <w:sz w:val="24"/>
          <w:szCs w:val="24"/>
        </w:rPr>
        <w:t>）在其持有的基金份额范围内，承担基金亏损或者《基金合同》终止的有限责任；</w:t>
      </w:r>
    </w:p>
    <w:p w14:paraId="04951159"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6</w:t>
      </w:r>
      <w:r w:rsidRPr="00777BCD">
        <w:rPr>
          <w:rFonts w:ascii="Calibri" w:hAnsi="Calibri" w:cs="Calibri"/>
          <w:bCs/>
          <w:color w:val="000000" w:themeColor="text1"/>
          <w:sz w:val="24"/>
          <w:szCs w:val="24"/>
        </w:rPr>
        <w:t>）不从事任何有损基金及其他《基金合同》当事人合法权益的活动；</w:t>
      </w:r>
    </w:p>
    <w:p w14:paraId="65C72473"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7</w:t>
      </w:r>
      <w:r w:rsidRPr="00777BCD">
        <w:rPr>
          <w:rFonts w:ascii="Calibri" w:hAnsi="Calibri" w:cs="Calibri"/>
          <w:bCs/>
          <w:color w:val="000000" w:themeColor="text1"/>
          <w:sz w:val="24"/>
          <w:szCs w:val="24"/>
        </w:rPr>
        <w:t>）执行生效的基金份额持有人大会的决议；</w:t>
      </w:r>
    </w:p>
    <w:p w14:paraId="23CE348F"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8</w:t>
      </w:r>
      <w:r w:rsidRPr="00777BCD">
        <w:rPr>
          <w:rFonts w:ascii="Calibri" w:hAnsi="Calibri" w:cs="Calibri"/>
          <w:bCs/>
          <w:color w:val="000000" w:themeColor="text1"/>
          <w:sz w:val="24"/>
          <w:szCs w:val="24"/>
        </w:rPr>
        <w:t>）返还在基金交易过程中因任何原因获得的不当得利；</w:t>
      </w:r>
    </w:p>
    <w:p w14:paraId="38C31131"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9</w:t>
      </w:r>
      <w:r w:rsidRPr="00777BCD">
        <w:rPr>
          <w:rFonts w:ascii="Calibri" w:hAnsi="Calibri" w:cs="Calibri"/>
          <w:bCs/>
          <w:color w:val="000000" w:themeColor="text1"/>
          <w:sz w:val="24"/>
          <w:szCs w:val="24"/>
        </w:rPr>
        <w:t>）遵守基金管理人、基金托管人、销售机构和登记机构的相关交易及业务规则；</w:t>
      </w:r>
    </w:p>
    <w:p w14:paraId="2E7743F7"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10</w:t>
      </w:r>
      <w:r w:rsidRPr="00777BCD">
        <w:rPr>
          <w:rFonts w:ascii="Calibri" w:hAnsi="Calibri" w:cs="Calibri"/>
          <w:bCs/>
          <w:color w:val="000000" w:themeColor="text1"/>
          <w:sz w:val="24"/>
          <w:szCs w:val="24"/>
        </w:rPr>
        <w:t>）提供基金管理人和监管机构依法要求提供的信息，以及不时的更新和补充，并保证其真实性；</w:t>
      </w:r>
    </w:p>
    <w:p w14:paraId="3077394B" w14:textId="540D2483"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11</w:t>
      </w:r>
      <w:r w:rsidRPr="00777BCD">
        <w:rPr>
          <w:rFonts w:ascii="Calibri" w:hAnsi="Calibri" w:cs="Calibri"/>
          <w:bCs/>
          <w:color w:val="000000" w:themeColor="text1"/>
          <w:sz w:val="24"/>
          <w:szCs w:val="24"/>
        </w:rPr>
        <w:t>）发起资金提供方持有发起资金认购的基金份额不少于</w:t>
      </w:r>
      <w:r w:rsidRPr="00777BCD">
        <w:rPr>
          <w:rFonts w:ascii="Calibri" w:hAnsi="Calibri" w:cs="Calibri"/>
          <w:bCs/>
          <w:color w:val="000000" w:themeColor="text1"/>
          <w:sz w:val="24"/>
          <w:szCs w:val="24"/>
        </w:rPr>
        <w:t>3</w:t>
      </w:r>
      <w:r w:rsidRPr="00777BCD">
        <w:rPr>
          <w:rFonts w:ascii="Calibri" w:hAnsi="Calibri" w:cs="Calibri"/>
          <w:bCs/>
          <w:color w:val="000000" w:themeColor="text1"/>
          <w:sz w:val="24"/>
          <w:szCs w:val="24"/>
        </w:rPr>
        <w:t>年；</w:t>
      </w:r>
    </w:p>
    <w:p w14:paraId="68DDAE90"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12</w:t>
      </w:r>
      <w:r w:rsidRPr="00777BCD">
        <w:rPr>
          <w:rFonts w:ascii="Calibri" w:hAnsi="Calibri" w:cs="Calibri"/>
          <w:bCs/>
          <w:color w:val="000000" w:themeColor="text1"/>
          <w:sz w:val="24"/>
          <w:szCs w:val="24"/>
        </w:rPr>
        <w:t>）法律法规及中国证监会规定的和《基金合同》约定的其他义务。</w:t>
      </w:r>
      <w:bookmarkEnd w:id="172"/>
    </w:p>
    <w:p w14:paraId="1B7EAC9F" w14:textId="77777777" w:rsidR="007149DF" w:rsidRPr="00777BCD" w:rsidRDefault="00284640">
      <w:pPr>
        <w:pStyle w:val="11"/>
        <w:spacing w:before="0" w:after="0"/>
        <w:ind w:firstLine="480"/>
        <w:jc w:val="center"/>
        <w:rPr>
          <w:rFonts w:ascii="Calibri" w:hAnsi="Calibri" w:cs="Calibri"/>
          <w:color w:val="000000" w:themeColor="text1"/>
          <w:sz w:val="30"/>
        </w:rPr>
      </w:pPr>
      <w:r w:rsidRPr="00777BCD">
        <w:rPr>
          <w:rFonts w:ascii="Calibri" w:hAnsi="Calibri" w:cs="Calibri"/>
          <w:b w:val="0"/>
          <w:bCs/>
          <w:color w:val="000000" w:themeColor="text1"/>
        </w:rPr>
        <w:br w:type="page"/>
      </w:r>
      <w:bookmarkStart w:id="175" w:name="_Toc10650"/>
      <w:bookmarkStart w:id="176" w:name="_Toc25783"/>
      <w:bookmarkStart w:id="177" w:name="_Toc9706"/>
      <w:bookmarkStart w:id="178" w:name="_Toc4559"/>
      <w:bookmarkStart w:id="179" w:name="_Toc6820027"/>
      <w:bookmarkStart w:id="180" w:name="_Toc6447"/>
      <w:bookmarkStart w:id="181" w:name="_Toc7058"/>
      <w:bookmarkStart w:id="182" w:name="_Toc123102455"/>
      <w:bookmarkStart w:id="183" w:name="_Toc123051454"/>
      <w:bookmarkStart w:id="184" w:name="_Toc3771"/>
      <w:bookmarkStart w:id="185" w:name="_Toc18567"/>
      <w:bookmarkStart w:id="186" w:name="_Toc123112236"/>
      <w:bookmarkStart w:id="187" w:name="_Toc139991738"/>
      <w:bookmarkStart w:id="188" w:name="_Toc3321"/>
      <w:bookmarkStart w:id="189" w:name="_Toc98560354"/>
      <w:bookmarkStart w:id="190" w:name="_Toc11030"/>
      <w:bookmarkStart w:id="191" w:name="_Toc79392583"/>
      <w:bookmarkStart w:id="192" w:name="_Toc141703888"/>
      <w:bookmarkStart w:id="193" w:name="_Toc160725906"/>
      <w:bookmarkStart w:id="194" w:name="_Hlk23248907"/>
      <w:bookmarkEnd w:id="150"/>
      <w:r w:rsidRPr="00777BCD">
        <w:rPr>
          <w:rFonts w:ascii="Calibri" w:hAnsi="Calibri" w:cs="Calibri"/>
          <w:color w:val="000000" w:themeColor="text1"/>
          <w:sz w:val="30"/>
        </w:rPr>
        <w:lastRenderedPageBreak/>
        <w:t>第八部分</w:t>
      </w:r>
      <w:r w:rsidRPr="00777BCD">
        <w:rPr>
          <w:rFonts w:ascii="Calibri" w:hAnsi="Calibri" w:cs="Calibri"/>
          <w:color w:val="000000" w:themeColor="text1"/>
          <w:sz w:val="30"/>
        </w:rPr>
        <w:t xml:space="preserve">  </w:t>
      </w:r>
      <w:r w:rsidRPr="00777BCD">
        <w:rPr>
          <w:rFonts w:ascii="Calibri" w:hAnsi="Calibri" w:cs="Calibri"/>
          <w:color w:val="000000" w:themeColor="text1"/>
          <w:sz w:val="30"/>
        </w:rPr>
        <w:t>基金份额持有人大会</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65B10F39" w14:textId="77777777" w:rsidR="007149DF" w:rsidRPr="00777BCD" w:rsidRDefault="007149DF">
      <w:pPr>
        <w:tabs>
          <w:tab w:val="left" w:pos="1080"/>
        </w:tabs>
        <w:ind w:left="1076" w:hanging="658"/>
        <w:rPr>
          <w:rFonts w:ascii="Calibri" w:hAnsi="Calibri" w:cs="Calibri"/>
          <w:bCs/>
          <w:color w:val="000000" w:themeColor="text1"/>
          <w:sz w:val="24"/>
        </w:rPr>
      </w:pPr>
    </w:p>
    <w:p w14:paraId="54A1F824" w14:textId="510E927B" w:rsidR="007149DF" w:rsidRPr="00777BCD" w:rsidRDefault="00284640">
      <w:pPr>
        <w:ind w:firstLine="480"/>
        <w:rPr>
          <w:rFonts w:ascii="Calibri" w:hAnsi="Calibri" w:cs="Calibri"/>
          <w:bCs/>
          <w:color w:val="000000" w:themeColor="text1"/>
          <w:sz w:val="24"/>
          <w:szCs w:val="24"/>
        </w:rPr>
      </w:pPr>
      <w:bookmarkStart w:id="195" w:name="_Hlk6491101"/>
      <w:r w:rsidRPr="00777BCD">
        <w:rPr>
          <w:rFonts w:ascii="Calibri" w:hAnsi="Calibri" w:cs="Calibri"/>
          <w:bCs/>
          <w:color w:val="000000" w:themeColor="text1"/>
          <w:sz w:val="24"/>
        </w:rPr>
        <w:t>基金份额持有人大会由基金份额持有人组成，基金份额持有人的合法授权代表有权代表基金份额持有人出席会议并表决。除法律法规另有规定或基金合同另有约定外，基金份额持有人持有的每一基金份额拥有平等的投票权。</w:t>
      </w:r>
    </w:p>
    <w:p w14:paraId="64B94F46"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本基金未设立基金份额持有人大会的日常机构，如今后设立基金份额持有人大会的日常机构，按照相关法律法规的要求执行。</w:t>
      </w:r>
    </w:p>
    <w:p w14:paraId="3423143C" w14:textId="77777777" w:rsidR="007149DF" w:rsidRPr="00777BCD" w:rsidRDefault="007149DF">
      <w:pPr>
        <w:ind w:firstLine="480"/>
        <w:rPr>
          <w:rFonts w:ascii="Calibri" w:hAnsi="Calibri" w:cs="Calibri"/>
          <w:bCs/>
          <w:color w:val="000000" w:themeColor="text1"/>
          <w:sz w:val="24"/>
        </w:rPr>
      </w:pPr>
    </w:p>
    <w:p w14:paraId="40CC198A" w14:textId="77777777" w:rsidR="007149DF" w:rsidRPr="00777BCD" w:rsidRDefault="00284640">
      <w:pPr>
        <w:ind w:firstLine="480"/>
        <w:rPr>
          <w:rFonts w:ascii="Calibri" w:hAnsi="Calibri" w:cs="Calibri"/>
          <w:bCs/>
          <w:color w:val="000000" w:themeColor="text1"/>
          <w:sz w:val="24"/>
        </w:rPr>
      </w:pPr>
      <w:bookmarkStart w:id="196" w:name="_Toc15641220"/>
      <w:bookmarkStart w:id="197" w:name="_Toc57530243"/>
      <w:bookmarkStart w:id="198" w:name="_Toc79392584"/>
      <w:r w:rsidRPr="00777BCD">
        <w:rPr>
          <w:rFonts w:ascii="Calibri" w:hAnsi="Calibri" w:cs="Calibri"/>
          <w:bCs/>
          <w:color w:val="000000" w:themeColor="text1"/>
          <w:sz w:val="24"/>
        </w:rPr>
        <w:t>一、召开事由</w:t>
      </w:r>
      <w:bookmarkEnd w:id="196"/>
      <w:bookmarkEnd w:id="197"/>
      <w:bookmarkEnd w:id="198"/>
    </w:p>
    <w:p w14:paraId="70FC9181"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w:t>
      </w:r>
      <w:r w:rsidRPr="00777BCD">
        <w:rPr>
          <w:rFonts w:ascii="Calibri" w:hAnsi="Calibri" w:cs="Calibri"/>
          <w:bCs/>
          <w:color w:val="000000" w:themeColor="text1"/>
          <w:sz w:val="24"/>
          <w:szCs w:val="24"/>
        </w:rPr>
        <w:t>除法律法规、中国证监会或《基金合同》另有规定外，当出现或需要决定下列事由之一的，应当召开基金份额持有人大会：</w:t>
      </w:r>
    </w:p>
    <w:p w14:paraId="246701EB" w14:textId="77777777" w:rsidR="007149DF" w:rsidRPr="00777BCD" w:rsidRDefault="00284640">
      <w:pPr>
        <w:ind w:firstLine="480"/>
        <w:rPr>
          <w:rFonts w:ascii="Calibri" w:hAnsi="Calibri" w:cs="Calibri"/>
          <w:color w:val="000000" w:themeColor="text1"/>
          <w:sz w:val="24"/>
          <w:szCs w:val="24"/>
        </w:rPr>
      </w:pPr>
      <w:r w:rsidRPr="00777BCD">
        <w:rPr>
          <w:rFonts w:ascii="Calibri" w:hAnsi="Calibri" w:cs="Calibri"/>
          <w:color w:val="000000" w:themeColor="text1"/>
          <w:sz w:val="24"/>
          <w:szCs w:val="24"/>
        </w:rPr>
        <w:t>（</w:t>
      </w:r>
      <w:r w:rsidRPr="00777BCD">
        <w:rPr>
          <w:rFonts w:ascii="Calibri" w:hAnsi="Calibri" w:cs="Calibri"/>
          <w:color w:val="000000" w:themeColor="text1"/>
          <w:sz w:val="24"/>
          <w:szCs w:val="24"/>
        </w:rPr>
        <w:t>1</w:t>
      </w:r>
      <w:r w:rsidRPr="00777BCD">
        <w:rPr>
          <w:rFonts w:ascii="Calibri" w:hAnsi="Calibri" w:cs="Calibri"/>
          <w:color w:val="000000" w:themeColor="text1"/>
          <w:sz w:val="24"/>
          <w:szCs w:val="24"/>
        </w:rPr>
        <w:t>）终止《基金合同》；</w:t>
      </w:r>
    </w:p>
    <w:p w14:paraId="1EC1582F" w14:textId="77777777" w:rsidR="007149DF" w:rsidRPr="00777BCD" w:rsidRDefault="00284640">
      <w:pPr>
        <w:ind w:firstLine="480"/>
        <w:rPr>
          <w:rFonts w:ascii="Calibri" w:hAnsi="Calibri" w:cs="Calibri"/>
          <w:color w:val="000000" w:themeColor="text1"/>
          <w:sz w:val="24"/>
          <w:szCs w:val="24"/>
        </w:rPr>
      </w:pPr>
      <w:r w:rsidRPr="00777BCD">
        <w:rPr>
          <w:rFonts w:ascii="Calibri" w:hAnsi="Calibri" w:cs="Calibri"/>
          <w:color w:val="000000" w:themeColor="text1"/>
          <w:sz w:val="24"/>
          <w:szCs w:val="24"/>
        </w:rPr>
        <w:t>（</w:t>
      </w:r>
      <w:r w:rsidRPr="00777BCD">
        <w:rPr>
          <w:rFonts w:ascii="Calibri" w:hAnsi="Calibri" w:cs="Calibri"/>
          <w:color w:val="000000" w:themeColor="text1"/>
          <w:sz w:val="24"/>
          <w:szCs w:val="24"/>
        </w:rPr>
        <w:t>2</w:t>
      </w:r>
      <w:r w:rsidRPr="00777BCD">
        <w:rPr>
          <w:rFonts w:ascii="Calibri" w:hAnsi="Calibri" w:cs="Calibri"/>
          <w:color w:val="000000" w:themeColor="text1"/>
          <w:sz w:val="24"/>
          <w:szCs w:val="24"/>
        </w:rPr>
        <w:t>）更换基金管理人；</w:t>
      </w:r>
    </w:p>
    <w:p w14:paraId="7A60C54F"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3</w:t>
      </w:r>
      <w:r w:rsidRPr="00777BCD">
        <w:rPr>
          <w:rFonts w:ascii="Calibri" w:hAnsi="Calibri" w:cs="Calibri"/>
          <w:bCs/>
          <w:color w:val="000000" w:themeColor="text1"/>
          <w:sz w:val="24"/>
          <w:szCs w:val="24"/>
        </w:rPr>
        <w:t>）更换基金托管人；</w:t>
      </w:r>
    </w:p>
    <w:p w14:paraId="6D7E576A"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4</w:t>
      </w:r>
      <w:r w:rsidRPr="00777BCD">
        <w:rPr>
          <w:rFonts w:ascii="Calibri" w:hAnsi="Calibri" w:cs="Calibri"/>
          <w:bCs/>
          <w:color w:val="000000" w:themeColor="text1"/>
          <w:sz w:val="24"/>
          <w:szCs w:val="24"/>
        </w:rPr>
        <w:t>）转换基金运作方式；</w:t>
      </w:r>
    </w:p>
    <w:p w14:paraId="22EC771E"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5</w:t>
      </w:r>
      <w:r w:rsidRPr="00777BCD">
        <w:rPr>
          <w:rFonts w:ascii="Calibri" w:hAnsi="Calibri" w:cs="Calibri"/>
          <w:bCs/>
          <w:color w:val="000000" w:themeColor="text1"/>
          <w:sz w:val="24"/>
          <w:szCs w:val="24"/>
        </w:rPr>
        <w:t>）调整基金管理人、基金托管人的报酬标准或提高销售服务费率；</w:t>
      </w:r>
    </w:p>
    <w:p w14:paraId="64A28C3E"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6</w:t>
      </w:r>
      <w:r w:rsidRPr="00777BCD">
        <w:rPr>
          <w:rFonts w:ascii="Calibri" w:hAnsi="Calibri" w:cs="Calibri"/>
          <w:bCs/>
          <w:color w:val="000000" w:themeColor="text1"/>
          <w:sz w:val="24"/>
          <w:szCs w:val="24"/>
        </w:rPr>
        <w:t>）变更基金类别；</w:t>
      </w:r>
    </w:p>
    <w:p w14:paraId="4AEB1844"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7</w:t>
      </w:r>
      <w:r w:rsidRPr="00777BCD">
        <w:rPr>
          <w:rFonts w:ascii="Calibri" w:hAnsi="Calibri" w:cs="Calibri"/>
          <w:bCs/>
          <w:color w:val="000000" w:themeColor="text1"/>
          <w:sz w:val="24"/>
          <w:szCs w:val="24"/>
        </w:rPr>
        <w:t>）本基金与其他基金的合并；</w:t>
      </w:r>
    </w:p>
    <w:p w14:paraId="380EB834"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8</w:t>
      </w:r>
      <w:r w:rsidRPr="00777BCD">
        <w:rPr>
          <w:rFonts w:ascii="Calibri" w:hAnsi="Calibri" w:cs="Calibri"/>
          <w:bCs/>
          <w:color w:val="000000" w:themeColor="text1"/>
          <w:sz w:val="24"/>
          <w:szCs w:val="24"/>
        </w:rPr>
        <w:t>）变更基金投资目标、范围或策略；</w:t>
      </w:r>
    </w:p>
    <w:p w14:paraId="27BD7204"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9</w:t>
      </w:r>
      <w:r w:rsidRPr="00777BCD">
        <w:rPr>
          <w:rFonts w:ascii="Calibri" w:hAnsi="Calibri" w:cs="Calibri"/>
          <w:bCs/>
          <w:color w:val="000000" w:themeColor="text1"/>
          <w:sz w:val="24"/>
          <w:szCs w:val="24"/>
        </w:rPr>
        <w:t>）变更基金份额持有人大会程序；</w:t>
      </w:r>
    </w:p>
    <w:p w14:paraId="29CBD61A"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10</w:t>
      </w:r>
      <w:r w:rsidRPr="00777BCD">
        <w:rPr>
          <w:rFonts w:ascii="Calibri" w:hAnsi="Calibri" w:cs="Calibri"/>
          <w:bCs/>
          <w:color w:val="000000" w:themeColor="text1"/>
          <w:sz w:val="24"/>
          <w:szCs w:val="24"/>
        </w:rPr>
        <w:t>）基金管理人或基金托管人要求召开基金份额持有人大会；</w:t>
      </w:r>
    </w:p>
    <w:p w14:paraId="0BE16456"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11</w:t>
      </w:r>
      <w:r w:rsidRPr="00777BCD">
        <w:rPr>
          <w:rFonts w:ascii="Calibri" w:hAnsi="Calibri" w:cs="Calibri"/>
          <w:bCs/>
          <w:color w:val="000000" w:themeColor="text1"/>
          <w:sz w:val="24"/>
          <w:szCs w:val="24"/>
        </w:rPr>
        <w:t>）单独或合计持有本基金总份额</w:t>
      </w:r>
      <w:r w:rsidRPr="00777BCD">
        <w:rPr>
          <w:rFonts w:ascii="Calibri" w:hAnsi="Calibri" w:cs="Calibri"/>
          <w:bCs/>
          <w:color w:val="000000" w:themeColor="text1"/>
          <w:sz w:val="24"/>
          <w:szCs w:val="24"/>
        </w:rPr>
        <w:t>10%</w:t>
      </w:r>
      <w:r w:rsidRPr="00777BCD">
        <w:rPr>
          <w:rFonts w:ascii="Calibri" w:hAnsi="Calibri" w:cs="Calibri"/>
          <w:bCs/>
          <w:color w:val="000000" w:themeColor="text1"/>
          <w:sz w:val="24"/>
          <w:szCs w:val="24"/>
        </w:rPr>
        <w:t>以上（含</w:t>
      </w:r>
      <w:r w:rsidRPr="00777BCD">
        <w:rPr>
          <w:rFonts w:ascii="Calibri" w:hAnsi="Calibri" w:cs="Calibri"/>
          <w:bCs/>
          <w:color w:val="000000" w:themeColor="text1"/>
          <w:sz w:val="24"/>
          <w:szCs w:val="24"/>
        </w:rPr>
        <w:t>10%</w:t>
      </w:r>
      <w:r w:rsidRPr="00777BCD">
        <w:rPr>
          <w:rFonts w:ascii="Calibri" w:hAnsi="Calibri" w:cs="Calibri"/>
          <w:bCs/>
          <w:color w:val="000000" w:themeColor="text1"/>
          <w:sz w:val="24"/>
          <w:szCs w:val="24"/>
        </w:rPr>
        <w:t>）基金份额的基金份额持有人（以基金管理人收到提议当日的基金份额计算，下同）就同一事项书面要求召开基金份额持有人大会；</w:t>
      </w:r>
    </w:p>
    <w:p w14:paraId="60D2F641"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12</w:t>
      </w:r>
      <w:r w:rsidRPr="00777BCD">
        <w:rPr>
          <w:rFonts w:ascii="Calibri" w:hAnsi="Calibri" w:cs="Calibri"/>
          <w:bCs/>
          <w:color w:val="000000" w:themeColor="text1"/>
          <w:sz w:val="24"/>
          <w:szCs w:val="24"/>
        </w:rPr>
        <w:t>）对《基金合同》当事人权利和义务产生重大影响的其他事项；</w:t>
      </w:r>
    </w:p>
    <w:p w14:paraId="183E129A"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13</w:t>
      </w:r>
      <w:r w:rsidRPr="00777BCD">
        <w:rPr>
          <w:rFonts w:ascii="Calibri" w:hAnsi="Calibri" w:cs="Calibri"/>
          <w:bCs/>
          <w:color w:val="000000" w:themeColor="text1"/>
          <w:sz w:val="24"/>
          <w:szCs w:val="24"/>
        </w:rPr>
        <w:t>）法律法规、《基金合同》或中国证监会规定的其他应当召开基金份额持有人大会的事项。</w:t>
      </w:r>
    </w:p>
    <w:p w14:paraId="205C6282"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lastRenderedPageBreak/>
        <w:t>2</w:t>
      </w:r>
      <w:r w:rsidRPr="00777BCD">
        <w:rPr>
          <w:rFonts w:ascii="Calibri" w:hAnsi="Calibri" w:cs="Calibri"/>
          <w:bCs/>
          <w:color w:val="000000" w:themeColor="text1"/>
          <w:sz w:val="24"/>
          <w:szCs w:val="24"/>
        </w:rPr>
        <w:t>、在法律法规规定和《基金合同》约定的范围内且对基金份额持有人利益无实质性不利影响的前提下，以下情况可由基金管理人和基金托管人协商后修改，不需召开基金份额持有人大会：</w:t>
      </w:r>
    </w:p>
    <w:p w14:paraId="133BD06C"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w:t>
      </w:r>
      <w:r w:rsidRPr="00777BCD">
        <w:rPr>
          <w:rFonts w:ascii="Calibri" w:hAnsi="Calibri" w:cs="Calibri"/>
          <w:bCs/>
          <w:color w:val="000000" w:themeColor="text1"/>
          <w:sz w:val="24"/>
          <w:szCs w:val="24"/>
        </w:rPr>
        <w:t>）法律法规要求增加的基金费用的收取；</w:t>
      </w:r>
    </w:p>
    <w:p w14:paraId="78B785BD" w14:textId="4C63F1F2"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）调整本基金的申购费率、调低销售服务费率、调整基金份额类别、变更收费方式或对基金份额分类办法及规则进行调整；</w:t>
      </w:r>
    </w:p>
    <w:p w14:paraId="3392A0F1"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3</w:t>
      </w:r>
      <w:r w:rsidRPr="00777BCD">
        <w:rPr>
          <w:rFonts w:ascii="Calibri" w:hAnsi="Calibri" w:cs="Calibri"/>
          <w:bCs/>
          <w:color w:val="000000" w:themeColor="text1"/>
          <w:sz w:val="24"/>
          <w:szCs w:val="24"/>
        </w:rPr>
        <w:t>）</w:t>
      </w:r>
      <w:proofErr w:type="gramStart"/>
      <w:r w:rsidRPr="00777BCD">
        <w:rPr>
          <w:rFonts w:ascii="Calibri" w:hAnsi="Calibri" w:cs="Calibri"/>
          <w:bCs/>
          <w:color w:val="000000" w:themeColor="text1"/>
          <w:sz w:val="24"/>
          <w:szCs w:val="24"/>
        </w:rPr>
        <w:t>因相应</w:t>
      </w:r>
      <w:proofErr w:type="gramEnd"/>
      <w:r w:rsidRPr="00777BCD">
        <w:rPr>
          <w:rFonts w:ascii="Calibri" w:hAnsi="Calibri" w:cs="Calibri"/>
          <w:bCs/>
          <w:color w:val="000000" w:themeColor="text1"/>
          <w:sz w:val="24"/>
          <w:szCs w:val="24"/>
        </w:rPr>
        <w:t>的法律法规发生变动而应当对《基金合同》进行修改；</w:t>
      </w:r>
    </w:p>
    <w:p w14:paraId="1B350C01"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4</w:t>
      </w:r>
      <w:r w:rsidRPr="00777BCD">
        <w:rPr>
          <w:rFonts w:ascii="Calibri" w:hAnsi="Calibri" w:cs="Calibri"/>
          <w:bCs/>
          <w:color w:val="000000" w:themeColor="text1"/>
          <w:sz w:val="24"/>
          <w:szCs w:val="24"/>
        </w:rPr>
        <w:t>）对《基金合同》的修改对基金份额持有人利益无实质性不利影响或修改不涉及《基金合同》当事人权利义务关系发生重大变化；</w:t>
      </w:r>
    </w:p>
    <w:p w14:paraId="5D1A3CA8" w14:textId="5DD4E9EF"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5</w:t>
      </w:r>
      <w:r w:rsidRPr="00777BCD">
        <w:rPr>
          <w:rFonts w:ascii="Calibri" w:hAnsi="Calibri" w:cs="Calibri"/>
          <w:bCs/>
          <w:color w:val="000000" w:themeColor="text1"/>
          <w:sz w:val="24"/>
          <w:szCs w:val="24"/>
        </w:rPr>
        <w:t>）基金管理人、登记机构、基金销售机构调整有关基金认购、申购、赎回、转换、</w:t>
      </w:r>
      <w:proofErr w:type="gramStart"/>
      <w:r w:rsidRPr="00777BCD">
        <w:rPr>
          <w:rFonts w:ascii="Calibri" w:hAnsi="Calibri" w:cs="Calibri"/>
          <w:bCs/>
          <w:color w:val="000000" w:themeColor="text1"/>
          <w:sz w:val="24"/>
          <w:szCs w:val="24"/>
        </w:rPr>
        <w:t>非交易</w:t>
      </w:r>
      <w:proofErr w:type="gramEnd"/>
      <w:r w:rsidRPr="00777BCD">
        <w:rPr>
          <w:rFonts w:ascii="Calibri" w:hAnsi="Calibri" w:cs="Calibri"/>
          <w:bCs/>
          <w:color w:val="000000" w:themeColor="text1"/>
          <w:sz w:val="24"/>
          <w:szCs w:val="24"/>
        </w:rPr>
        <w:t>过户、转托管等业务规则</w:t>
      </w:r>
      <w:r w:rsidR="005E2A0B" w:rsidRPr="005E2A0B">
        <w:rPr>
          <w:rFonts w:ascii="Calibri" w:hAnsi="Calibri" w:cs="Calibri" w:hint="eastAsia"/>
          <w:bCs/>
          <w:color w:val="000000" w:themeColor="text1"/>
          <w:sz w:val="24"/>
          <w:szCs w:val="24"/>
        </w:rPr>
        <w:t>，法律法规及中国证监会规定的除外；</w:t>
      </w:r>
    </w:p>
    <w:p w14:paraId="5295DF02"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6</w:t>
      </w:r>
      <w:r w:rsidRPr="00777BCD">
        <w:rPr>
          <w:rFonts w:ascii="Calibri" w:hAnsi="Calibri" w:cs="Calibri"/>
          <w:bCs/>
          <w:color w:val="000000" w:themeColor="text1"/>
          <w:sz w:val="24"/>
          <w:szCs w:val="24"/>
        </w:rPr>
        <w:t>）在履行适当程序后，基金推出新业务或服务；</w:t>
      </w:r>
    </w:p>
    <w:p w14:paraId="5A9931BB"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7</w:t>
      </w:r>
      <w:r w:rsidRPr="00777BCD">
        <w:rPr>
          <w:rFonts w:ascii="Calibri" w:hAnsi="Calibri" w:cs="Calibri"/>
          <w:bCs/>
          <w:color w:val="000000" w:themeColor="text1"/>
          <w:sz w:val="24"/>
          <w:szCs w:val="24"/>
        </w:rPr>
        <w:t>）按照法律法规和《基金合同》规定不需召开基金份额持有人大会的其他情形。</w:t>
      </w:r>
    </w:p>
    <w:p w14:paraId="4215C340" w14:textId="77777777" w:rsidR="007149DF" w:rsidRPr="00777BCD" w:rsidRDefault="007149DF">
      <w:pPr>
        <w:ind w:firstLine="480"/>
        <w:rPr>
          <w:rFonts w:ascii="Calibri" w:hAnsi="Calibri" w:cs="Calibri"/>
          <w:bCs/>
          <w:color w:val="000000" w:themeColor="text1"/>
          <w:sz w:val="24"/>
          <w:szCs w:val="24"/>
        </w:rPr>
      </w:pPr>
    </w:p>
    <w:p w14:paraId="57F052CD" w14:textId="77777777" w:rsidR="007149DF" w:rsidRPr="00777BCD" w:rsidRDefault="00284640">
      <w:pPr>
        <w:ind w:firstLine="480"/>
        <w:rPr>
          <w:rFonts w:ascii="Calibri" w:hAnsi="Calibri" w:cs="Calibri"/>
          <w:bCs/>
          <w:color w:val="000000" w:themeColor="text1"/>
          <w:sz w:val="24"/>
          <w:szCs w:val="24"/>
        </w:rPr>
      </w:pPr>
      <w:bookmarkStart w:id="199" w:name="_Toc57530244"/>
      <w:bookmarkStart w:id="200" w:name="_Toc79392585"/>
      <w:bookmarkStart w:id="201" w:name="_Toc15641221"/>
      <w:r w:rsidRPr="00777BCD">
        <w:rPr>
          <w:rFonts w:ascii="Calibri" w:hAnsi="Calibri" w:cs="Calibri"/>
          <w:bCs/>
          <w:color w:val="000000" w:themeColor="text1"/>
          <w:sz w:val="24"/>
          <w:szCs w:val="24"/>
        </w:rPr>
        <w:t>二、会议召集人及召集方式</w:t>
      </w:r>
      <w:bookmarkEnd w:id="199"/>
      <w:bookmarkEnd w:id="200"/>
      <w:bookmarkEnd w:id="201"/>
    </w:p>
    <w:p w14:paraId="39A57989" w14:textId="77777777" w:rsidR="007149DF" w:rsidRPr="00777BCD" w:rsidRDefault="00284640">
      <w:pPr>
        <w:ind w:firstLine="480"/>
        <w:rPr>
          <w:rFonts w:ascii="Calibri" w:hAnsi="Calibri" w:cs="Calibri"/>
          <w:bCs/>
          <w:color w:val="000000" w:themeColor="text1"/>
          <w:sz w:val="24"/>
          <w:szCs w:val="24"/>
        </w:rPr>
      </w:pPr>
      <w:bookmarkStart w:id="202" w:name="_Toc57530245"/>
      <w:bookmarkStart w:id="203" w:name="_Toc15641222"/>
      <w:r w:rsidRPr="00777BCD">
        <w:rPr>
          <w:rFonts w:ascii="Calibri" w:hAnsi="Calibri" w:cs="Calibri"/>
          <w:bCs/>
          <w:color w:val="000000" w:themeColor="text1"/>
          <w:sz w:val="24"/>
          <w:szCs w:val="24"/>
        </w:rPr>
        <w:t>1</w:t>
      </w:r>
      <w:r w:rsidRPr="00777BCD">
        <w:rPr>
          <w:rFonts w:ascii="Calibri" w:hAnsi="Calibri" w:cs="Calibri"/>
          <w:bCs/>
          <w:color w:val="000000" w:themeColor="text1"/>
          <w:sz w:val="24"/>
          <w:szCs w:val="24"/>
        </w:rPr>
        <w:t>、除法律法规规定或《基金合同》另有约定外，基金份额持有人大会由基金管理人召集。</w:t>
      </w:r>
    </w:p>
    <w:p w14:paraId="1C34484D"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、基金管理人未按规定召集或不能召集时，由基金托管人召集。</w:t>
      </w:r>
    </w:p>
    <w:p w14:paraId="1CC6690C"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3</w:t>
      </w:r>
      <w:r w:rsidRPr="00777BCD">
        <w:rPr>
          <w:rFonts w:ascii="Calibri" w:hAnsi="Calibri" w:cs="Calibri"/>
          <w:bCs/>
          <w:color w:val="000000" w:themeColor="text1"/>
          <w:sz w:val="24"/>
          <w:szCs w:val="24"/>
        </w:rPr>
        <w:t>、基金托管人认为有必要召开基金份额持有人大会的，应当向基金管理人提出书面提议。基金管理人应当自收到书面提议之日起</w:t>
      </w:r>
      <w:r w:rsidRPr="00777BCD">
        <w:rPr>
          <w:rFonts w:ascii="Calibri" w:hAnsi="Calibri" w:cs="Calibri"/>
          <w:bCs/>
          <w:color w:val="000000" w:themeColor="text1"/>
          <w:sz w:val="24"/>
          <w:szCs w:val="24"/>
        </w:rPr>
        <w:t>10</w:t>
      </w:r>
      <w:r w:rsidRPr="00777BCD">
        <w:rPr>
          <w:rFonts w:ascii="Calibri" w:hAnsi="Calibri" w:cs="Calibri"/>
          <w:bCs/>
          <w:color w:val="000000" w:themeColor="text1"/>
          <w:sz w:val="24"/>
          <w:szCs w:val="24"/>
        </w:rPr>
        <w:t>日内决定是否召集，并书面告知基金托管人。基金管理人决定召集的，应当自出具书面决定之日起</w:t>
      </w:r>
      <w:r w:rsidRPr="00777BCD">
        <w:rPr>
          <w:rFonts w:ascii="Calibri" w:hAnsi="Calibri" w:cs="Calibri"/>
          <w:bCs/>
          <w:color w:val="000000" w:themeColor="text1"/>
          <w:sz w:val="24"/>
          <w:szCs w:val="24"/>
        </w:rPr>
        <w:t>60</w:t>
      </w:r>
      <w:r w:rsidRPr="00777BCD">
        <w:rPr>
          <w:rFonts w:ascii="Calibri" w:hAnsi="Calibri" w:cs="Calibri"/>
          <w:bCs/>
          <w:color w:val="000000" w:themeColor="text1"/>
          <w:sz w:val="24"/>
          <w:szCs w:val="24"/>
        </w:rPr>
        <w:t>日内召开；基金管理人决定不召集，基金托管人仍认为有必要召开的，应当由基金托管人自行召集，并自出具书面决定之日起</w:t>
      </w:r>
      <w:r w:rsidRPr="00777BCD">
        <w:rPr>
          <w:rFonts w:ascii="Calibri" w:hAnsi="Calibri" w:cs="Calibri"/>
          <w:bCs/>
          <w:color w:val="000000" w:themeColor="text1"/>
          <w:sz w:val="24"/>
          <w:szCs w:val="24"/>
        </w:rPr>
        <w:t>60</w:t>
      </w:r>
      <w:r w:rsidRPr="00777BCD">
        <w:rPr>
          <w:rFonts w:ascii="Calibri" w:hAnsi="Calibri" w:cs="Calibri"/>
          <w:bCs/>
          <w:color w:val="000000" w:themeColor="text1"/>
          <w:sz w:val="24"/>
          <w:szCs w:val="24"/>
        </w:rPr>
        <w:t>日内召开并告知基金管理人，基金管理人应当配合。</w:t>
      </w:r>
    </w:p>
    <w:p w14:paraId="02B8B83F" w14:textId="77777777" w:rsidR="007149DF" w:rsidRPr="00777BCD" w:rsidRDefault="00284640">
      <w:pPr>
        <w:ind w:firstLine="480"/>
        <w:jc w:val="left"/>
        <w:rPr>
          <w:rFonts w:ascii="Calibri" w:hAnsi="Calibri" w:cs="Calibri"/>
          <w:bCs/>
          <w:color w:val="000000" w:themeColor="text1"/>
          <w:sz w:val="24"/>
          <w:szCs w:val="24"/>
        </w:rPr>
      </w:pPr>
      <w:r w:rsidRPr="00777BCD">
        <w:rPr>
          <w:rFonts w:ascii="Calibri" w:hAnsi="Calibri" w:cs="Calibri"/>
          <w:bCs/>
          <w:color w:val="000000" w:themeColor="text1"/>
          <w:sz w:val="24"/>
          <w:szCs w:val="24"/>
        </w:rPr>
        <w:t>4</w:t>
      </w:r>
      <w:r w:rsidRPr="00777BCD">
        <w:rPr>
          <w:rFonts w:ascii="Calibri" w:hAnsi="Calibri" w:cs="Calibri"/>
          <w:bCs/>
          <w:color w:val="000000" w:themeColor="text1"/>
          <w:sz w:val="24"/>
          <w:szCs w:val="24"/>
        </w:rPr>
        <w:t>、代表基金份额</w:t>
      </w:r>
      <w:r w:rsidRPr="00777BCD">
        <w:rPr>
          <w:rFonts w:ascii="Calibri" w:hAnsi="Calibri" w:cs="Calibri"/>
          <w:bCs/>
          <w:color w:val="000000" w:themeColor="text1"/>
          <w:sz w:val="24"/>
          <w:szCs w:val="24"/>
        </w:rPr>
        <w:t>10%</w:t>
      </w:r>
      <w:r w:rsidRPr="00777BCD">
        <w:rPr>
          <w:rFonts w:ascii="Calibri" w:hAnsi="Calibri" w:cs="Calibri"/>
          <w:bCs/>
          <w:color w:val="000000" w:themeColor="text1"/>
          <w:sz w:val="24"/>
          <w:szCs w:val="24"/>
        </w:rPr>
        <w:t>以上（含</w:t>
      </w:r>
      <w:r w:rsidRPr="00777BCD">
        <w:rPr>
          <w:rFonts w:ascii="Calibri" w:hAnsi="Calibri" w:cs="Calibri"/>
          <w:bCs/>
          <w:color w:val="000000" w:themeColor="text1"/>
          <w:sz w:val="24"/>
          <w:szCs w:val="24"/>
        </w:rPr>
        <w:t>10%</w:t>
      </w:r>
      <w:r w:rsidRPr="00777BCD">
        <w:rPr>
          <w:rFonts w:ascii="Calibri" w:hAnsi="Calibri" w:cs="Calibri"/>
          <w:bCs/>
          <w:color w:val="000000" w:themeColor="text1"/>
          <w:sz w:val="24"/>
          <w:szCs w:val="24"/>
        </w:rPr>
        <w:t>）的基金份额持有人就同一事项书面要求召开基金份额持有人大会，应当向基金管理人提出书面提议。基金管理人应当自收到书面提议之日起</w:t>
      </w:r>
      <w:r w:rsidRPr="00777BCD">
        <w:rPr>
          <w:rFonts w:ascii="Calibri" w:hAnsi="Calibri" w:cs="Calibri"/>
          <w:bCs/>
          <w:color w:val="000000" w:themeColor="text1"/>
          <w:sz w:val="24"/>
          <w:szCs w:val="24"/>
        </w:rPr>
        <w:t>10</w:t>
      </w:r>
      <w:r w:rsidRPr="00777BCD">
        <w:rPr>
          <w:rFonts w:ascii="Calibri" w:hAnsi="Calibri" w:cs="Calibri"/>
          <w:bCs/>
          <w:color w:val="000000" w:themeColor="text1"/>
          <w:sz w:val="24"/>
          <w:szCs w:val="24"/>
        </w:rPr>
        <w:t>日内决定是否召集，并书面告知提出提议的基金份</w:t>
      </w:r>
      <w:r w:rsidRPr="00777BCD">
        <w:rPr>
          <w:rFonts w:ascii="Calibri" w:hAnsi="Calibri" w:cs="Calibri"/>
          <w:bCs/>
          <w:color w:val="000000" w:themeColor="text1"/>
          <w:sz w:val="24"/>
          <w:szCs w:val="24"/>
        </w:rPr>
        <w:lastRenderedPageBreak/>
        <w:t>额持有人代表和基金托管人。基金管理人决定召集的，应当自出具书面决定之日起</w:t>
      </w:r>
      <w:r w:rsidRPr="00777BCD">
        <w:rPr>
          <w:rFonts w:ascii="Calibri" w:hAnsi="Calibri" w:cs="Calibri"/>
          <w:bCs/>
          <w:color w:val="000000" w:themeColor="text1"/>
          <w:sz w:val="24"/>
          <w:szCs w:val="24"/>
        </w:rPr>
        <w:t>60</w:t>
      </w:r>
      <w:r w:rsidRPr="00777BCD">
        <w:rPr>
          <w:rFonts w:ascii="Calibri" w:hAnsi="Calibri" w:cs="Calibri"/>
          <w:bCs/>
          <w:color w:val="000000" w:themeColor="text1"/>
          <w:sz w:val="24"/>
          <w:szCs w:val="24"/>
        </w:rPr>
        <w:t>日内召开；基金管理人决定不召集，代表基金份额</w:t>
      </w:r>
      <w:r w:rsidRPr="00777BCD">
        <w:rPr>
          <w:rFonts w:ascii="Calibri" w:hAnsi="Calibri" w:cs="Calibri"/>
          <w:bCs/>
          <w:color w:val="000000" w:themeColor="text1"/>
          <w:sz w:val="24"/>
          <w:szCs w:val="24"/>
        </w:rPr>
        <w:t>10%</w:t>
      </w:r>
      <w:r w:rsidRPr="00777BCD">
        <w:rPr>
          <w:rFonts w:ascii="Calibri" w:hAnsi="Calibri" w:cs="Calibri"/>
          <w:bCs/>
          <w:color w:val="000000" w:themeColor="text1"/>
          <w:sz w:val="24"/>
          <w:szCs w:val="24"/>
        </w:rPr>
        <w:t>以上（含</w:t>
      </w:r>
      <w:r w:rsidRPr="00777BCD">
        <w:rPr>
          <w:rFonts w:ascii="Calibri" w:hAnsi="Calibri" w:cs="Calibri"/>
          <w:bCs/>
          <w:color w:val="000000" w:themeColor="text1"/>
          <w:sz w:val="24"/>
          <w:szCs w:val="24"/>
        </w:rPr>
        <w:t>10%</w:t>
      </w:r>
      <w:r w:rsidRPr="00777BCD">
        <w:rPr>
          <w:rFonts w:ascii="Calibri" w:hAnsi="Calibri" w:cs="Calibri"/>
          <w:bCs/>
          <w:color w:val="000000" w:themeColor="text1"/>
          <w:sz w:val="24"/>
          <w:szCs w:val="24"/>
        </w:rPr>
        <w:t>）的基金份额持有人仍认为有必要召开的，应当向基金托管人提出书面提议。基金托管人应当自收到书面提议之日起</w:t>
      </w:r>
      <w:r w:rsidRPr="00777BCD">
        <w:rPr>
          <w:rFonts w:ascii="Calibri" w:hAnsi="Calibri" w:cs="Calibri"/>
          <w:bCs/>
          <w:color w:val="000000" w:themeColor="text1"/>
          <w:sz w:val="24"/>
          <w:szCs w:val="24"/>
        </w:rPr>
        <w:t>10</w:t>
      </w:r>
      <w:r w:rsidRPr="00777BCD">
        <w:rPr>
          <w:rFonts w:ascii="Calibri" w:hAnsi="Calibri" w:cs="Calibri"/>
          <w:bCs/>
          <w:color w:val="000000" w:themeColor="text1"/>
          <w:sz w:val="24"/>
          <w:szCs w:val="24"/>
        </w:rPr>
        <w:t>日内决定是否召集，并书面告知提出提议的基金份额持有人代表和基金管理人；基金托管人决定召集的，应当自出具书面决定之日起</w:t>
      </w:r>
      <w:r w:rsidRPr="00777BCD">
        <w:rPr>
          <w:rFonts w:ascii="Calibri" w:hAnsi="Calibri" w:cs="Calibri"/>
          <w:bCs/>
          <w:color w:val="000000" w:themeColor="text1"/>
          <w:sz w:val="24"/>
          <w:szCs w:val="24"/>
        </w:rPr>
        <w:t>60</w:t>
      </w:r>
      <w:r w:rsidRPr="00777BCD">
        <w:rPr>
          <w:rFonts w:ascii="Calibri" w:hAnsi="Calibri" w:cs="Calibri"/>
          <w:bCs/>
          <w:color w:val="000000" w:themeColor="text1"/>
          <w:sz w:val="24"/>
          <w:szCs w:val="24"/>
        </w:rPr>
        <w:t>日内召开并告知基金管理人，基金管理人应当配合。</w:t>
      </w:r>
    </w:p>
    <w:p w14:paraId="0380F5EC"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5</w:t>
      </w:r>
      <w:r w:rsidRPr="00777BCD">
        <w:rPr>
          <w:rFonts w:ascii="Calibri" w:hAnsi="Calibri" w:cs="Calibri"/>
          <w:bCs/>
          <w:color w:val="000000" w:themeColor="text1"/>
          <w:sz w:val="24"/>
          <w:szCs w:val="24"/>
        </w:rPr>
        <w:t>、代表基金份额</w:t>
      </w:r>
      <w:r w:rsidRPr="00777BCD">
        <w:rPr>
          <w:rFonts w:ascii="Calibri" w:hAnsi="Calibri" w:cs="Calibri"/>
          <w:bCs/>
          <w:color w:val="000000" w:themeColor="text1"/>
          <w:sz w:val="24"/>
          <w:szCs w:val="24"/>
        </w:rPr>
        <w:t>10%</w:t>
      </w:r>
      <w:r w:rsidRPr="00777BCD">
        <w:rPr>
          <w:rFonts w:ascii="Calibri" w:hAnsi="Calibri" w:cs="Calibri"/>
          <w:bCs/>
          <w:color w:val="000000" w:themeColor="text1"/>
          <w:sz w:val="24"/>
          <w:szCs w:val="24"/>
        </w:rPr>
        <w:t>以上（含</w:t>
      </w:r>
      <w:r w:rsidRPr="00777BCD">
        <w:rPr>
          <w:rFonts w:ascii="Calibri" w:hAnsi="Calibri" w:cs="Calibri"/>
          <w:bCs/>
          <w:color w:val="000000" w:themeColor="text1"/>
          <w:sz w:val="24"/>
          <w:szCs w:val="24"/>
        </w:rPr>
        <w:t>10%</w:t>
      </w:r>
      <w:r w:rsidRPr="00777BCD">
        <w:rPr>
          <w:rFonts w:ascii="Calibri" w:hAnsi="Calibri" w:cs="Calibri"/>
          <w:bCs/>
          <w:color w:val="000000" w:themeColor="text1"/>
          <w:sz w:val="24"/>
          <w:szCs w:val="24"/>
        </w:rPr>
        <w:t>）的基金份额持有人就同一事项要求召开基金份额持有人大会，而基金管理人、基金托管人都不召集的，单独或合计代表基金份额</w:t>
      </w:r>
      <w:r w:rsidRPr="00777BCD">
        <w:rPr>
          <w:rFonts w:ascii="Calibri" w:hAnsi="Calibri" w:cs="Calibri"/>
          <w:bCs/>
          <w:color w:val="000000" w:themeColor="text1"/>
          <w:sz w:val="24"/>
          <w:szCs w:val="24"/>
        </w:rPr>
        <w:t>10%</w:t>
      </w:r>
      <w:r w:rsidRPr="00777BCD">
        <w:rPr>
          <w:rFonts w:ascii="Calibri" w:hAnsi="Calibri" w:cs="Calibri"/>
          <w:bCs/>
          <w:color w:val="000000" w:themeColor="text1"/>
          <w:sz w:val="24"/>
          <w:szCs w:val="24"/>
        </w:rPr>
        <w:t>以上（含</w:t>
      </w:r>
      <w:r w:rsidRPr="00777BCD">
        <w:rPr>
          <w:rFonts w:ascii="Calibri" w:hAnsi="Calibri" w:cs="Calibri"/>
          <w:bCs/>
          <w:color w:val="000000" w:themeColor="text1"/>
          <w:sz w:val="24"/>
          <w:szCs w:val="24"/>
        </w:rPr>
        <w:t>10%</w:t>
      </w:r>
      <w:r w:rsidRPr="00777BCD">
        <w:rPr>
          <w:rFonts w:ascii="Calibri" w:hAnsi="Calibri" w:cs="Calibri"/>
          <w:bCs/>
          <w:color w:val="000000" w:themeColor="text1"/>
          <w:sz w:val="24"/>
          <w:szCs w:val="24"/>
        </w:rPr>
        <w:t>）的基金份额持有人有权自行召集，并至少提前</w:t>
      </w:r>
      <w:r w:rsidRPr="00777BCD">
        <w:rPr>
          <w:rFonts w:ascii="Calibri" w:hAnsi="Calibri" w:cs="Calibri"/>
          <w:bCs/>
          <w:color w:val="000000" w:themeColor="text1"/>
          <w:sz w:val="24"/>
          <w:szCs w:val="24"/>
        </w:rPr>
        <w:t>30</w:t>
      </w:r>
      <w:r w:rsidRPr="00777BCD">
        <w:rPr>
          <w:rFonts w:ascii="Calibri" w:hAnsi="Calibri" w:cs="Calibri"/>
          <w:bCs/>
          <w:color w:val="000000" w:themeColor="text1"/>
          <w:sz w:val="24"/>
          <w:szCs w:val="24"/>
        </w:rPr>
        <w:t>日报中国证监会备案。基金份额持有人依法自行召集基金份额持有人大会的，基金管理人、基金托管人应当配合，不得阻碍、干扰。</w:t>
      </w:r>
    </w:p>
    <w:p w14:paraId="05671896"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6</w:t>
      </w:r>
      <w:r w:rsidRPr="00777BCD">
        <w:rPr>
          <w:rFonts w:ascii="Calibri" w:hAnsi="Calibri" w:cs="Calibri"/>
          <w:bCs/>
          <w:color w:val="000000" w:themeColor="text1"/>
          <w:sz w:val="24"/>
          <w:szCs w:val="24"/>
        </w:rPr>
        <w:t>、基金份额持有人会议的召集人负责选择确定开会时间、地点、方式和权益登记日。</w:t>
      </w:r>
    </w:p>
    <w:p w14:paraId="5F26DF4A" w14:textId="77777777" w:rsidR="007149DF" w:rsidRPr="00777BCD" w:rsidRDefault="007149DF">
      <w:pPr>
        <w:ind w:firstLine="480"/>
        <w:rPr>
          <w:rFonts w:ascii="Calibri" w:hAnsi="Calibri" w:cs="Calibri"/>
          <w:bCs/>
          <w:color w:val="000000" w:themeColor="text1"/>
          <w:sz w:val="24"/>
          <w:szCs w:val="24"/>
        </w:rPr>
      </w:pPr>
    </w:p>
    <w:p w14:paraId="7150FC4A" w14:textId="77777777" w:rsidR="007149DF" w:rsidRPr="00777BCD" w:rsidRDefault="00284640">
      <w:pPr>
        <w:ind w:firstLine="480"/>
        <w:rPr>
          <w:rFonts w:ascii="Calibri" w:hAnsi="Calibri" w:cs="Calibri"/>
          <w:bCs/>
          <w:color w:val="000000" w:themeColor="text1"/>
          <w:sz w:val="24"/>
          <w:szCs w:val="24"/>
        </w:rPr>
      </w:pPr>
      <w:bookmarkStart w:id="204" w:name="_Toc79392586"/>
      <w:r w:rsidRPr="00777BCD">
        <w:rPr>
          <w:rFonts w:ascii="Calibri" w:hAnsi="Calibri" w:cs="Calibri"/>
          <w:bCs/>
          <w:color w:val="000000" w:themeColor="text1"/>
          <w:sz w:val="24"/>
          <w:szCs w:val="24"/>
        </w:rPr>
        <w:t>三、召开基金份额持有人大会的通知时间、通知内容、通知方式</w:t>
      </w:r>
      <w:bookmarkEnd w:id="202"/>
      <w:bookmarkEnd w:id="203"/>
      <w:bookmarkEnd w:id="204"/>
    </w:p>
    <w:p w14:paraId="4AEB9719"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1</w:t>
      </w:r>
      <w:r w:rsidRPr="00777BCD">
        <w:rPr>
          <w:rFonts w:ascii="Calibri" w:hAnsi="Calibri" w:cs="Calibri"/>
          <w:bCs/>
          <w:color w:val="000000" w:themeColor="text1"/>
          <w:sz w:val="24"/>
          <w:szCs w:val="24"/>
        </w:rPr>
        <w:t>、召开基金份额持有人大会，召集人应于会议召开前</w:t>
      </w:r>
      <w:r w:rsidRPr="00777BCD">
        <w:rPr>
          <w:rFonts w:ascii="Calibri" w:hAnsi="Calibri" w:cs="Calibri"/>
          <w:bCs/>
          <w:color w:val="000000" w:themeColor="text1"/>
          <w:sz w:val="24"/>
          <w:szCs w:val="24"/>
        </w:rPr>
        <w:t>30</w:t>
      </w:r>
      <w:r w:rsidRPr="00777BCD">
        <w:rPr>
          <w:rFonts w:ascii="Calibri" w:hAnsi="Calibri" w:cs="Calibri"/>
          <w:bCs/>
          <w:color w:val="000000" w:themeColor="text1"/>
          <w:sz w:val="24"/>
          <w:szCs w:val="24"/>
        </w:rPr>
        <w:t>日，在规定媒介公告。基金份额持有人大会通知应至少载明以下内容：</w:t>
      </w:r>
    </w:p>
    <w:p w14:paraId="4B10696E"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w:t>
      </w:r>
      <w:r w:rsidRPr="00777BCD">
        <w:rPr>
          <w:rFonts w:ascii="Calibri" w:hAnsi="Calibri" w:cs="Calibri"/>
          <w:bCs/>
          <w:color w:val="000000" w:themeColor="text1"/>
          <w:sz w:val="24"/>
          <w:szCs w:val="24"/>
        </w:rPr>
        <w:t>）会议召开的时间、地点和会议形式；</w:t>
      </w:r>
    </w:p>
    <w:p w14:paraId="4FA98883"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）会议</w:t>
      </w:r>
      <w:proofErr w:type="gramStart"/>
      <w:r w:rsidRPr="00777BCD">
        <w:rPr>
          <w:rFonts w:ascii="Calibri" w:hAnsi="Calibri" w:cs="Calibri"/>
          <w:bCs/>
          <w:color w:val="000000" w:themeColor="text1"/>
          <w:sz w:val="24"/>
          <w:szCs w:val="24"/>
        </w:rPr>
        <w:t>拟审议</w:t>
      </w:r>
      <w:proofErr w:type="gramEnd"/>
      <w:r w:rsidRPr="00777BCD">
        <w:rPr>
          <w:rFonts w:ascii="Calibri" w:hAnsi="Calibri" w:cs="Calibri"/>
          <w:bCs/>
          <w:color w:val="000000" w:themeColor="text1"/>
          <w:sz w:val="24"/>
          <w:szCs w:val="24"/>
        </w:rPr>
        <w:t>的事项、议事程序和表决方式；</w:t>
      </w:r>
    </w:p>
    <w:p w14:paraId="35E6E47B"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3</w:t>
      </w:r>
      <w:r w:rsidRPr="00777BCD">
        <w:rPr>
          <w:rFonts w:ascii="Calibri" w:hAnsi="Calibri" w:cs="Calibri"/>
          <w:bCs/>
          <w:color w:val="000000" w:themeColor="text1"/>
          <w:sz w:val="24"/>
          <w:szCs w:val="24"/>
        </w:rPr>
        <w:t>）有权出席基金份额持有人大会的基金份额持有人的权益登记日；</w:t>
      </w:r>
    </w:p>
    <w:p w14:paraId="75D802D2"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4</w:t>
      </w:r>
      <w:r w:rsidRPr="00777BCD">
        <w:rPr>
          <w:rFonts w:ascii="Calibri" w:hAnsi="Calibri" w:cs="Calibri"/>
          <w:bCs/>
          <w:color w:val="000000" w:themeColor="text1"/>
          <w:sz w:val="24"/>
          <w:szCs w:val="24"/>
        </w:rPr>
        <w:t>）授权委托证明的内容要求（包括但不限于代理人身份，代理权限和代理有效期限等）、送达时间和地点；</w:t>
      </w:r>
    </w:p>
    <w:p w14:paraId="7AF11EB5"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5</w:t>
      </w:r>
      <w:r w:rsidRPr="00777BCD">
        <w:rPr>
          <w:rFonts w:ascii="Calibri" w:hAnsi="Calibri" w:cs="Calibri"/>
          <w:bCs/>
          <w:color w:val="000000" w:themeColor="text1"/>
          <w:sz w:val="24"/>
          <w:szCs w:val="24"/>
        </w:rPr>
        <w:t>）会务常设联系人姓名及联系电话；</w:t>
      </w:r>
    </w:p>
    <w:p w14:paraId="0F33FFAA"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6</w:t>
      </w:r>
      <w:r w:rsidRPr="00777BCD">
        <w:rPr>
          <w:rFonts w:ascii="Calibri" w:hAnsi="Calibri" w:cs="Calibri"/>
          <w:bCs/>
          <w:color w:val="000000" w:themeColor="text1"/>
          <w:sz w:val="24"/>
          <w:szCs w:val="24"/>
        </w:rPr>
        <w:t>）出席会议者必须准备的文件和必须履行的手续；</w:t>
      </w:r>
    </w:p>
    <w:p w14:paraId="58E3E49D"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7</w:t>
      </w:r>
      <w:r w:rsidRPr="00777BCD">
        <w:rPr>
          <w:rFonts w:ascii="Calibri" w:hAnsi="Calibri" w:cs="Calibri"/>
          <w:bCs/>
          <w:color w:val="000000" w:themeColor="text1"/>
          <w:sz w:val="24"/>
          <w:szCs w:val="24"/>
        </w:rPr>
        <w:t>）召集人需要通知的其他事项。</w:t>
      </w:r>
    </w:p>
    <w:p w14:paraId="39C63C4B"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、采取通讯开会方式并进行表决的情况下，由会议召集人决定在会议通知中说明本次基金份额持有人大会所采取的具体通讯方式、委托的公证机关及其联系方式和联系人、表决意见寄交的截止时间和收取方式。</w:t>
      </w:r>
    </w:p>
    <w:p w14:paraId="0503DA3F"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lastRenderedPageBreak/>
        <w:t>3</w:t>
      </w:r>
      <w:r w:rsidRPr="00777BCD">
        <w:rPr>
          <w:rFonts w:ascii="Calibri" w:hAnsi="Calibri" w:cs="Calibri"/>
          <w:bCs/>
          <w:color w:val="000000" w:themeColor="text1"/>
          <w:sz w:val="24"/>
          <w:szCs w:val="24"/>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w:t>
      </w:r>
      <w:proofErr w:type="gramStart"/>
      <w:r w:rsidRPr="00777BCD">
        <w:rPr>
          <w:rFonts w:ascii="Calibri" w:hAnsi="Calibri" w:cs="Calibri"/>
          <w:bCs/>
          <w:color w:val="000000" w:themeColor="text1"/>
          <w:sz w:val="24"/>
          <w:szCs w:val="24"/>
        </w:rPr>
        <w:t>拒不派</w:t>
      </w:r>
      <w:proofErr w:type="gramEnd"/>
      <w:r w:rsidRPr="00777BCD">
        <w:rPr>
          <w:rFonts w:ascii="Calibri" w:hAnsi="Calibri" w:cs="Calibri"/>
          <w:bCs/>
          <w:color w:val="000000" w:themeColor="text1"/>
          <w:sz w:val="24"/>
          <w:szCs w:val="24"/>
        </w:rPr>
        <w:t>代表对表决意见的计票进行监督的，不影响表决意见的计票效力。</w:t>
      </w:r>
    </w:p>
    <w:p w14:paraId="7FD863EC" w14:textId="77777777" w:rsidR="007149DF" w:rsidRPr="00777BCD" w:rsidRDefault="007149DF">
      <w:pPr>
        <w:ind w:firstLine="480"/>
        <w:rPr>
          <w:rFonts w:ascii="Calibri" w:hAnsi="Calibri" w:cs="Calibri"/>
          <w:bCs/>
          <w:color w:val="000000" w:themeColor="text1"/>
          <w:sz w:val="24"/>
          <w:szCs w:val="24"/>
        </w:rPr>
      </w:pPr>
    </w:p>
    <w:p w14:paraId="2B7E480D" w14:textId="77777777" w:rsidR="007149DF" w:rsidRPr="00777BCD" w:rsidRDefault="00284640">
      <w:pPr>
        <w:ind w:firstLine="480"/>
        <w:rPr>
          <w:rFonts w:ascii="Calibri" w:hAnsi="Calibri" w:cs="Calibri"/>
          <w:bCs/>
          <w:color w:val="000000" w:themeColor="text1"/>
          <w:sz w:val="24"/>
          <w:szCs w:val="24"/>
        </w:rPr>
      </w:pPr>
      <w:bookmarkStart w:id="205" w:name="_Toc15641223"/>
      <w:bookmarkStart w:id="206" w:name="_Toc79392587"/>
      <w:bookmarkStart w:id="207" w:name="_Toc57530246"/>
      <w:r w:rsidRPr="00777BCD">
        <w:rPr>
          <w:rFonts w:ascii="Calibri" w:hAnsi="Calibri" w:cs="Calibri"/>
          <w:bCs/>
          <w:color w:val="000000" w:themeColor="text1"/>
          <w:sz w:val="24"/>
          <w:szCs w:val="24"/>
        </w:rPr>
        <w:t>四、基金份额持有人出席会议的方式</w:t>
      </w:r>
      <w:bookmarkEnd w:id="205"/>
      <w:bookmarkEnd w:id="206"/>
      <w:bookmarkEnd w:id="207"/>
    </w:p>
    <w:p w14:paraId="269EE32E"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基金份额持有人大会可通过现场开会方式、通讯开会方式或法律法规、监管机构允许的其他方式召开，会议的召开方式由会议召集人确定。</w:t>
      </w:r>
    </w:p>
    <w:p w14:paraId="387E27FD"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1</w:t>
      </w:r>
      <w:r w:rsidRPr="00777BCD">
        <w:rPr>
          <w:rFonts w:ascii="Calibri" w:hAnsi="Calibri" w:cs="Calibri"/>
          <w:bCs/>
          <w:color w:val="000000" w:themeColor="text1"/>
          <w:sz w:val="24"/>
          <w:szCs w:val="24"/>
        </w:rPr>
        <w:t>、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会同时符合以下条件时，可以进行基金份额持有人大会议程：</w:t>
      </w:r>
    </w:p>
    <w:p w14:paraId="5AD0EB4D"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w:t>
      </w:r>
      <w:r w:rsidRPr="00777BCD">
        <w:rPr>
          <w:rFonts w:ascii="Calibri" w:hAnsi="Calibri" w:cs="Calibri"/>
          <w:bCs/>
          <w:color w:val="000000" w:themeColor="text1"/>
          <w:sz w:val="24"/>
          <w:szCs w:val="24"/>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14:paraId="1BDFD360"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经核对，汇总到会者出示的在权益登记日持有基金份额的凭证显示，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w:t>
      </w:r>
      <w:r w:rsidRPr="00777BCD">
        <w:rPr>
          <w:rFonts w:ascii="Calibri" w:hAnsi="Calibri" w:cs="Calibri"/>
          <w:bCs/>
          <w:color w:val="000000" w:themeColor="text1"/>
          <w:sz w:val="24"/>
          <w:szCs w:val="24"/>
        </w:rPr>
        <w:t>3</w:t>
      </w:r>
      <w:r w:rsidRPr="00777BCD">
        <w:rPr>
          <w:rFonts w:ascii="Calibri" w:hAnsi="Calibri" w:cs="Calibri"/>
          <w:bCs/>
          <w:color w:val="000000" w:themeColor="text1"/>
          <w:sz w:val="24"/>
          <w:szCs w:val="24"/>
        </w:rPr>
        <w:t>个月以后、</w:t>
      </w:r>
      <w:r w:rsidRPr="00777BCD">
        <w:rPr>
          <w:rFonts w:ascii="Calibri" w:hAnsi="Calibri" w:cs="Calibri"/>
          <w:bCs/>
          <w:color w:val="000000" w:themeColor="text1"/>
          <w:sz w:val="24"/>
          <w:szCs w:val="24"/>
        </w:rPr>
        <w:t>6</w:t>
      </w:r>
      <w:r w:rsidRPr="00777BCD">
        <w:rPr>
          <w:rFonts w:ascii="Calibri" w:hAnsi="Calibri" w:cs="Calibri"/>
          <w:bCs/>
          <w:color w:val="000000" w:themeColor="text1"/>
          <w:sz w:val="24"/>
          <w:szCs w:val="24"/>
        </w:rPr>
        <w:t>个月以内，就原定审议事项重新召集基金份额持有人大会。重新召集的基金份额持有人大会到会者在权益登记日代表的有效的基金份额应不少于本基金在权益登记日基金总份额的三分之一（含三分之一）。</w:t>
      </w:r>
    </w:p>
    <w:p w14:paraId="74BCBAA7" w14:textId="39C2925F"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、通讯开会。通讯开会系指基金份额持有人将其对表决事项的投票以书面形式或</w:t>
      </w:r>
      <w:r w:rsidRPr="00777BCD">
        <w:rPr>
          <w:rFonts w:ascii="Calibri" w:hAnsi="Calibri" w:cs="Calibri"/>
          <w:color w:val="000000" w:themeColor="text1"/>
          <w:sz w:val="24"/>
          <w:szCs w:val="24"/>
        </w:rPr>
        <w:t>会议通知载明的其他形式</w:t>
      </w:r>
      <w:r w:rsidRPr="00777BCD">
        <w:rPr>
          <w:rFonts w:ascii="Calibri" w:hAnsi="Calibri" w:cs="Calibri"/>
          <w:bCs/>
          <w:color w:val="000000" w:themeColor="text1"/>
          <w:sz w:val="24"/>
          <w:szCs w:val="24"/>
        </w:rPr>
        <w:t>在表决截止日以前送达至召集人指定的地址</w:t>
      </w:r>
      <w:r w:rsidR="006F3CF0" w:rsidRPr="00777BCD">
        <w:rPr>
          <w:rFonts w:ascii="Calibri" w:hAnsi="Calibri" w:cs="Calibri"/>
          <w:bCs/>
          <w:color w:val="000000" w:themeColor="text1"/>
          <w:sz w:val="24"/>
          <w:szCs w:val="24"/>
        </w:rPr>
        <w:t>或系统</w:t>
      </w:r>
      <w:r w:rsidRPr="00777BCD">
        <w:rPr>
          <w:rFonts w:ascii="Calibri" w:hAnsi="Calibri" w:cs="Calibri"/>
          <w:bCs/>
          <w:color w:val="000000" w:themeColor="text1"/>
          <w:sz w:val="24"/>
          <w:szCs w:val="24"/>
        </w:rPr>
        <w:t>。通讯开会应以书面方式或会议通知载明的其他形式进行表决。</w:t>
      </w:r>
    </w:p>
    <w:p w14:paraId="07517C07"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在同时符合以下条件时，通讯开会的方式视为有效：</w:t>
      </w:r>
    </w:p>
    <w:p w14:paraId="5C0FC69F"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lastRenderedPageBreak/>
        <w:t>（</w:t>
      </w:r>
      <w:r w:rsidRPr="00777BCD">
        <w:rPr>
          <w:rFonts w:ascii="Calibri" w:hAnsi="Calibri" w:cs="Calibri"/>
          <w:bCs/>
          <w:color w:val="000000" w:themeColor="text1"/>
          <w:sz w:val="24"/>
          <w:szCs w:val="24"/>
        </w:rPr>
        <w:t>1</w:t>
      </w:r>
      <w:r w:rsidRPr="00777BCD">
        <w:rPr>
          <w:rFonts w:ascii="Calibri" w:hAnsi="Calibri" w:cs="Calibri"/>
          <w:bCs/>
          <w:color w:val="000000" w:themeColor="text1"/>
          <w:sz w:val="24"/>
          <w:szCs w:val="24"/>
        </w:rPr>
        <w:t>）会议召集人按《基金合同》约定公布会议通知后，在</w:t>
      </w: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个工作日内连续公布相关提示性公告；</w:t>
      </w:r>
    </w:p>
    <w:p w14:paraId="6443B6CC"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召集人按基金合同约定通知基金托管人（如果基金托管人为召集人，则为基金管理人）到指定地点对表决意见的计票进行监督。会议召集人在基金托管人（如果基金托管人为召集人，则为基金管理人）和公证机关的监督下按照会议通知规定的方式收取基金份额持有人的表决意见；基金托管人或基金管理人经通知不参加收取表决意见的，不影响表决效力；</w:t>
      </w:r>
    </w:p>
    <w:p w14:paraId="14C8A5AD" w14:textId="77777777" w:rsidR="007149DF" w:rsidRPr="00777BCD" w:rsidRDefault="00284640">
      <w:pPr>
        <w:ind w:firstLine="54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3</w:t>
      </w:r>
      <w:r w:rsidRPr="00777BCD">
        <w:rPr>
          <w:rFonts w:ascii="Calibri" w:hAnsi="Calibri" w:cs="Calibri"/>
          <w:bCs/>
          <w:color w:val="000000" w:themeColor="text1"/>
          <w:sz w:val="24"/>
          <w:szCs w:val="24"/>
        </w:rPr>
        <w:t>）本人直接出具表决意见或授权他人代表出具表决意见的，基金份额持有人所持有的基金份额不小于在权益登记日基金总份额的二分之一（含二分之一）；若本人直接出具表决意见或授权他人代表出具表决意见的基金份额持有人所持有的基金份额小于在权益登记日基金总份额的二分之一，召集人可以在原公告的基金份额持有人大会召开时间的</w:t>
      </w:r>
      <w:r w:rsidRPr="00777BCD">
        <w:rPr>
          <w:rFonts w:ascii="Calibri" w:hAnsi="Calibri" w:cs="Calibri"/>
          <w:bCs/>
          <w:color w:val="000000" w:themeColor="text1"/>
          <w:sz w:val="24"/>
          <w:szCs w:val="24"/>
        </w:rPr>
        <w:t>3</w:t>
      </w:r>
      <w:r w:rsidRPr="00777BCD">
        <w:rPr>
          <w:rFonts w:ascii="Calibri" w:hAnsi="Calibri" w:cs="Calibri"/>
          <w:bCs/>
          <w:color w:val="000000" w:themeColor="text1"/>
          <w:sz w:val="24"/>
          <w:szCs w:val="24"/>
        </w:rPr>
        <w:t>个月以后、</w:t>
      </w:r>
      <w:r w:rsidRPr="00777BCD">
        <w:rPr>
          <w:rFonts w:ascii="Calibri" w:hAnsi="Calibri" w:cs="Calibri"/>
          <w:bCs/>
          <w:color w:val="000000" w:themeColor="text1"/>
          <w:sz w:val="24"/>
          <w:szCs w:val="24"/>
        </w:rPr>
        <w:t>6</w:t>
      </w:r>
      <w:r w:rsidRPr="00777BCD">
        <w:rPr>
          <w:rFonts w:ascii="Calibri" w:hAnsi="Calibri" w:cs="Calibri"/>
          <w:bCs/>
          <w:color w:val="000000" w:themeColor="text1"/>
          <w:sz w:val="24"/>
          <w:szCs w:val="24"/>
        </w:rPr>
        <w:t>个月以内，就原定审议事项重新召集基金份额持有人大会。重新召集的基金份额持有人大会应当有代表三分之一以上（含三分之一）基金份额的持有人直接出具表决意见或授权他人代表出具表决意见；</w:t>
      </w:r>
    </w:p>
    <w:p w14:paraId="70889119"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4</w:t>
      </w:r>
      <w:r w:rsidRPr="00777BCD">
        <w:rPr>
          <w:rFonts w:ascii="Calibri" w:hAnsi="Calibri" w:cs="Calibri"/>
          <w:bCs/>
          <w:color w:val="000000" w:themeColor="text1"/>
          <w:sz w:val="24"/>
          <w:szCs w:val="24"/>
        </w:rPr>
        <w:t>）上述第（</w:t>
      </w:r>
      <w:r w:rsidRPr="00777BCD">
        <w:rPr>
          <w:rFonts w:ascii="Calibri" w:hAnsi="Calibri" w:cs="Calibri"/>
          <w:bCs/>
          <w:color w:val="000000" w:themeColor="text1"/>
          <w:sz w:val="24"/>
          <w:szCs w:val="24"/>
        </w:rPr>
        <w:t>3</w:t>
      </w:r>
      <w:r w:rsidRPr="00777BCD">
        <w:rPr>
          <w:rFonts w:ascii="Calibri" w:hAnsi="Calibri" w:cs="Calibri"/>
          <w:bCs/>
          <w:color w:val="000000" w:themeColor="text1"/>
          <w:sz w:val="24"/>
          <w:szCs w:val="24"/>
        </w:rPr>
        <w:t>）项中直接出具表决意见的基金份额持有人或受托代表他人出具表决意见的代理人，同时提交的持有基金份额的凭证、受托出具表决意见的代理人出具的委托人持有基金份额的凭证及委托人的代理投票授权委托证明符合法律法规、《基金合同》和会议通知的规定，并与基金登记机构记录相符。</w:t>
      </w:r>
    </w:p>
    <w:p w14:paraId="42334F36"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3</w:t>
      </w:r>
      <w:r w:rsidRPr="00777BCD">
        <w:rPr>
          <w:rFonts w:ascii="Calibri" w:hAnsi="Calibri" w:cs="Calibri"/>
          <w:bCs/>
          <w:color w:val="000000" w:themeColor="text1"/>
          <w:sz w:val="24"/>
          <w:szCs w:val="24"/>
        </w:rPr>
        <w:t>、在法律法规或监管机构允许的情况下，</w:t>
      </w:r>
      <w:r w:rsidRPr="00777BCD">
        <w:rPr>
          <w:rFonts w:ascii="Calibri" w:hAnsi="Calibri" w:cs="Calibri"/>
          <w:bCs/>
          <w:color w:val="000000" w:themeColor="text1"/>
          <w:sz w:val="24"/>
        </w:rPr>
        <w:t>本基金的基金份额持有人亦可采用其他书面或非书面方式授权其代理人出席基金份额持有人大会并行使表决权，具体方式在会议通知中列明</w:t>
      </w:r>
      <w:r w:rsidRPr="00777BCD">
        <w:rPr>
          <w:rFonts w:ascii="Calibri" w:hAnsi="Calibri" w:cs="Calibri"/>
          <w:bCs/>
          <w:color w:val="000000" w:themeColor="text1"/>
          <w:sz w:val="24"/>
          <w:szCs w:val="24"/>
        </w:rPr>
        <w:t>。</w:t>
      </w:r>
    </w:p>
    <w:p w14:paraId="4572B072"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4</w:t>
      </w:r>
      <w:r w:rsidRPr="00777BCD">
        <w:rPr>
          <w:rFonts w:ascii="Calibri" w:hAnsi="Calibri" w:cs="Calibri"/>
          <w:bCs/>
          <w:color w:val="000000" w:themeColor="text1"/>
          <w:sz w:val="24"/>
          <w:szCs w:val="24"/>
        </w:rPr>
        <w:t>、在法律法规和监管机关允许的情况下，本基金亦可采用其他非现场方式或者以非现场方式与现场方式相结合的方式召开基金份额持有人大会，会议程序比照现场开会和通讯方式开会的程序进行。</w:t>
      </w:r>
      <w:r w:rsidRPr="00777BCD">
        <w:rPr>
          <w:rFonts w:ascii="Calibri" w:hAnsi="Calibri" w:cs="Calibri"/>
          <w:bCs/>
          <w:color w:val="000000" w:themeColor="text1"/>
          <w:sz w:val="24"/>
        </w:rPr>
        <w:t>基金份额持有人可以采用书面、网络、电话、短信或其他方式进行表决，具体方式由会议召集人确定并在会议通知中列明。</w:t>
      </w:r>
    </w:p>
    <w:p w14:paraId="5BE7D97B" w14:textId="77777777" w:rsidR="007149DF" w:rsidRPr="00777BCD" w:rsidRDefault="007149DF">
      <w:pPr>
        <w:ind w:firstLine="480"/>
        <w:rPr>
          <w:rFonts w:ascii="Calibri" w:hAnsi="Calibri" w:cs="Calibri"/>
          <w:bCs/>
          <w:color w:val="000000" w:themeColor="text1"/>
          <w:sz w:val="24"/>
          <w:szCs w:val="24"/>
        </w:rPr>
      </w:pPr>
    </w:p>
    <w:p w14:paraId="688F3C3E" w14:textId="77777777" w:rsidR="007149DF" w:rsidRPr="00777BCD" w:rsidRDefault="00284640">
      <w:pPr>
        <w:ind w:firstLine="480"/>
        <w:rPr>
          <w:rFonts w:ascii="Calibri" w:hAnsi="Calibri" w:cs="Calibri"/>
          <w:bCs/>
          <w:color w:val="000000" w:themeColor="text1"/>
          <w:sz w:val="24"/>
          <w:szCs w:val="24"/>
        </w:rPr>
      </w:pPr>
      <w:bookmarkStart w:id="208" w:name="_Toc15641224"/>
      <w:bookmarkStart w:id="209" w:name="_Toc79392588"/>
      <w:bookmarkStart w:id="210" w:name="_Toc57530247"/>
      <w:r w:rsidRPr="00777BCD">
        <w:rPr>
          <w:rFonts w:ascii="Calibri" w:hAnsi="Calibri" w:cs="Calibri"/>
          <w:bCs/>
          <w:color w:val="000000" w:themeColor="text1"/>
          <w:sz w:val="24"/>
          <w:szCs w:val="24"/>
        </w:rPr>
        <w:lastRenderedPageBreak/>
        <w:t>五、议事内容与程序</w:t>
      </w:r>
      <w:bookmarkEnd w:id="208"/>
      <w:bookmarkEnd w:id="209"/>
      <w:bookmarkEnd w:id="210"/>
    </w:p>
    <w:p w14:paraId="5A06FA54"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1</w:t>
      </w:r>
      <w:r w:rsidRPr="00777BCD">
        <w:rPr>
          <w:rFonts w:ascii="Calibri" w:hAnsi="Calibri" w:cs="Calibri"/>
          <w:bCs/>
          <w:color w:val="000000" w:themeColor="text1"/>
          <w:sz w:val="24"/>
          <w:szCs w:val="24"/>
        </w:rPr>
        <w:t>、议事内容及提案权</w:t>
      </w:r>
    </w:p>
    <w:p w14:paraId="58BE4041"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15B3F25B"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基金份额持有人大会的召集人发出召集会议的通知后，对原有提案的修改应当在基金份额持有人大会召开前及时公告。</w:t>
      </w:r>
    </w:p>
    <w:p w14:paraId="33654063"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基金份额持有人大会不得对未事先公告的议事内容进行表决。</w:t>
      </w:r>
    </w:p>
    <w:p w14:paraId="4E63D9B3"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、议事程序</w:t>
      </w:r>
    </w:p>
    <w:p w14:paraId="67A389A8"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w:t>
      </w:r>
      <w:r w:rsidRPr="00777BCD">
        <w:rPr>
          <w:rFonts w:ascii="Calibri" w:hAnsi="Calibri" w:cs="Calibri"/>
          <w:bCs/>
          <w:color w:val="000000" w:themeColor="text1"/>
          <w:sz w:val="24"/>
          <w:szCs w:val="24"/>
        </w:rPr>
        <w:t>）现场开会</w:t>
      </w:r>
    </w:p>
    <w:p w14:paraId="07E4E5E0"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二分之一以上（含二分之一）选举产生一名基金份额持有人作为该次基金份额持有人大会的主持人。基金管理人和基金托管人拒不出席或主持基金份额持有人大会，不影响基金份额持有人大会</w:t>
      </w:r>
      <w:proofErr w:type="gramStart"/>
      <w:r w:rsidRPr="00777BCD">
        <w:rPr>
          <w:rFonts w:ascii="Calibri" w:hAnsi="Calibri" w:cs="Calibri"/>
          <w:bCs/>
          <w:color w:val="000000" w:themeColor="text1"/>
          <w:sz w:val="24"/>
          <w:szCs w:val="24"/>
        </w:rPr>
        <w:t>作出</w:t>
      </w:r>
      <w:proofErr w:type="gramEnd"/>
      <w:r w:rsidRPr="00777BCD">
        <w:rPr>
          <w:rFonts w:ascii="Calibri" w:hAnsi="Calibri" w:cs="Calibri"/>
          <w:bCs/>
          <w:color w:val="000000" w:themeColor="text1"/>
          <w:sz w:val="24"/>
          <w:szCs w:val="24"/>
        </w:rPr>
        <w:t>的决议的效力。</w:t>
      </w:r>
    </w:p>
    <w:p w14:paraId="73536ECE"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会议召集人应当制作出席会议人员的签名册。签名</w:t>
      </w:r>
      <w:proofErr w:type="gramStart"/>
      <w:r w:rsidRPr="00777BCD">
        <w:rPr>
          <w:rFonts w:ascii="Calibri" w:hAnsi="Calibri" w:cs="Calibri"/>
          <w:bCs/>
          <w:color w:val="000000" w:themeColor="text1"/>
          <w:sz w:val="24"/>
          <w:szCs w:val="24"/>
        </w:rPr>
        <w:t>册</w:t>
      </w:r>
      <w:proofErr w:type="gramEnd"/>
      <w:r w:rsidRPr="00777BCD">
        <w:rPr>
          <w:rFonts w:ascii="Calibri" w:hAnsi="Calibri" w:cs="Calibri"/>
          <w:bCs/>
          <w:color w:val="000000" w:themeColor="text1"/>
          <w:sz w:val="24"/>
          <w:szCs w:val="24"/>
        </w:rPr>
        <w:t>载明参加会议人员姓名（或单位名称）、身份证明文件号码、持有或代表有表决权的基金份额、委托人姓名（或单位名称）和联系方式等事项。</w:t>
      </w:r>
    </w:p>
    <w:p w14:paraId="62CECA06"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）通讯开会</w:t>
      </w:r>
    </w:p>
    <w:p w14:paraId="32292551"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在通讯开会的情况下，首先由召集人提前</w:t>
      </w:r>
      <w:r w:rsidRPr="00777BCD">
        <w:rPr>
          <w:rFonts w:ascii="Calibri" w:hAnsi="Calibri" w:cs="Calibri"/>
          <w:bCs/>
          <w:color w:val="000000" w:themeColor="text1"/>
          <w:sz w:val="24"/>
          <w:szCs w:val="24"/>
        </w:rPr>
        <w:t>30</w:t>
      </w:r>
      <w:r w:rsidRPr="00777BCD">
        <w:rPr>
          <w:rFonts w:ascii="Calibri" w:hAnsi="Calibri" w:cs="Calibri"/>
          <w:bCs/>
          <w:color w:val="000000" w:themeColor="text1"/>
          <w:sz w:val="24"/>
          <w:szCs w:val="24"/>
        </w:rPr>
        <w:t>日公布提案，在所通知的表决截止日期后</w:t>
      </w: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个工作日内在公证机关监督下由召集人统计全部有效表决，在公证机关监督下形成决议。</w:t>
      </w:r>
    </w:p>
    <w:p w14:paraId="6F8965CC" w14:textId="77777777" w:rsidR="007149DF" w:rsidRPr="00777BCD" w:rsidRDefault="007149DF">
      <w:pPr>
        <w:ind w:firstLine="480"/>
        <w:rPr>
          <w:rFonts w:ascii="Calibri" w:hAnsi="Calibri" w:cs="Calibri"/>
          <w:bCs/>
          <w:color w:val="000000" w:themeColor="text1"/>
          <w:sz w:val="24"/>
          <w:szCs w:val="24"/>
        </w:rPr>
      </w:pPr>
    </w:p>
    <w:p w14:paraId="051326FE" w14:textId="77777777" w:rsidR="007149DF" w:rsidRPr="00777BCD" w:rsidRDefault="00284640">
      <w:pPr>
        <w:ind w:firstLine="480"/>
        <w:rPr>
          <w:rFonts w:ascii="Calibri" w:hAnsi="Calibri" w:cs="Calibri"/>
          <w:bCs/>
          <w:color w:val="000000" w:themeColor="text1"/>
          <w:sz w:val="24"/>
          <w:szCs w:val="24"/>
        </w:rPr>
      </w:pPr>
      <w:bookmarkStart w:id="211" w:name="_Toc79392589"/>
      <w:bookmarkStart w:id="212" w:name="_Toc57530248"/>
      <w:bookmarkStart w:id="213" w:name="_Toc15641225"/>
      <w:r w:rsidRPr="00777BCD">
        <w:rPr>
          <w:rFonts w:ascii="Calibri" w:hAnsi="Calibri" w:cs="Calibri"/>
          <w:bCs/>
          <w:color w:val="000000" w:themeColor="text1"/>
          <w:sz w:val="24"/>
          <w:szCs w:val="24"/>
        </w:rPr>
        <w:t>六、表决</w:t>
      </w:r>
      <w:bookmarkEnd w:id="211"/>
      <w:bookmarkEnd w:id="212"/>
      <w:bookmarkEnd w:id="213"/>
    </w:p>
    <w:p w14:paraId="4ACB96B2"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lastRenderedPageBreak/>
        <w:t>基金份额持有人所持每份基金份额有一票表决权。</w:t>
      </w:r>
    </w:p>
    <w:p w14:paraId="7F60FBE2"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基金份额持有人大会决议分为一般决议和特别决议：</w:t>
      </w:r>
    </w:p>
    <w:p w14:paraId="46AC0968"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1</w:t>
      </w:r>
      <w:r w:rsidRPr="00777BCD">
        <w:rPr>
          <w:rFonts w:ascii="Calibri" w:hAnsi="Calibri" w:cs="Calibri"/>
          <w:bCs/>
          <w:color w:val="000000" w:themeColor="text1"/>
          <w:sz w:val="24"/>
          <w:szCs w:val="24"/>
        </w:rPr>
        <w:t>、一般决议，一般决议须经参加大会的基金份额持有人或其代理人所持表决权的二分之一以上（含二分之一）通过方为有效；除下列第</w:t>
      </w: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项所规定的须以特别决议通过事项以外的其他事项均以一般决议的方式通过。</w:t>
      </w:r>
    </w:p>
    <w:p w14:paraId="50F1C1CF"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特别决议，特别决议应当经参加大会的基金份额持有人或其代理人所持表决权的三分之二以上（含三分之二）通过方可做出。除法律法规、中国证监会或《基金合同》另有规定外，转换基金运作方式、更换基金管理人或者基金托管人、终止《基金合同》、本基金与其他基金合并以特别决议通过方为有效。</w:t>
      </w:r>
    </w:p>
    <w:p w14:paraId="65A4F2AC"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基金份额持有人大会采取记名方式进行投票表决。</w:t>
      </w:r>
    </w:p>
    <w:p w14:paraId="03FE8D79"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采取通讯方式进行表决时，除非在计票时有充分的相反证据证明，否则提交符合会议通知中规定的确认投资者身份文件的表决视为有效出席的投资者，表面符合会议通知规定的表决意见视为有效表决，表决意见模糊不清或相互矛盾的视为弃权表决，但应当计入出具表决意见的基金份额持有人所代表的基金份额总数。</w:t>
      </w:r>
    </w:p>
    <w:p w14:paraId="57861E64"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基金份额持有人大会的各项提案或同一项提案内并列的各项议题应当分开审议、逐项表决。</w:t>
      </w:r>
    </w:p>
    <w:p w14:paraId="4F48CE73"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在符合上述规则的前提下，具体规则以召集人发布的基金份额持有人大会通知为准。</w:t>
      </w:r>
    </w:p>
    <w:p w14:paraId="3724EFBD" w14:textId="77777777" w:rsidR="007149DF" w:rsidRPr="00777BCD" w:rsidRDefault="007149DF">
      <w:pPr>
        <w:ind w:firstLine="480"/>
        <w:rPr>
          <w:rFonts w:ascii="Calibri" w:hAnsi="Calibri" w:cs="Calibri"/>
          <w:bCs/>
          <w:color w:val="000000" w:themeColor="text1"/>
          <w:sz w:val="24"/>
          <w:szCs w:val="24"/>
        </w:rPr>
      </w:pPr>
    </w:p>
    <w:p w14:paraId="1F0DF6F6" w14:textId="77777777" w:rsidR="007149DF" w:rsidRPr="00777BCD" w:rsidRDefault="00284640">
      <w:pPr>
        <w:ind w:firstLine="480"/>
        <w:rPr>
          <w:rFonts w:ascii="Calibri" w:hAnsi="Calibri" w:cs="Calibri"/>
          <w:bCs/>
          <w:color w:val="000000" w:themeColor="text1"/>
          <w:sz w:val="24"/>
          <w:szCs w:val="24"/>
        </w:rPr>
      </w:pPr>
      <w:bookmarkStart w:id="214" w:name="_Toc57530249"/>
      <w:bookmarkStart w:id="215" w:name="_Toc15641226"/>
      <w:bookmarkStart w:id="216" w:name="_Toc79392590"/>
      <w:r w:rsidRPr="00777BCD">
        <w:rPr>
          <w:rFonts w:ascii="Calibri" w:hAnsi="Calibri" w:cs="Calibri"/>
          <w:bCs/>
          <w:color w:val="000000" w:themeColor="text1"/>
          <w:sz w:val="24"/>
          <w:szCs w:val="24"/>
        </w:rPr>
        <w:t>七、计票</w:t>
      </w:r>
      <w:bookmarkEnd w:id="214"/>
      <w:bookmarkEnd w:id="215"/>
      <w:bookmarkEnd w:id="216"/>
    </w:p>
    <w:p w14:paraId="75C7F1E9"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1</w:t>
      </w:r>
      <w:r w:rsidRPr="00777BCD">
        <w:rPr>
          <w:rFonts w:ascii="Calibri" w:hAnsi="Calibri" w:cs="Calibri"/>
          <w:bCs/>
          <w:color w:val="000000" w:themeColor="text1"/>
          <w:sz w:val="24"/>
          <w:szCs w:val="24"/>
        </w:rPr>
        <w:t>、现场开会</w:t>
      </w:r>
    </w:p>
    <w:p w14:paraId="129880D7"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w:t>
      </w:r>
      <w:r w:rsidRPr="00777BCD">
        <w:rPr>
          <w:rFonts w:ascii="Calibri" w:hAnsi="Calibri" w:cs="Calibri"/>
          <w:bCs/>
          <w:color w:val="000000" w:themeColor="text1"/>
          <w:sz w:val="24"/>
          <w:szCs w:val="24"/>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w:t>
      </w:r>
      <w:proofErr w:type="gramStart"/>
      <w:r w:rsidRPr="00777BCD">
        <w:rPr>
          <w:rFonts w:ascii="Calibri" w:hAnsi="Calibri" w:cs="Calibri"/>
          <w:bCs/>
          <w:color w:val="000000" w:themeColor="text1"/>
          <w:sz w:val="24"/>
          <w:szCs w:val="24"/>
        </w:rPr>
        <w:t>或大会</w:t>
      </w:r>
      <w:proofErr w:type="gramEnd"/>
      <w:r w:rsidRPr="00777BCD">
        <w:rPr>
          <w:rFonts w:ascii="Calibri" w:hAnsi="Calibri" w:cs="Calibri"/>
          <w:bCs/>
          <w:color w:val="000000" w:themeColor="text1"/>
          <w:sz w:val="24"/>
          <w:szCs w:val="24"/>
        </w:rPr>
        <w:t>虽然由基金管理人或基金托管人召集，但是基金管理人或基金托管人未出席大会的，基金份额持有人大会的主持人应当在会议开始后宣布在出席会议的基金份额持有人和代理人中选举三名基金份额持有</w:t>
      </w:r>
      <w:r w:rsidRPr="00777BCD">
        <w:rPr>
          <w:rFonts w:ascii="Calibri" w:hAnsi="Calibri" w:cs="Calibri"/>
          <w:bCs/>
          <w:color w:val="000000" w:themeColor="text1"/>
          <w:sz w:val="24"/>
          <w:szCs w:val="24"/>
        </w:rPr>
        <w:lastRenderedPageBreak/>
        <w:t>人代表担任监票人。基金管理人或基金托管人不出席大会的，不影响计票的效力。</w:t>
      </w:r>
    </w:p>
    <w:p w14:paraId="7F93820E"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）监票人应当在基金份额持有人表决后立即进行清点并由大会主持人当场公布计票结果。</w:t>
      </w:r>
    </w:p>
    <w:p w14:paraId="58F15E00"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3</w:t>
      </w:r>
      <w:r w:rsidRPr="00777BCD">
        <w:rPr>
          <w:rFonts w:ascii="Calibri" w:hAnsi="Calibri" w:cs="Calibri"/>
          <w:bCs/>
          <w:color w:val="000000" w:themeColor="text1"/>
          <w:sz w:val="24"/>
          <w:szCs w:val="24"/>
        </w:rPr>
        <w:t>）如果会议主持人或基金份额持有人或代理人对于提交的表决结果有异议，可以在宣布表决结果后立即对所投票</w:t>
      </w:r>
      <w:proofErr w:type="gramStart"/>
      <w:r w:rsidRPr="00777BCD">
        <w:rPr>
          <w:rFonts w:ascii="Calibri" w:hAnsi="Calibri" w:cs="Calibri"/>
          <w:bCs/>
          <w:color w:val="000000" w:themeColor="text1"/>
          <w:sz w:val="24"/>
          <w:szCs w:val="24"/>
        </w:rPr>
        <w:t>数要求</w:t>
      </w:r>
      <w:proofErr w:type="gramEnd"/>
      <w:r w:rsidRPr="00777BCD">
        <w:rPr>
          <w:rFonts w:ascii="Calibri" w:hAnsi="Calibri" w:cs="Calibri"/>
          <w:bCs/>
          <w:color w:val="000000" w:themeColor="text1"/>
          <w:sz w:val="24"/>
          <w:szCs w:val="24"/>
        </w:rPr>
        <w:t>进行重新清点。监票人应当进行重新清点，重新清点以一次为限。重新清点后，大会主持人应当当场公布重新清点结果。</w:t>
      </w:r>
    </w:p>
    <w:p w14:paraId="3EB01D36"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4</w:t>
      </w:r>
      <w:r w:rsidRPr="00777BCD">
        <w:rPr>
          <w:rFonts w:ascii="Calibri" w:hAnsi="Calibri" w:cs="Calibri"/>
          <w:bCs/>
          <w:color w:val="000000" w:themeColor="text1"/>
          <w:sz w:val="24"/>
          <w:szCs w:val="24"/>
        </w:rPr>
        <w:t>）计票过程应由公证机关予以公证，基金管理人或基金托管人拒不出席大会的，不影响计票的效力。</w:t>
      </w:r>
    </w:p>
    <w:p w14:paraId="055D7A16"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、通讯开会</w:t>
      </w:r>
    </w:p>
    <w:p w14:paraId="6E214CD2"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在通讯开会的情况下，计票方式为：由大会召集人授权的两名监督员在基金托管人授权代表（若由基金托管人召集，则为基金管理人授权代表）的监督下进行计票，并由公证机关对其计票过程予以公证</w:t>
      </w:r>
      <w:bookmarkStart w:id="217" w:name="_Toc79392591"/>
      <w:bookmarkStart w:id="218" w:name="_Toc57530250"/>
      <w:bookmarkStart w:id="219" w:name="_Toc15641227"/>
      <w:r w:rsidRPr="00777BCD">
        <w:rPr>
          <w:rFonts w:ascii="Calibri" w:hAnsi="Calibri" w:cs="Calibri"/>
          <w:bCs/>
          <w:color w:val="000000" w:themeColor="text1"/>
          <w:sz w:val="24"/>
          <w:szCs w:val="24"/>
        </w:rPr>
        <w:t>。基金管理人或基金托管</w:t>
      </w:r>
      <w:proofErr w:type="gramStart"/>
      <w:r w:rsidRPr="00777BCD">
        <w:rPr>
          <w:rFonts w:ascii="Calibri" w:hAnsi="Calibri" w:cs="Calibri"/>
          <w:bCs/>
          <w:color w:val="000000" w:themeColor="text1"/>
          <w:sz w:val="24"/>
          <w:szCs w:val="24"/>
        </w:rPr>
        <w:t>人拒派</w:t>
      </w:r>
      <w:proofErr w:type="gramEnd"/>
      <w:r w:rsidRPr="00777BCD">
        <w:rPr>
          <w:rFonts w:ascii="Calibri" w:hAnsi="Calibri" w:cs="Calibri"/>
          <w:bCs/>
          <w:color w:val="000000" w:themeColor="text1"/>
          <w:sz w:val="24"/>
          <w:szCs w:val="24"/>
        </w:rPr>
        <w:t>代表对表决意见的计票进行监督的，不影响计票和表决结果。</w:t>
      </w:r>
    </w:p>
    <w:p w14:paraId="0E8D024A" w14:textId="77777777" w:rsidR="007149DF" w:rsidRPr="00777BCD" w:rsidRDefault="007149DF">
      <w:pPr>
        <w:ind w:firstLine="480"/>
        <w:rPr>
          <w:rFonts w:ascii="Calibri" w:hAnsi="Calibri" w:cs="Calibri"/>
          <w:bCs/>
          <w:color w:val="000000" w:themeColor="text1"/>
          <w:sz w:val="24"/>
          <w:szCs w:val="24"/>
        </w:rPr>
      </w:pPr>
    </w:p>
    <w:p w14:paraId="529D76DF"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八、生效与公告</w:t>
      </w:r>
      <w:bookmarkEnd w:id="217"/>
      <w:bookmarkEnd w:id="218"/>
      <w:bookmarkEnd w:id="219"/>
    </w:p>
    <w:p w14:paraId="7DE6265E"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基金份额持有人大会的决议，召集人应当自通过之日起</w:t>
      </w:r>
      <w:r w:rsidRPr="00777BCD">
        <w:rPr>
          <w:rFonts w:ascii="Calibri" w:hAnsi="Calibri" w:cs="Calibri"/>
          <w:bCs/>
          <w:color w:val="000000" w:themeColor="text1"/>
          <w:sz w:val="24"/>
          <w:szCs w:val="24"/>
        </w:rPr>
        <w:t>5</w:t>
      </w:r>
      <w:r w:rsidRPr="00777BCD">
        <w:rPr>
          <w:rFonts w:ascii="Calibri" w:hAnsi="Calibri" w:cs="Calibri"/>
          <w:bCs/>
          <w:color w:val="000000" w:themeColor="text1"/>
          <w:sz w:val="24"/>
          <w:szCs w:val="24"/>
        </w:rPr>
        <w:t>日内报中国证监会备案。</w:t>
      </w:r>
    </w:p>
    <w:p w14:paraId="015AF0CB"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基金份额持有人大会的决议自表决通过之日起生效。</w:t>
      </w:r>
    </w:p>
    <w:p w14:paraId="18D44CFA"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基金份额持有人大会决议自生效之日起</w:t>
      </w: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日内在规定媒介上公告。</w:t>
      </w:r>
      <w:bookmarkStart w:id="220" w:name="_Hlt88820702"/>
      <w:bookmarkEnd w:id="220"/>
      <w:r w:rsidRPr="00777BCD">
        <w:rPr>
          <w:rFonts w:ascii="Calibri" w:hAnsi="Calibri" w:cs="Calibri"/>
          <w:bCs/>
          <w:color w:val="000000" w:themeColor="text1"/>
          <w:sz w:val="24"/>
          <w:szCs w:val="24"/>
        </w:rPr>
        <w:t>如果采用通讯方式进行表决，在公告基金份额持有人大会决议时，必须将公证书全文、公证机构、公证员姓名等一同公告。</w:t>
      </w:r>
    </w:p>
    <w:p w14:paraId="2399D343"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基金管理人、基金托管人和基金份额持有人应当执行生效的基金份额持有人大会的决议。生效的基金份额持有人大会决议对全体基金份额持有人、基金管理人、基金托管人均有约束力。</w:t>
      </w:r>
    </w:p>
    <w:p w14:paraId="5F4A7868" w14:textId="77777777" w:rsidR="007149DF" w:rsidRPr="00777BCD" w:rsidRDefault="007149DF">
      <w:pPr>
        <w:ind w:firstLine="480"/>
        <w:rPr>
          <w:rFonts w:ascii="Calibri" w:hAnsi="Calibri" w:cs="Calibri"/>
          <w:bCs/>
          <w:color w:val="000000" w:themeColor="text1"/>
          <w:sz w:val="24"/>
          <w:szCs w:val="24"/>
        </w:rPr>
      </w:pPr>
    </w:p>
    <w:p w14:paraId="46FA25C7" w14:textId="77777777" w:rsidR="007149DF" w:rsidRPr="00777BCD" w:rsidRDefault="00284640">
      <w:pPr>
        <w:ind w:firstLine="480"/>
        <w:rPr>
          <w:rFonts w:ascii="Calibri" w:hAnsi="Calibri" w:cs="Calibri"/>
          <w:color w:val="000000" w:themeColor="text1"/>
          <w:sz w:val="24"/>
          <w:szCs w:val="24"/>
        </w:rPr>
      </w:pPr>
      <w:r w:rsidRPr="00777BCD">
        <w:rPr>
          <w:rFonts w:ascii="Calibri" w:hAnsi="Calibri" w:cs="Calibri"/>
          <w:color w:val="000000" w:themeColor="text1"/>
          <w:sz w:val="24"/>
          <w:szCs w:val="24"/>
        </w:rPr>
        <w:t>九、实施</w:t>
      </w:r>
      <w:proofErr w:type="gramStart"/>
      <w:r w:rsidRPr="00777BCD">
        <w:rPr>
          <w:rFonts w:ascii="Calibri" w:hAnsi="Calibri" w:cs="Calibri"/>
          <w:color w:val="000000" w:themeColor="text1"/>
          <w:sz w:val="24"/>
          <w:szCs w:val="24"/>
        </w:rPr>
        <w:t>侧袋机制</w:t>
      </w:r>
      <w:proofErr w:type="gramEnd"/>
      <w:r w:rsidRPr="00777BCD">
        <w:rPr>
          <w:rFonts w:ascii="Calibri" w:hAnsi="Calibri" w:cs="Calibri"/>
          <w:color w:val="000000" w:themeColor="text1"/>
          <w:sz w:val="24"/>
          <w:szCs w:val="24"/>
        </w:rPr>
        <w:t>期间基金份额持有人大会的特殊约定</w:t>
      </w:r>
    </w:p>
    <w:p w14:paraId="05882C59" w14:textId="77777777" w:rsidR="007149DF" w:rsidRPr="00777BCD" w:rsidRDefault="00284640">
      <w:pPr>
        <w:ind w:firstLine="480"/>
        <w:rPr>
          <w:rFonts w:ascii="Calibri" w:hAnsi="Calibri" w:cs="Calibri"/>
          <w:color w:val="000000" w:themeColor="text1"/>
          <w:sz w:val="24"/>
          <w:szCs w:val="24"/>
        </w:rPr>
      </w:pPr>
      <w:r w:rsidRPr="00777BCD">
        <w:rPr>
          <w:rFonts w:ascii="Calibri" w:hAnsi="Calibri" w:cs="Calibri"/>
          <w:color w:val="000000" w:themeColor="text1"/>
          <w:sz w:val="24"/>
          <w:szCs w:val="24"/>
        </w:rPr>
        <w:lastRenderedPageBreak/>
        <w:t>若本基金</w:t>
      </w:r>
      <w:proofErr w:type="gramStart"/>
      <w:r w:rsidRPr="00777BCD">
        <w:rPr>
          <w:rFonts w:ascii="Calibri" w:hAnsi="Calibri" w:cs="Calibri"/>
          <w:color w:val="000000" w:themeColor="text1"/>
          <w:sz w:val="24"/>
          <w:szCs w:val="24"/>
        </w:rPr>
        <w:t>实施侧袋机制</w:t>
      </w:r>
      <w:proofErr w:type="gramEnd"/>
      <w:r w:rsidRPr="00777BCD">
        <w:rPr>
          <w:rFonts w:ascii="Calibri" w:hAnsi="Calibri" w:cs="Calibri"/>
          <w:color w:val="000000" w:themeColor="text1"/>
          <w:sz w:val="24"/>
          <w:szCs w:val="24"/>
        </w:rPr>
        <w:t>，</w:t>
      </w:r>
      <w:proofErr w:type="gramStart"/>
      <w:r w:rsidRPr="00777BCD">
        <w:rPr>
          <w:rFonts w:ascii="Calibri" w:hAnsi="Calibri" w:cs="Calibri"/>
          <w:color w:val="000000" w:themeColor="text1"/>
          <w:sz w:val="24"/>
          <w:szCs w:val="24"/>
        </w:rPr>
        <w:t>则相关</w:t>
      </w:r>
      <w:proofErr w:type="gramEnd"/>
      <w:r w:rsidRPr="00777BCD">
        <w:rPr>
          <w:rFonts w:ascii="Calibri" w:hAnsi="Calibri" w:cs="Calibri"/>
          <w:color w:val="000000" w:themeColor="text1"/>
          <w:sz w:val="24"/>
          <w:szCs w:val="24"/>
        </w:rPr>
        <w:t>基金份额或表决权的比例</w:t>
      </w:r>
      <w:proofErr w:type="gramStart"/>
      <w:r w:rsidRPr="00777BCD">
        <w:rPr>
          <w:rFonts w:ascii="Calibri" w:hAnsi="Calibri" w:cs="Calibri"/>
          <w:color w:val="000000" w:themeColor="text1"/>
          <w:sz w:val="24"/>
          <w:szCs w:val="24"/>
        </w:rPr>
        <w:t>指主袋份额</w:t>
      </w:r>
      <w:proofErr w:type="gramEnd"/>
      <w:r w:rsidRPr="00777BCD">
        <w:rPr>
          <w:rFonts w:ascii="Calibri" w:hAnsi="Calibri" w:cs="Calibri"/>
          <w:color w:val="000000" w:themeColor="text1"/>
          <w:sz w:val="24"/>
          <w:szCs w:val="24"/>
        </w:rPr>
        <w:t>持有</w:t>
      </w:r>
      <w:proofErr w:type="gramStart"/>
      <w:r w:rsidRPr="00777BCD">
        <w:rPr>
          <w:rFonts w:ascii="Calibri" w:hAnsi="Calibri" w:cs="Calibri"/>
          <w:color w:val="000000" w:themeColor="text1"/>
          <w:sz w:val="24"/>
          <w:szCs w:val="24"/>
        </w:rPr>
        <w:t>人和侧袋份额</w:t>
      </w:r>
      <w:proofErr w:type="gramEnd"/>
      <w:r w:rsidRPr="00777BCD">
        <w:rPr>
          <w:rFonts w:ascii="Calibri" w:hAnsi="Calibri" w:cs="Calibri"/>
          <w:color w:val="000000" w:themeColor="text1"/>
          <w:sz w:val="24"/>
          <w:szCs w:val="24"/>
        </w:rPr>
        <w:t>持有人分别持有或代表的基金份额或表决权符合该等比例，但</w:t>
      </w:r>
      <w:proofErr w:type="gramStart"/>
      <w:r w:rsidRPr="00777BCD">
        <w:rPr>
          <w:rFonts w:ascii="Calibri" w:hAnsi="Calibri" w:cs="Calibri"/>
          <w:color w:val="000000" w:themeColor="text1"/>
          <w:sz w:val="24"/>
          <w:szCs w:val="24"/>
        </w:rPr>
        <w:t>若相关</w:t>
      </w:r>
      <w:proofErr w:type="gramEnd"/>
      <w:r w:rsidRPr="00777BCD">
        <w:rPr>
          <w:rFonts w:ascii="Calibri" w:hAnsi="Calibri" w:cs="Calibri"/>
          <w:color w:val="000000" w:themeColor="text1"/>
          <w:sz w:val="24"/>
          <w:szCs w:val="24"/>
        </w:rPr>
        <w:t>基金份额持有人大会召集和审议事项不</w:t>
      </w:r>
      <w:proofErr w:type="gramStart"/>
      <w:r w:rsidRPr="00777BCD">
        <w:rPr>
          <w:rFonts w:ascii="Calibri" w:hAnsi="Calibri" w:cs="Calibri"/>
          <w:color w:val="000000" w:themeColor="text1"/>
          <w:sz w:val="24"/>
          <w:szCs w:val="24"/>
        </w:rPr>
        <w:t>涉及侧袋账户</w:t>
      </w:r>
      <w:proofErr w:type="gramEnd"/>
      <w:r w:rsidRPr="00777BCD">
        <w:rPr>
          <w:rFonts w:ascii="Calibri" w:hAnsi="Calibri" w:cs="Calibri"/>
          <w:color w:val="000000" w:themeColor="text1"/>
          <w:sz w:val="24"/>
          <w:szCs w:val="24"/>
        </w:rPr>
        <w:t>的，则仅</w:t>
      </w:r>
      <w:proofErr w:type="gramStart"/>
      <w:r w:rsidRPr="00777BCD">
        <w:rPr>
          <w:rFonts w:ascii="Calibri" w:hAnsi="Calibri" w:cs="Calibri"/>
          <w:color w:val="000000" w:themeColor="text1"/>
          <w:sz w:val="24"/>
          <w:szCs w:val="24"/>
        </w:rPr>
        <w:t>指主袋份额</w:t>
      </w:r>
      <w:proofErr w:type="gramEnd"/>
      <w:r w:rsidRPr="00777BCD">
        <w:rPr>
          <w:rFonts w:ascii="Calibri" w:hAnsi="Calibri" w:cs="Calibri"/>
          <w:color w:val="000000" w:themeColor="text1"/>
          <w:sz w:val="24"/>
          <w:szCs w:val="24"/>
        </w:rPr>
        <w:t>持有人持有或代表的基金份额或表决权符合该等比例：</w:t>
      </w:r>
    </w:p>
    <w:p w14:paraId="5419F8C5" w14:textId="77777777" w:rsidR="007149DF" w:rsidRPr="00777BCD" w:rsidRDefault="00284640">
      <w:pPr>
        <w:ind w:firstLine="480"/>
        <w:rPr>
          <w:rFonts w:ascii="Calibri" w:hAnsi="Calibri" w:cs="Calibri"/>
          <w:color w:val="000000" w:themeColor="text1"/>
          <w:sz w:val="24"/>
          <w:szCs w:val="24"/>
        </w:rPr>
      </w:pPr>
      <w:r w:rsidRPr="00777BCD">
        <w:rPr>
          <w:rFonts w:ascii="Calibri" w:hAnsi="Calibri" w:cs="Calibri"/>
          <w:color w:val="000000" w:themeColor="text1"/>
          <w:sz w:val="24"/>
          <w:szCs w:val="24"/>
        </w:rPr>
        <w:t>1</w:t>
      </w:r>
      <w:r w:rsidRPr="00777BCD">
        <w:rPr>
          <w:rFonts w:ascii="Calibri" w:hAnsi="Calibri" w:cs="Calibri"/>
          <w:color w:val="000000" w:themeColor="text1"/>
          <w:sz w:val="24"/>
          <w:szCs w:val="24"/>
        </w:rPr>
        <w:t>、基金份额持有人行使提议权、召集权、提名权所需单独或合计代表相关基金份额</w:t>
      </w:r>
      <w:r w:rsidRPr="00777BCD">
        <w:rPr>
          <w:rFonts w:ascii="Calibri" w:hAnsi="Calibri" w:cs="Calibri"/>
          <w:color w:val="000000" w:themeColor="text1"/>
          <w:sz w:val="24"/>
          <w:szCs w:val="24"/>
        </w:rPr>
        <w:t>10%</w:t>
      </w:r>
      <w:r w:rsidRPr="00777BCD">
        <w:rPr>
          <w:rFonts w:ascii="Calibri" w:hAnsi="Calibri" w:cs="Calibri"/>
          <w:color w:val="000000" w:themeColor="text1"/>
          <w:sz w:val="24"/>
          <w:szCs w:val="24"/>
        </w:rPr>
        <w:t>以上（含</w:t>
      </w:r>
      <w:r w:rsidRPr="00777BCD">
        <w:rPr>
          <w:rFonts w:ascii="Calibri" w:hAnsi="Calibri" w:cs="Calibri"/>
          <w:color w:val="000000" w:themeColor="text1"/>
          <w:sz w:val="24"/>
          <w:szCs w:val="24"/>
        </w:rPr>
        <w:t>10%</w:t>
      </w:r>
      <w:r w:rsidRPr="00777BCD">
        <w:rPr>
          <w:rFonts w:ascii="Calibri" w:hAnsi="Calibri" w:cs="Calibri"/>
          <w:color w:val="000000" w:themeColor="text1"/>
          <w:sz w:val="24"/>
          <w:szCs w:val="24"/>
        </w:rPr>
        <w:t>）；</w:t>
      </w:r>
    </w:p>
    <w:p w14:paraId="03697E61" w14:textId="77777777" w:rsidR="007149DF" w:rsidRPr="00777BCD" w:rsidRDefault="00284640">
      <w:pPr>
        <w:ind w:firstLine="480"/>
        <w:rPr>
          <w:rFonts w:ascii="Calibri" w:hAnsi="Calibri" w:cs="Calibri"/>
          <w:color w:val="000000" w:themeColor="text1"/>
          <w:sz w:val="24"/>
          <w:szCs w:val="24"/>
        </w:rPr>
      </w:pPr>
      <w:r w:rsidRPr="00777BCD">
        <w:rPr>
          <w:rFonts w:ascii="Calibri" w:hAnsi="Calibri" w:cs="Calibri"/>
          <w:color w:val="000000" w:themeColor="text1"/>
          <w:sz w:val="24"/>
          <w:szCs w:val="24"/>
        </w:rPr>
        <w:t>2</w:t>
      </w:r>
      <w:r w:rsidRPr="00777BCD">
        <w:rPr>
          <w:rFonts w:ascii="Calibri" w:hAnsi="Calibri" w:cs="Calibri"/>
          <w:color w:val="000000" w:themeColor="text1"/>
          <w:sz w:val="24"/>
          <w:szCs w:val="24"/>
        </w:rPr>
        <w:t>、现场开会的到会者在权益登记日代表的基金份额不少于本基金在权益登记</w:t>
      </w:r>
      <w:proofErr w:type="gramStart"/>
      <w:r w:rsidRPr="00777BCD">
        <w:rPr>
          <w:rFonts w:ascii="Calibri" w:hAnsi="Calibri" w:cs="Calibri"/>
          <w:color w:val="000000" w:themeColor="text1"/>
          <w:sz w:val="24"/>
          <w:szCs w:val="24"/>
        </w:rPr>
        <w:t>日相关</w:t>
      </w:r>
      <w:proofErr w:type="gramEnd"/>
      <w:r w:rsidRPr="00777BCD">
        <w:rPr>
          <w:rFonts w:ascii="Calibri" w:hAnsi="Calibri" w:cs="Calibri"/>
          <w:color w:val="000000" w:themeColor="text1"/>
          <w:sz w:val="24"/>
          <w:szCs w:val="24"/>
        </w:rPr>
        <w:t>基金份额的二分之一（含二分之一）；</w:t>
      </w:r>
    </w:p>
    <w:p w14:paraId="0121F66E" w14:textId="77777777" w:rsidR="007149DF" w:rsidRPr="00777BCD" w:rsidRDefault="00284640">
      <w:pPr>
        <w:ind w:firstLine="480"/>
        <w:rPr>
          <w:rFonts w:ascii="Calibri" w:hAnsi="Calibri" w:cs="Calibri"/>
          <w:color w:val="000000" w:themeColor="text1"/>
          <w:sz w:val="24"/>
          <w:szCs w:val="24"/>
        </w:rPr>
      </w:pPr>
      <w:r w:rsidRPr="00777BCD">
        <w:rPr>
          <w:rFonts w:ascii="Calibri" w:hAnsi="Calibri" w:cs="Calibri"/>
          <w:color w:val="000000" w:themeColor="text1"/>
          <w:sz w:val="24"/>
          <w:szCs w:val="24"/>
        </w:rPr>
        <w:t>3</w:t>
      </w:r>
      <w:r w:rsidRPr="00777BCD">
        <w:rPr>
          <w:rFonts w:ascii="Calibri" w:hAnsi="Calibri" w:cs="Calibri"/>
          <w:color w:val="000000" w:themeColor="text1"/>
          <w:sz w:val="24"/>
          <w:szCs w:val="24"/>
        </w:rPr>
        <w:t>、通讯开会的直接出具表决意见或授权他人代表出具表决意见的基金份额持有人所持有的基金份额不小于在权益登记</w:t>
      </w:r>
      <w:proofErr w:type="gramStart"/>
      <w:r w:rsidRPr="00777BCD">
        <w:rPr>
          <w:rFonts w:ascii="Calibri" w:hAnsi="Calibri" w:cs="Calibri"/>
          <w:color w:val="000000" w:themeColor="text1"/>
          <w:sz w:val="24"/>
          <w:szCs w:val="24"/>
        </w:rPr>
        <w:t>日相关</w:t>
      </w:r>
      <w:proofErr w:type="gramEnd"/>
      <w:r w:rsidRPr="00777BCD">
        <w:rPr>
          <w:rFonts w:ascii="Calibri" w:hAnsi="Calibri" w:cs="Calibri"/>
          <w:color w:val="000000" w:themeColor="text1"/>
          <w:sz w:val="24"/>
          <w:szCs w:val="24"/>
        </w:rPr>
        <w:t>基金份额的二分之一（含二分之一）；</w:t>
      </w:r>
    </w:p>
    <w:p w14:paraId="0EF78D5D" w14:textId="77777777" w:rsidR="007149DF" w:rsidRPr="00777BCD" w:rsidRDefault="00284640">
      <w:pPr>
        <w:ind w:firstLine="480"/>
        <w:rPr>
          <w:rFonts w:ascii="Calibri" w:hAnsi="Calibri" w:cs="Calibri"/>
          <w:color w:val="000000" w:themeColor="text1"/>
          <w:sz w:val="24"/>
          <w:szCs w:val="24"/>
        </w:rPr>
      </w:pPr>
      <w:r w:rsidRPr="00777BCD">
        <w:rPr>
          <w:rFonts w:ascii="Calibri" w:hAnsi="Calibri" w:cs="Calibri"/>
          <w:color w:val="000000" w:themeColor="text1"/>
          <w:sz w:val="24"/>
          <w:szCs w:val="24"/>
        </w:rPr>
        <w:t>4</w:t>
      </w:r>
      <w:r w:rsidRPr="00777BCD">
        <w:rPr>
          <w:rFonts w:ascii="Calibri" w:hAnsi="Calibri" w:cs="Calibri"/>
          <w:color w:val="000000" w:themeColor="text1"/>
          <w:sz w:val="24"/>
          <w:szCs w:val="24"/>
        </w:rPr>
        <w:t>、</w:t>
      </w:r>
      <w:proofErr w:type="gramStart"/>
      <w:r w:rsidRPr="00777BCD">
        <w:rPr>
          <w:rFonts w:ascii="Calibri" w:hAnsi="Calibri" w:cs="Calibri"/>
          <w:color w:val="000000" w:themeColor="text1"/>
          <w:sz w:val="24"/>
          <w:szCs w:val="24"/>
        </w:rPr>
        <w:t>若参</w:t>
      </w:r>
      <w:proofErr w:type="gramEnd"/>
      <w:r w:rsidRPr="00777BCD">
        <w:rPr>
          <w:rFonts w:ascii="Calibri" w:hAnsi="Calibri" w:cs="Calibri"/>
          <w:color w:val="000000" w:themeColor="text1"/>
          <w:sz w:val="24"/>
          <w:szCs w:val="24"/>
        </w:rPr>
        <w:t>与基金份额持有人大会投票的基金份额持有人所持有的基金份额小于在权益登记</w:t>
      </w:r>
      <w:proofErr w:type="gramStart"/>
      <w:r w:rsidRPr="00777BCD">
        <w:rPr>
          <w:rFonts w:ascii="Calibri" w:hAnsi="Calibri" w:cs="Calibri"/>
          <w:color w:val="000000" w:themeColor="text1"/>
          <w:sz w:val="24"/>
          <w:szCs w:val="24"/>
        </w:rPr>
        <w:t>日相关</w:t>
      </w:r>
      <w:proofErr w:type="gramEnd"/>
      <w:r w:rsidRPr="00777BCD">
        <w:rPr>
          <w:rFonts w:ascii="Calibri" w:hAnsi="Calibri" w:cs="Calibri"/>
          <w:color w:val="000000" w:themeColor="text1"/>
          <w:sz w:val="24"/>
          <w:szCs w:val="24"/>
        </w:rPr>
        <w:t>基金份额的二分之一，召集人在原公告的基金份额持有人大会召开时间的</w:t>
      </w:r>
      <w:r w:rsidRPr="00777BCD">
        <w:rPr>
          <w:rFonts w:ascii="Calibri" w:hAnsi="Calibri" w:cs="Calibri"/>
          <w:color w:val="000000" w:themeColor="text1"/>
          <w:sz w:val="24"/>
          <w:szCs w:val="24"/>
        </w:rPr>
        <w:t>3</w:t>
      </w:r>
      <w:r w:rsidRPr="00777BCD">
        <w:rPr>
          <w:rFonts w:ascii="Calibri" w:hAnsi="Calibri" w:cs="Calibri"/>
          <w:color w:val="000000" w:themeColor="text1"/>
          <w:sz w:val="24"/>
          <w:szCs w:val="24"/>
        </w:rPr>
        <w:t>个月以后、</w:t>
      </w:r>
      <w:r w:rsidRPr="00777BCD">
        <w:rPr>
          <w:rFonts w:ascii="Calibri" w:hAnsi="Calibri" w:cs="Calibri"/>
          <w:color w:val="000000" w:themeColor="text1"/>
          <w:sz w:val="24"/>
          <w:szCs w:val="24"/>
        </w:rPr>
        <w:t>6</w:t>
      </w:r>
      <w:r w:rsidRPr="00777BCD">
        <w:rPr>
          <w:rFonts w:ascii="Calibri" w:hAnsi="Calibri" w:cs="Calibri"/>
          <w:color w:val="000000" w:themeColor="text1"/>
          <w:sz w:val="24"/>
          <w:szCs w:val="24"/>
        </w:rPr>
        <w:t>个月以内就原定审议事项重新召集的基金份额持有人大会应当有代表三分之一以上（含三分之一）相关基金份额的持有人参与或授权他人参与基金份额持有人大会投票；</w:t>
      </w:r>
    </w:p>
    <w:p w14:paraId="49F6F37D" w14:textId="77777777" w:rsidR="007149DF" w:rsidRPr="00777BCD" w:rsidRDefault="00284640">
      <w:pPr>
        <w:ind w:firstLine="480"/>
        <w:rPr>
          <w:rFonts w:ascii="Calibri" w:hAnsi="Calibri" w:cs="Calibri"/>
          <w:color w:val="000000" w:themeColor="text1"/>
          <w:sz w:val="24"/>
          <w:szCs w:val="24"/>
        </w:rPr>
      </w:pPr>
      <w:r w:rsidRPr="00777BCD">
        <w:rPr>
          <w:rFonts w:ascii="Calibri" w:hAnsi="Calibri" w:cs="Calibri"/>
          <w:color w:val="000000" w:themeColor="text1"/>
          <w:sz w:val="24"/>
          <w:szCs w:val="24"/>
        </w:rPr>
        <w:t>5</w:t>
      </w:r>
      <w:r w:rsidRPr="00777BCD">
        <w:rPr>
          <w:rFonts w:ascii="Calibri" w:hAnsi="Calibri" w:cs="Calibri"/>
          <w:color w:val="000000" w:themeColor="text1"/>
          <w:sz w:val="24"/>
          <w:szCs w:val="24"/>
        </w:rPr>
        <w:t>、现场开会由出席大会的基金份额持有人和代理人所持表决权的二分之一以上（含二分之一）选举产生一名基金份额持有人作为该次基金份额持有人大会的主持人；</w:t>
      </w:r>
    </w:p>
    <w:p w14:paraId="21E7EB6D" w14:textId="77777777" w:rsidR="007149DF" w:rsidRPr="00777BCD" w:rsidRDefault="00284640">
      <w:pPr>
        <w:ind w:firstLine="480"/>
        <w:rPr>
          <w:rFonts w:ascii="Calibri" w:hAnsi="Calibri" w:cs="Calibri"/>
          <w:color w:val="000000" w:themeColor="text1"/>
          <w:sz w:val="24"/>
          <w:szCs w:val="24"/>
        </w:rPr>
      </w:pPr>
      <w:r w:rsidRPr="00777BCD">
        <w:rPr>
          <w:rFonts w:ascii="Calibri" w:hAnsi="Calibri" w:cs="Calibri"/>
          <w:color w:val="000000" w:themeColor="text1"/>
          <w:sz w:val="24"/>
          <w:szCs w:val="24"/>
        </w:rPr>
        <w:t>6</w:t>
      </w:r>
      <w:r w:rsidRPr="00777BCD">
        <w:rPr>
          <w:rFonts w:ascii="Calibri" w:hAnsi="Calibri" w:cs="Calibri"/>
          <w:color w:val="000000" w:themeColor="text1"/>
          <w:sz w:val="24"/>
          <w:szCs w:val="24"/>
        </w:rPr>
        <w:t>、一般决议须经参加大会的基金份额持有人或其代理人所持表决权的二分之一以上（含二分之一）通过；</w:t>
      </w:r>
    </w:p>
    <w:p w14:paraId="593F6AB2" w14:textId="77777777" w:rsidR="007149DF" w:rsidRPr="00777BCD" w:rsidRDefault="00284640">
      <w:pPr>
        <w:ind w:firstLine="480"/>
        <w:rPr>
          <w:rFonts w:ascii="Calibri" w:hAnsi="Calibri" w:cs="Calibri"/>
          <w:color w:val="000000" w:themeColor="text1"/>
          <w:sz w:val="24"/>
          <w:szCs w:val="24"/>
        </w:rPr>
      </w:pPr>
      <w:r w:rsidRPr="00777BCD">
        <w:rPr>
          <w:rFonts w:ascii="Calibri" w:hAnsi="Calibri" w:cs="Calibri"/>
          <w:color w:val="000000" w:themeColor="text1"/>
          <w:sz w:val="24"/>
          <w:szCs w:val="24"/>
        </w:rPr>
        <w:t>7</w:t>
      </w:r>
      <w:r w:rsidRPr="00777BCD">
        <w:rPr>
          <w:rFonts w:ascii="Calibri" w:hAnsi="Calibri" w:cs="Calibri"/>
          <w:color w:val="000000" w:themeColor="text1"/>
          <w:sz w:val="24"/>
          <w:szCs w:val="24"/>
        </w:rPr>
        <w:t>、特别决议应当经参加大会的基金份额持有人或其代理人所持表决权的三分之二以上（含三分之二）通过。</w:t>
      </w:r>
    </w:p>
    <w:p w14:paraId="70ED0E0C" w14:textId="37166A20" w:rsidR="007149DF" w:rsidRPr="00777BCD" w:rsidRDefault="00284640">
      <w:pPr>
        <w:ind w:firstLine="480"/>
        <w:rPr>
          <w:rFonts w:ascii="Calibri" w:hAnsi="Calibri" w:cs="Calibri"/>
          <w:bCs/>
          <w:color w:val="000000" w:themeColor="text1"/>
          <w:sz w:val="24"/>
          <w:szCs w:val="24"/>
        </w:rPr>
      </w:pPr>
      <w:proofErr w:type="gramStart"/>
      <w:r w:rsidRPr="00777BCD">
        <w:rPr>
          <w:rFonts w:ascii="Calibri" w:hAnsi="Calibri" w:cs="Calibri"/>
          <w:bCs/>
          <w:color w:val="000000" w:themeColor="text1"/>
          <w:sz w:val="24"/>
          <w:szCs w:val="24"/>
        </w:rPr>
        <w:t>侧袋机制</w:t>
      </w:r>
      <w:proofErr w:type="gramEnd"/>
      <w:r w:rsidRPr="00777BCD">
        <w:rPr>
          <w:rFonts w:ascii="Calibri" w:hAnsi="Calibri" w:cs="Calibri"/>
          <w:bCs/>
          <w:color w:val="000000" w:themeColor="text1"/>
          <w:sz w:val="24"/>
          <w:szCs w:val="24"/>
        </w:rPr>
        <w:t>实施期间，基金份额持有人大会审议事项</w:t>
      </w:r>
      <w:proofErr w:type="gramStart"/>
      <w:r w:rsidRPr="00777BCD">
        <w:rPr>
          <w:rFonts w:ascii="Calibri" w:hAnsi="Calibri" w:cs="Calibri"/>
          <w:bCs/>
          <w:color w:val="000000" w:themeColor="text1"/>
          <w:sz w:val="24"/>
          <w:szCs w:val="24"/>
        </w:rPr>
        <w:t>涉及主袋账户</w:t>
      </w:r>
      <w:proofErr w:type="gramEnd"/>
      <w:r w:rsidRPr="00777BCD">
        <w:rPr>
          <w:rFonts w:ascii="Calibri" w:hAnsi="Calibri" w:cs="Calibri"/>
          <w:bCs/>
          <w:color w:val="000000" w:themeColor="text1"/>
          <w:sz w:val="24"/>
          <w:szCs w:val="24"/>
        </w:rPr>
        <w:t>和</w:t>
      </w:r>
      <w:proofErr w:type="gramStart"/>
      <w:r w:rsidRPr="00777BCD">
        <w:rPr>
          <w:rFonts w:ascii="Calibri" w:hAnsi="Calibri" w:cs="Calibri"/>
          <w:bCs/>
          <w:color w:val="000000" w:themeColor="text1"/>
          <w:sz w:val="24"/>
          <w:szCs w:val="24"/>
        </w:rPr>
        <w:t>侧袋</w:t>
      </w:r>
      <w:proofErr w:type="gramEnd"/>
      <w:r w:rsidRPr="00777BCD">
        <w:rPr>
          <w:rFonts w:ascii="Calibri" w:hAnsi="Calibri" w:cs="Calibri"/>
          <w:bCs/>
          <w:color w:val="000000" w:themeColor="text1"/>
          <w:sz w:val="24"/>
          <w:szCs w:val="24"/>
        </w:rPr>
        <w:t>账户的，应分别</w:t>
      </w:r>
      <w:proofErr w:type="gramStart"/>
      <w:r w:rsidRPr="00777BCD">
        <w:rPr>
          <w:rFonts w:ascii="Calibri" w:hAnsi="Calibri" w:cs="Calibri"/>
          <w:bCs/>
          <w:color w:val="000000" w:themeColor="text1"/>
          <w:sz w:val="24"/>
          <w:szCs w:val="24"/>
        </w:rPr>
        <w:t>由主袋账户</w:t>
      </w:r>
      <w:proofErr w:type="gramEnd"/>
      <w:r w:rsidRPr="00777BCD">
        <w:rPr>
          <w:rFonts w:ascii="Calibri" w:hAnsi="Calibri" w:cs="Calibri"/>
          <w:bCs/>
          <w:color w:val="000000" w:themeColor="text1"/>
          <w:sz w:val="24"/>
          <w:szCs w:val="24"/>
        </w:rPr>
        <w:t>、</w:t>
      </w:r>
      <w:proofErr w:type="gramStart"/>
      <w:r w:rsidRPr="00777BCD">
        <w:rPr>
          <w:rFonts w:ascii="Calibri" w:hAnsi="Calibri" w:cs="Calibri"/>
          <w:bCs/>
          <w:color w:val="000000" w:themeColor="text1"/>
          <w:sz w:val="24"/>
          <w:szCs w:val="24"/>
        </w:rPr>
        <w:t>侧袋账户</w:t>
      </w:r>
      <w:proofErr w:type="gramEnd"/>
      <w:r w:rsidRPr="00777BCD">
        <w:rPr>
          <w:rFonts w:ascii="Calibri" w:hAnsi="Calibri" w:cs="Calibri"/>
          <w:bCs/>
          <w:color w:val="000000" w:themeColor="text1"/>
          <w:sz w:val="24"/>
          <w:szCs w:val="24"/>
        </w:rPr>
        <w:t>的基金份额持有人进行表决，</w:t>
      </w:r>
      <w:r w:rsidRPr="00777BCD">
        <w:rPr>
          <w:rFonts w:ascii="Calibri" w:hAnsi="Calibri" w:cs="Calibri"/>
          <w:color w:val="000000" w:themeColor="text1"/>
          <w:sz w:val="24"/>
          <w:szCs w:val="24"/>
        </w:rPr>
        <w:t>同</w:t>
      </w:r>
      <w:proofErr w:type="gramStart"/>
      <w:r w:rsidRPr="00777BCD">
        <w:rPr>
          <w:rFonts w:ascii="Calibri" w:hAnsi="Calibri" w:cs="Calibri"/>
          <w:color w:val="000000" w:themeColor="text1"/>
          <w:sz w:val="24"/>
          <w:szCs w:val="24"/>
        </w:rPr>
        <w:t>一主侧袋账户</w:t>
      </w:r>
      <w:proofErr w:type="gramEnd"/>
      <w:r w:rsidRPr="00777BCD">
        <w:rPr>
          <w:rFonts w:ascii="Calibri" w:hAnsi="Calibri" w:cs="Calibri"/>
          <w:color w:val="000000" w:themeColor="text1"/>
          <w:sz w:val="24"/>
          <w:szCs w:val="24"/>
        </w:rPr>
        <w:t>内的每份基金份额具有平等的表决权。</w:t>
      </w:r>
      <w:r w:rsidRPr="00777BCD">
        <w:rPr>
          <w:rFonts w:ascii="Calibri" w:hAnsi="Calibri" w:cs="Calibri"/>
          <w:bCs/>
          <w:color w:val="000000" w:themeColor="text1"/>
          <w:sz w:val="24"/>
          <w:szCs w:val="24"/>
        </w:rPr>
        <w:t>表决事项未</w:t>
      </w:r>
      <w:proofErr w:type="gramStart"/>
      <w:r w:rsidRPr="00777BCD">
        <w:rPr>
          <w:rFonts w:ascii="Calibri" w:hAnsi="Calibri" w:cs="Calibri"/>
          <w:bCs/>
          <w:color w:val="000000" w:themeColor="text1"/>
          <w:sz w:val="24"/>
          <w:szCs w:val="24"/>
        </w:rPr>
        <w:t>涉及侧袋账户</w:t>
      </w:r>
      <w:proofErr w:type="gramEnd"/>
      <w:r w:rsidRPr="00777BCD">
        <w:rPr>
          <w:rFonts w:ascii="Calibri" w:hAnsi="Calibri" w:cs="Calibri"/>
          <w:bCs/>
          <w:color w:val="000000" w:themeColor="text1"/>
          <w:sz w:val="24"/>
          <w:szCs w:val="24"/>
        </w:rPr>
        <w:t>的，</w:t>
      </w:r>
      <w:proofErr w:type="gramStart"/>
      <w:r w:rsidRPr="00777BCD">
        <w:rPr>
          <w:rFonts w:ascii="Calibri" w:hAnsi="Calibri" w:cs="Calibri"/>
          <w:bCs/>
          <w:color w:val="000000" w:themeColor="text1"/>
          <w:sz w:val="24"/>
          <w:szCs w:val="24"/>
        </w:rPr>
        <w:t>侧袋账户</w:t>
      </w:r>
      <w:proofErr w:type="gramEnd"/>
      <w:r w:rsidRPr="00777BCD">
        <w:rPr>
          <w:rFonts w:ascii="Calibri" w:hAnsi="Calibri" w:cs="Calibri"/>
          <w:bCs/>
          <w:color w:val="000000" w:themeColor="text1"/>
          <w:sz w:val="24"/>
          <w:szCs w:val="24"/>
        </w:rPr>
        <w:t>份额无表决权。</w:t>
      </w:r>
    </w:p>
    <w:p w14:paraId="5140C4F7" w14:textId="77777777" w:rsidR="007149DF" w:rsidRPr="00777BCD" w:rsidRDefault="00284640">
      <w:pPr>
        <w:ind w:firstLine="480"/>
        <w:rPr>
          <w:rFonts w:ascii="Calibri" w:hAnsi="Calibri" w:cs="Calibri"/>
          <w:color w:val="000000" w:themeColor="text1"/>
          <w:sz w:val="24"/>
          <w:szCs w:val="24"/>
        </w:rPr>
      </w:pPr>
      <w:proofErr w:type="gramStart"/>
      <w:r w:rsidRPr="00777BCD">
        <w:rPr>
          <w:rFonts w:ascii="Calibri" w:hAnsi="Calibri" w:cs="Calibri"/>
          <w:bCs/>
          <w:color w:val="000000" w:themeColor="text1"/>
          <w:sz w:val="24"/>
          <w:szCs w:val="24"/>
        </w:rPr>
        <w:t>侧袋机制</w:t>
      </w:r>
      <w:proofErr w:type="gramEnd"/>
      <w:r w:rsidRPr="00777BCD">
        <w:rPr>
          <w:rFonts w:ascii="Calibri" w:hAnsi="Calibri" w:cs="Calibri"/>
          <w:bCs/>
          <w:color w:val="000000" w:themeColor="text1"/>
          <w:sz w:val="24"/>
          <w:szCs w:val="24"/>
        </w:rPr>
        <w:t>实施期间，关于基金份额持有人大会的相关规定以本节特殊约定内容为准，本节没有规定的适用本部分的相关规定。</w:t>
      </w:r>
    </w:p>
    <w:p w14:paraId="3CD11312" w14:textId="77777777" w:rsidR="007149DF" w:rsidRPr="00777BCD" w:rsidRDefault="007149DF">
      <w:pPr>
        <w:ind w:firstLine="480"/>
        <w:rPr>
          <w:rFonts w:ascii="Calibri" w:hAnsi="Calibri" w:cs="Calibri"/>
          <w:color w:val="000000" w:themeColor="text1"/>
          <w:sz w:val="24"/>
          <w:szCs w:val="24"/>
        </w:rPr>
      </w:pPr>
    </w:p>
    <w:p w14:paraId="3BD55D20" w14:textId="7A85F768"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szCs w:val="24"/>
        </w:rPr>
        <w:t>十、本部</w:t>
      </w:r>
      <w:proofErr w:type="gramStart"/>
      <w:r w:rsidRPr="00777BCD">
        <w:rPr>
          <w:rFonts w:ascii="Calibri" w:hAnsi="Calibri" w:cs="Calibri"/>
          <w:bCs/>
          <w:color w:val="000000" w:themeColor="text1"/>
          <w:sz w:val="24"/>
          <w:szCs w:val="24"/>
        </w:rPr>
        <w:t>分关于</w:t>
      </w:r>
      <w:proofErr w:type="gramEnd"/>
      <w:r w:rsidRPr="00777BCD">
        <w:rPr>
          <w:rFonts w:ascii="Calibri" w:hAnsi="Calibri" w:cs="Calibri"/>
          <w:bCs/>
          <w:color w:val="000000" w:themeColor="text1"/>
          <w:sz w:val="24"/>
          <w:szCs w:val="24"/>
        </w:rPr>
        <w:t>基金份额持有人大会召开事由、召开条件、议事程序、表决条件等规定，凡是直接引用法律法规或监管规则的部分，如将来法律法规或监管规则修改导致相关内容被取消或变更的，基金管理人经与基金托管人协商一致并提前公告后，可直接对本部分内容</w:t>
      </w:r>
      <w:r w:rsidRPr="00777BCD">
        <w:rPr>
          <w:rFonts w:ascii="Calibri" w:hAnsi="Calibri" w:cs="Calibri"/>
          <w:bCs/>
          <w:color w:val="000000" w:themeColor="text1"/>
          <w:sz w:val="24"/>
        </w:rPr>
        <w:t>按照法律法规或监管规则的规定</w:t>
      </w:r>
      <w:r w:rsidRPr="00777BCD">
        <w:rPr>
          <w:rFonts w:ascii="Calibri" w:hAnsi="Calibri" w:cs="Calibri"/>
          <w:bCs/>
          <w:color w:val="000000" w:themeColor="text1"/>
          <w:sz w:val="24"/>
          <w:szCs w:val="24"/>
        </w:rPr>
        <w:t>进行修改和调整，无需召开基金份额持有人大会审议。</w:t>
      </w:r>
    </w:p>
    <w:p w14:paraId="03626853" w14:textId="77777777" w:rsidR="007149DF" w:rsidRPr="00777BCD" w:rsidRDefault="00284640">
      <w:pPr>
        <w:pStyle w:val="11"/>
        <w:ind w:firstLine="480"/>
        <w:jc w:val="center"/>
        <w:rPr>
          <w:rFonts w:ascii="Calibri" w:hAnsi="Calibri" w:cs="Calibri"/>
          <w:color w:val="000000" w:themeColor="text1"/>
        </w:rPr>
      </w:pPr>
      <w:bookmarkStart w:id="221" w:name="_Toc3963"/>
      <w:bookmarkStart w:id="222" w:name="_Toc1745"/>
      <w:bookmarkEnd w:id="195"/>
      <w:r w:rsidRPr="00777BCD">
        <w:rPr>
          <w:rFonts w:ascii="Calibri" w:hAnsi="Calibri" w:cs="Calibri"/>
          <w:b w:val="0"/>
          <w:bCs/>
          <w:color w:val="000000" w:themeColor="text1"/>
        </w:rPr>
        <w:br w:type="page"/>
      </w:r>
      <w:bookmarkStart w:id="223" w:name="_Toc123112237"/>
      <w:bookmarkStart w:id="224" w:name="_Toc16164"/>
      <w:bookmarkStart w:id="225" w:name="_Toc141703889"/>
      <w:bookmarkStart w:id="226" w:name="_Toc725"/>
      <w:bookmarkStart w:id="227" w:name="_Toc18206"/>
      <w:bookmarkStart w:id="228" w:name="_Toc123051455"/>
      <w:bookmarkStart w:id="229" w:name="_Toc6820028"/>
      <w:bookmarkStart w:id="230" w:name="_Toc21735"/>
      <w:bookmarkStart w:id="231" w:name="_Toc31821"/>
      <w:bookmarkStart w:id="232" w:name="_Toc3080"/>
      <w:bookmarkStart w:id="233" w:name="_Toc10398"/>
      <w:bookmarkStart w:id="234" w:name="_Toc123102456"/>
      <w:bookmarkStart w:id="235" w:name="_Toc98560355"/>
      <w:bookmarkStart w:id="236" w:name="_Toc3572"/>
      <w:bookmarkStart w:id="237" w:name="_Toc139991739"/>
      <w:bookmarkStart w:id="238" w:name="_Toc160725907"/>
      <w:bookmarkStart w:id="239" w:name="_Hlk47899168"/>
      <w:bookmarkEnd w:id="194"/>
      <w:r w:rsidRPr="00777BCD">
        <w:rPr>
          <w:rFonts w:ascii="Calibri" w:hAnsi="Calibri" w:cs="Calibri"/>
          <w:color w:val="000000" w:themeColor="text1"/>
          <w:sz w:val="30"/>
        </w:rPr>
        <w:lastRenderedPageBreak/>
        <w:t>第九部分</w:t>
      </w:r>
      <w:r w:rsidRPr="00777BCD">
        <w:rPr>
          <w:rFonts w:ascii="Calibri" w:hAnsi="Calibri" w:cs="Calibri"/>
          <w:color w:val="000000" w:themeColor="text1"/>
          <w:sz w:val="30"/>
        </w:rPr>
        <w:t xml:space="preserve">  </w:t>
      </w:r>
      <w:r w:rsidRPr="00777BCD">
        <w:rPr>
          <w:rFonts w:ascii="Calibri" w:hAnsi="Calibri" w:cs="Calibri"/>
          <w:color w:val="000000" w:themeColor="text1"/>
          <w:sz w:val="30"/>
        </w:rPr>
        <w:t>基金管理人、基金托管人的更换条件和程序</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148E781" w14:textId="77777777" w:rsidR="007149DF" w:rsidRPr="00777BCD" w:rsidRDefault="007149DF">
      <w:pPr>
        <w:ind w:firstLine="480"/>
        <w:rPr>
          <w:rFonts w:ascii="Calibri" w:hAnsi="Calibri" w:cs="Calibri"/>
          <w:bCs/>
          <w:color w:val="000000" w:themeColor="text1"/>
          <w:sz w:val="24"/>
        </w:rPr>
      </w:pPr>
      <w:bookmarkStart w:id="240" w:name="_Toc57530252"/>
      <w:bookmarkStart w:id="241" w:name="_Toc79392593"/>
      <w:bookmarkStart w:id="242" w:name="_Toc15118245"/>
    </w:p>
    <w:p w14:paraId="14E6384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一、基金管理人和基金托管人职责终止的情形</w:t>
      </w:r>
      <w:bookmarkEnd w:id="240"/>
      <w:bookmarkEnd w:id="241"/>
      <w:bookmarkEnd w:id="242"/>
    </w:p>
    <w:p w14:paraId="5F09AB5F" w14:textId="77777777" w:rsidR="007149DF" w:rsidRPr="00777BCD" w:rsidRDefault="00284640">
      <w:pPr>
        <w:ind w:firstLine="480"/>
        <w:rPr>
          <w:rFonts w:ascii="Calibri" w:hAnsi="Calibri" w:cs="Calibri"/>
          <w:bCs/>
          <w:color w:val="000000" w:themeColor="text1"/>
          <w:sz w:val="24"/>
        </w:rPr>
      </w:pPr>
      <w:bookmarkStart w:id="243" w:name="_Toc22005971"/>
      <w:r w:rsidRPr="00777BCD">
        <w:rPr>
          <w:rFonts w:ascii="Calibri" w:hAnsi="Calibri" w:cs="Calibri"/>
          <w:bCs/>
          <w:color w:val="000000" w:themeColor="text1"/>
          <w:sz w:val="24"/>
        </w:rPr>
        <w:t>（一）</w:t>
      </w:r>
      <w:r w:rsidRPr="00777BCD">
        <w:rPr>
          <w:rFonts w:ascii="Calibri" w:hAnsi="Calibri" w:cs="Calibri"/>
          <w:bCs/>
          <w:color w:val="000000" w:themeColor="text1"/>
          <w:sz w:val="24"/>
        </w:rPr>
        <w:tab/>
      </w:r>
      <w:r w:rsidRPr="00777BCD">
        <w:rPr>
          <w:rFonts w:ascii="Calibri" w:hAnsi="Calibri" w:cs="Calibri"/>
          <w:bCs/>
          <w:color w:val="000000" w:themeColor="text1"/>
          <w:sz w:val="24"/>
        </w:rPr>
        <w:t>基金管理人职责终止的情形</w:t>
      </w:r>
      <w:bookmarkEnd w:id="243"/>
    </w:p>
    <w:p w14:paraId="1100427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有下列情形之一的，基金管理人职责终止：</w:t>
      </w:r>
    </w:p>
    <w:p w14:paraId="520298B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、被依法取消基金管理资格；</w:t>
      </w:r>
    </w:p>
    <w:p w14:paraId="48AA456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、被基金份额持有人大会解任；</w:t>
      </w:r>
    </w:p>
    <w:p w14:paraId="473569D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、依法解散、被依法撤销或被依法宣告破产；</w:t>
      </w:r>
    </w:p>
    <w:p w14:paraId="672A4CB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、法律法规及中国证监会规定的和《基金合同》约定的其他情形。</w:t>
      </w:r>
    </w:p>
    <w:p w14:paraId="5CCF2DF3" w14:textId="77777777" w:rsidR="007149DF" w:rsidRPr="00777BCD" w:rsidRDefault="00284640">
      <w:pPr>
        <w:ind w:firstLine="480"/>
        <w:rPr>
          <w:rFonts w:ascii="Calibri" w:hAnsi="Calibri" w:cs="Calibri"/>
          <w:bCs/>
          <w:color w:val="000000" w:themeColor="text1"/>
          <w:sz w:val="24"/>
        </w:rPr>
      </w:pPr>
      <w:bookmarkStart w:id="244" w:name="_Toc22005972"/>
      <w:r w:rsidRPr="00777BCD">
        <w:rPr>
          <w:rFonts w:ascii="Calibri" w:hAnsi="Calibri" w:cs="Calibri"/>
          <w:bCs/>
          <w:color w:val="000000" w:themeColor="text1"/>
          <w:sz w:val="24"/>
        </w:rPr>
        <w:t>（二）</w:t>
      </w:r>
      <w:r w:rsidRPr="00777BCD">
        <w:rPr>
          <w:rFonts w:ascii="Calibri" w:hAnsi="Calibri" w:cs="Calibri"/>
          <w:bCs/>
          <w:color w:val="000000" w:themeColor="text1"/>
          <w:sz w:val="24"/>
        </w:rPr>
        <w:tab/>
      </w:r>
      <w:r w:rsidRPr="00777BCD">
        <w:rPr>
          <w:rFonts w:ascii="Calibri" w:hAnsi="Calibri" w:cs="Calibri"/>
          <w:bCs/>
          <w:color w:val="000000" w:themeColor="text1"/>
          <w:sz w:val="24"/>
        </w:rPr>
        <w:t>基金托管人职责终止的情形</w:t>
      </w:r>
      <w:bookmarkEnd w:id="244"/>
    </w:p>
    <w:p w14:paraId="1322B91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有下列情形之一的，基金托管人职责终止：</w:t>
      </w:r>
    </w:p>
    <w:p w14:paraId="3622895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、被依法取消基金托管资格；</w:t>
      </w:r>
    </w:p>
    <w:p w14:paraId="65FB58A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、被基金份额持有人大会解任；</w:t>
      </w:r>
    </w:p>
    <w:p w14:paraId="768498D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、依法解散、被依法撤销或被依法宣告破产；</w:t>
      </w:r>
    </w:p>
    <w:p w14:paraId="57E772D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、法律法规及中国证监会规定的和《基金合同》约定的其他情形。</w:t>
      </w:r>
    </w:p>
    <w:p w14:paraId="652CEDE1" w14:textId="77777777" w:rsidR="007149DF" w:rsidRPr="00777BCD" w:rsidRDefault="007149DF">
      <w:pPr>
        <w:ind w:firstLine="480"/>
        <w:rPr>
          <w:rFonts w:ascii="Calibri" w:hAnsi="Calibri" w:cs="Calibri"/>
          <w:bCs/>
          <w:color w:val="000000" w:themeColor="text1"/>
          <w:sz w:val="24"/>
        </w:rPr>
      </w:pPr>
    </w:p>
    <w:p w14:paraId="07AEB9CB" w14:textId="77777777" w:rsidR="007149DF" w:rsidRPr="00777BCD" w:rsidRDefault="00284640">
      <w:pPr>
        <w:ind w:firstLine="480"/>
        <w:rPr>
          <w:rFonts w:ascii="Calibri" w:hAnsi="Calibri" w:cs="Calibri"/>
          <w:bCs/>
          <w:color w:val="000000" w:themeColor="text1"/>
          <w:sz w:val="24"/>
        </w:rPr>
      </w:pPr>
      <w:bookmarkStart w:id="245" w:name="_Toc79392594"/>
      <w:bookmarkStart w:id="246" w:name="_Toc57530253"/>
      <w:bookmarkStart w:id="247" w:name="_Toc15118246"/>
      <w:r w:rsidRPr="00777BCD">
        <w:rPr>
          <w:rFonts w:ascii="Calibri" w:hAnsi="Calibri" w:cs="Calibri"/>
          <w:bCs/>
          <w:color w:val="000000" w:themeColor="text1"/>
          <w:sz w:val="24"/>
        </w:rPr>
        <w:t>二、基金管理人和基金托管人的更换程序</w:t>
      </w:r>
      <w:bookmarkEnd w:id="245"/>
      <w:bookmarkEnd w:id="246"/>
      <w:bookmarkEnd w:id="247"/>
    </w:p>
    <w:p w14:paraId="551A472F" w14:textId="77777777" w:rsidR="007149DF" w:rsidRPr="00777BCD" w:rsidRDefault="00284640">
      <w:pPr>
        <w:ind w:firstLine="480"/>
        <w:rPr>
          <w:rFonts w:ascii="Calibri" w:hAnsi="Calibri" w:cs="Calibri"/>
          <w:bCs/>
          <w:color w:val="000000" w:themeColor="text1"/>
          <w:sz w:val="24"/>
        </w:rPr>
      </w:pPr>
      <w:bookmarkStart w:id="248" w:name="_Toc22005974"/>
      <w:r w:rsidRPr="00777BCD">
        <w:rPr>
          <w:rFonts w:ascii="Calibri" w:hAnsi="Calibri" w:cs="Calibri"/>
          <w:bCs/>
          <w:color w:val="000000" w:themeColor="text1"/>
          <w:sz w:val="24"/>
        </w:rPr>
        <w:t>（一）</w:t>
      </w:r>
      <w:r w:rsidRPr="00777BCD">
        <w:rPr>
          <w:rFonts w:ascii="Calibri" w:hAnsi="Calibri" w:cs="Calibri"/>
          <w:bCs/>
          <w:color w:val="000000" w:themeColor="text1"/>
          <w:sz w:val="24"/>
        </w:rPr>
        <w:tab/>
      </w:r>
      <w:r w:rsidRPr="00777BCD">
        <w:rPr>
          <w:rFonts w:ascii="Calibri" w:hAnsi="Calibri" w:cs="Calibri"/>
          <w:bCs/>
          <w:color w:val="000000" w:themeColor="text1"/>
          <w:sz w:val="24"/>
        </w:rPr>
        <w:t>基金管理人的更换程序</w:t>
      </w:r>
      <w:bookmarkEnd w:id="248"/>
    </w:p>
    <w:p w14:paraId="6C29B6E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、提名：</w:t>
      </w:r>
      <w:proofErr w:type="gramStart"/>
      <w:r w:rsidRPr="00777BCD">
        <w:rPr>
          <w:rFonts w:ascii="Calibri" w:hAnsi="Calibri" w:cs="Calibri"/>
          <w:bCs/>
          <w:color w:val="000000" w:themeColor="text1"/>
          <w:sz w:val="24"/>
        </w:rPr>
        <w:t>新任基金</w:t>
      </w:r>
      <w:proofErr w:type="gramEnd"/>
      <w:r w:rsidRPr="00777BCD">
        <w:rPr>
          <w:rFonts w:ascii="Calibri" w:hAnsi="Calibri" w:cs="Calibri"/>
          <w:bCs/>
          <w:color w:val="000000" w:themeColor="text1"/>
          <w:sz w:val="24"/>
        </w:rPr>
        <w:t>管理人由基金托管人或由单独或合计持有</w:t>
      </w:r>
      <w:r w:rsidRPr="00777BCD">
        <w:rPr>
          <w:rFonts w:ascii="Calibri" w:hAnsi="Calibri" w:cs="Calibri"/>
          <w:bCs/>
          <w:color w:val="000000" w:themeColor="text1"/>
          <w:sz w:val="24"/>
        </w:rPr>
        <w:t>10%</w:t>
      </w:r>
      <w:r w:rsidRPr="00777BCD">
        <w:rPr>
          <w:rFonts w:ascii="Calibri" w:hAnsi="Calibri" w:cs="Calibri"/>
          <w:bCs/>
          <w:color w:val="000000" w:themeColor="text1"/>
          <w:sz w:val="24"/>
        </w:rPr>
        <w:t>以上（含</w:t>
      </w:r>
      <w:r w:rsidRPr="00777BCD">
        <w:rPr>
          <w:rFonts w:ascii="Calibri" w:hAnsi="Calibri" w:cs="Calibri"/>
          <w:bCs/>
          <w:color w:val="000000" w:themeColor="text1"/>
          <w:sz w:val="24"/>
        </w:rPr>
        <w:t>10%</w:t>
      </w:r>
      <w:r w:rsidRPr="00777BCD">
        <w:rPr>
          <w:rFonts w:ascii="Calibri" w:hAnsi="Calibri" w:cs="Calibri"/>
          <w:bCs/>
          <w:color w:val="000000" w:themeColor="text1"/>
          <w:sz w:val="24"/>
        </w:rPr>
        <w:t>）基金份额的基金份额持有人提名；</w:t>
      </w:r>
    </w:p>
    <w:p w14:paraId="1759C9A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、决议：基金份额持有人大会在基金管理人职责终止后</w:t>
      </w:r>
      <w:r w:rsidRPr="00777BCD">
        <w:rPr>
          <w:rFonts w:ascii="Calibri" w:hAnsi="Calibri" w:cs="Calibri"/>
          <w:bCs/>
          <w:color w:val="000000" w:themeColor="text1"/>
          <w:sz w:val="24"/>
        </w:rPr>
        <w:t>6</w:t>
      </w:r>
      <w:r w:rsidRPr="00777BCD">
        <w:rPr>
          <w:rFonts w:ascii="Calibri" w:hAnsi="Calibri" w:cs="Calibri"/>
          <w:bCs/>
          <w:color w:val="000000" w:themeColor="text1"/>
          <w:sz w:val="24"/>
        </w:rPr>
        <w:t>个月内对被提名的基金管理人形成决议，该决议需经参加大会的基金份额持有人所持表决权的三分之二以上（含三分之二）表决通过，决议自表决通过之日起生效，</w:t>
      </w:r>
      <w:proofErr w:type="gramStart"/>
      <w:r w:rsidRPr="00777BCD">
        <w:rPr>
          <w:rFonts w:ascii="Calibri" w:hAnsi="Calibri" w:cs="Calibri"/>
          <w:bCs/>
          <w:color w:val="000000" w:themeColor="text1"/>
          <w:sz w:val="24"/>
        </w:rPr>
        <w:t>新任基金</w:t>
      </w:r>
      <w:proofErr w:type="gramEnd"/>
      <w:r w:rsidRPr="00777BCD">
        <w:rPr>
          <w:rFonts w:ascii="Calibri" w:hAnsi="Calibri" w:cs="Calibri"/>
          <w:bCs/>
          <w:color w:val="000000" w:themeColor="text1"/>
          <w:sz w:val="24"/>
        </w:rPr>
        <w:t>管理人应当符合法律法规及中国证监会规定的资格条件；</w:t>
      </w:r>
    </w:p>
    <w:p w14:paraId="6A99E58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、临时基金管理人：</w:t>
      </w:r>
      <w:proofErr w:type="gramStart"/>
      <w:r w:rsidRPr="00777BCD">
        <w:rPr>
          <w:rFonts w:ascii="Calibri" w:hAnsi="Calibri" w:cs="Calibri"/>
          <w:bCs/>
          <w:color w:val="000000" w:themeColor="text1"/>
          <w:sz w:val="24"/>
        </w:rPr>
        <w:t>新任基金</w:t>
      </w:r>
      <w:proofErr w:type="gramEnd"/>
      <w:r w:rsidRPr="00777BCD">
        <w:rPr>
          <w:rFonts w:ascii="Calibri" w:hAnsi="Calibri" w:cs="Calibri"/>
          <w:bCs/>
          <w:color w:val="000000" w:themeColor="text1"/>
          <w:sz w:val="24"/>
        </w:rPr>
        <w:t>管理人产生之前，由中国证监会指定临时基金管理人；</w:t>
      </w:r>
    </w:p>
    <w:p w14:paraId="2D067DE6"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、备案：基金份额持有人大会更换基金管理人的决议须报中国证监会备案；</w:t>
      </w:r>
    </w:p>
    <w:p w14:paraId="6D18B9F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5</w:t>
      </w:r>
      <w:r w:rsidRPr="00777BCD">
        <w:rPr>
          <w:rFonts w:ascii="Calibri" w:hAnsi="Calibri" w:cs="Calibri"/>
          <w:bCs/>
          <w:color w:val="000000" w:themeColor="text1"/>
          <w:sz w:val="24"/>
        </w:rPr>
        <w:t>、公告：基金管理人更换后，由基金托管人在基金份额持有人大会更换基金管理人的决议生效后</w:t>
      </w:r>
      <w:r w:rsidRPr="00777BCD">
        <w:rPr>
          <w:rFonts w:ascii="Calibri" w:hAnsi="Calibri" w:cs="Calibri"/>
          <w:bCs/>
          <w:color w:val="000000" w:themeColor="text1"/>
          <w:sz w:val="24"/>
        </w:rPr>
        <w:t>2</w:t>
      </w:r>
      <w:r w:rsidRPr="00777BCD">
        <w:rPr>
          <w:rFonts w:ascii="Calibri" w:hAnsi="Calibri" w:cs="Calibri"/>
          <w:bCs/>
          <w:color w:val="000000" w:themeColor="text1"/>
          <w:sz w:val="24"/>
        </w:rPr>
        <w:t>日内在规定媒介公告；</w:t>
      </w:r>
    </w:p>
    <w:p w14:paraId="68A2472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6</w:t>
      </w:r>
      <w:r w:rsidRPr="00777BCD">
        <w:rPr>
          <w:rFonts w:ascii="Calibri" w:hAnsi="Calibri" w:cs="Calibri"/>
          <w:bCs/>
          <w:color w:val="000000" w:themeColor="text1"/>
          <w:sz w:val="24"/>
        </w:rPr>
        <w:t>、交接：基金管理人职责终止的，基金管理人应妥善保管基金管理业务资料，及时办理基金管理业务的移交手续，临时基金管理人或</w:t>
      </w:r>
      <w:proofErr w:type="gramStart"/>
      <w:r w:rsidRPr="00777BCD">
        <w:rPr>
          <w:rFonts w:ascii="Calibri" w:hAnsi="Calibri" w:cs="Calibri"/>
          <w:bCs/>
          <w:color w:val="000000" w:themeColor="text1"/>
          <w:sz w:val="24"/>
        </w:rPr>
        <w:t>新任基金</w:t>
      </w:r>
      <w:proofErr w:type="gramEnd"/>
      <w:r w:rsidRPr="00777BCD">
        <w:rPr>
          <w:rFonts w:ascii="Calibri" w:hAnsi="Calibri" w:cs="Calibri"/>
          <w:bCs/>
          <w:color w:val="000000" w:themeColor="text1"/>
          <w:sz w:val="24"/>
        </w:rPr>
        <w:t>管理人应及时接收。</w:t>
      </w:r>
      <w:proofErr w:type="gramStart"/>
      <w:r w:rsidRPr="00777BCD">
        <w:rPr>
          <w:rFonts w:ascii="Calibri" w:hAnsi="Calibri" w:cs="Calibri"/>
          <w:bCs/>
          <w:color w:val="000000" w:themeColor="text1"/>
          <w:sz w:val="24"/>
        </w:rPr>
        <w:t>新任基金</w:t>
      </w:r>
      <w:proofErr w:type="gramEnd"/>
      <w:r w:rsidRPr="00777BCD">
        <w:rPr>
          <w:rFonts w:ascii="Calibri" w:hAnsi="Calibri" w:cs="Calibri"/>
          <w:bCs/>
          <w:color w:val="000000" w:themeColor="text1"/>
          <w:sz w:val="24"/>
        </w:rPr>
        <w:t>管理人或临时基金管理人应与基金托管人核对基金资产总值和净值；</w:t>
      </w:r>
    </w:p>
    <w:p w14:paraId="348FFBD5" w14:textId="6F4DF6F1"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7</w:t>
      </w:r>
      <w:r w:rsidRPr="00777BCD">
        <w:rPr>
          <w:rFonts w:ascii="Calibri" w:hAnsi="Calibri" w:cs="Calibri"/>
          <w:bCs/>
          <w:color w:val="000000" w:themeColor="text1"/>
          <w:sz w:val="24"/>
        </w:rPr>
        <w:t>、审计：基金管理人职责终止的，应当按照法律法规规定聘请会计师事务所对基金财产进行审计，并将审计结果予以公告，同时报中国证监会备案，审计费用从基金财产中列支；</w:t>
      </w:r>
    </w:p>
    <w:p w14:paraId="12BCE65C" w14:textId="65ABD94B"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8</w:t>
      </w:r>
      <w:r w:rsidRPr="00777BCD">
        <w:rPr>
          <w:rFonts w:ascii="Calibri" w:hAnsi="Calibri" w:cs="Calibri"/>
          <w:bCs/>
          <w:color w:val="000000" w:themeColor="text1"/>
          <w:sz w:val="24"/>
        </w:rPr>
        <w:t>、基金名称变更：基金管理人更换后，如果原任或</w:t>
      </w:r>
      <w:proofErr w:type="gramStart"/>
      <w:r w:rsidRPr="00777BCD">
        <w:rPr>
          <w:rFonts w:ascii="Calibri" w:hAnsi="Calibri" w:cs="Calibri"/>
          <w:bCs/>
          <w:color w:val="000000" w:themeColor="text1"/>
          <w:sz w:val="24"/>
        </w:rPr>
        <w:t>新任基金</w:t>
      </w:r>
      <w:proofErr w:type="gramEnd"/>
      <w:r w:rsidRPr="00777BCD">
        <w:rPr>
          <w:rFonts w:ascii="Calibri" w:hAnsi="Calibri" w:cs="Calibri"/>
          <w:bCs/>
          <w:color w:val="000000" w:themeColor="text1"/>
          <w:sz w:val="24"/>
        </w:rPr>
        <w:t>管理人要求，应按其要求替换或删除基金名称中与</w:t>
      </w:r>
      <w:proofErr w:type="gramStart"/>
      <w:r w:rsidRPr="00777BCD">
        <w:rPr>
          <w:rFonts w:ascii="Calibri" w:hAnsi="Calibri" w:cs="Calibri"/>
          <w:bCs/>
          <w:color w:val="000000" w:themeColor="text1"/>
          <w:sz w:val="24"/>
        </w:rPr>
        <w:t>原基金</w:t>
      </w:r>
      <w:proofErr w:type="gramEnd"/>
      <w:r w:rsidRPr="00777BCD">
        <w:rPr>
          <w:rFonts w:ascii="Calibri" w:hAnsi="Calibri" w:cs="Calibri"/>
          <w:bCs/>
          <w:color w:val="000000" w:themeColor="text1"/>
          <w:sz w:val="24"/>
        </w:rPr>
        <w:t>管理人有关的名称字样。</w:t>
      </w:r>
    </w:p>
    <w:p w14:paraId="73DE11F0" w14:textId="77777777" w:rsidR="007149DF" w:rsidRPr="00777BCD" w:rsidRDefault="00284640">
      <w:pPr>
        <w:ind w:firstLine="480"/>
        <w:rPr>
          <w:rFonts w:ascii="Calibri" w:hAnsi="Calibri" w:cs="Calibri"/>
          <w:bCs/>
          <w:color w:val="000000" w:themeColor="text1"/>
          <w:sz w:val="24"/>
        </w:rPr>
      </w:pPr>
      <w:bookmarkStart w:id="249" w:name="_Toc22005975"/>
      <w:r w:rsidRPr="00777BCD">
        <w:rPr>
          <w:rFonts w:ascii="Calibri" w:hAnsi="Calibri" w:cs="Calibri"/>
          <w:bCs/>
          <w:color w:val="000000" w:themeColor="text1"/>
          <w:sz w:val="24"/>
        </w:rPr>
        <w:t>（二）</w:t>
      </w:r>
      <w:r w:rsidRPr="00777BCD">
        <w:rPr>
          <w:rFonts w:ascii="Calibri" w:hAnsi="Calibri" w:cs="Calibri"/>
          <w:bCs/>
          <w:color w:val="000000" w:themeColor="text1"/>
          <w:sz w:val="24"/>
        </w:rPr>
        <w:tab/>
      </w:r>
      <w:r w:rsidRPr="00777BCD">
        <w:rPr>
          <w:rFonts w:ascii="Calibri" w:hAnsi="Calibri" w:cs="Calibri"/>
          <w:bCs/>
          <w:color w:val="000000" w:themeColor="text1"/>
          <w:sz w:val="24"/>
        </w:rPr>
        <w:t>基金托管人的更换程序</w:t>
      </w:r>
      <w:bookmarkEnd w:id="249"/>
    </w:p>
    <w:p w14:paraId="29631F1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、提名：</w:t>
      </w:r>
      <w:proofErr w:type="gramStart"/>
      <w:r w:rsidRPr="00777BCD">
        <w:rPr>
          <w:rFonts w:ascii="Calibri" w:hAnsi="Calibri" w:cs="Calibri"/>
          <w:bCs/>
          <w:color w:val="000000" w:themeColor="text1"/>
          <w:sz w:val="24"/>
        </w:rPr>
        <w:t>新任基金</w:t>
      </w:r>
      <w:proofErr w:type="gramEnd"/>
      <w:r w:rsidRPr="00777BCD">
        <w:rPr>
          <w:rFonts w:ascii="Calibri" w:hAnsi="Calibri" w:cs="Calibri"/>
          <w:bCs/>
          <w:color w:val="000000" w:themeColor="text1"/>
          <w:sz w:val="24"/>
        </w:rPr>
        <w:t>托管人由基金管理人或由单独或合计持有</w:t>
      </w:r>
      <w:r w:rsidRPr="00777BCD">
        <w:rPr>
          <w:rFonts w:ascii="Calibri" w:hAnsi="Calibri" w:cs="Calibri"/>
          <w:bCs/>
          <w:color w:val="000000" w:themeColor="text1"/>
          <w:sz w:val="24"/>
        </w:rPr>
        <w:t>10%</w:t>
      </w:r>
      <w:r w:rsidRPr="00777BCD">
        <w:rPr>
          <w:rFonts w:ascii="Calibri" w:hAnsi="Calibri" w:cs="Calibri"/>
          <w:bCs/>
          <w:color w:val="000000" w:themeColor="text1"/>
          <w:sz w:val="24"/>
        </w:rPr>
        <w:t>以上（含</w:t>
      </w:r>
      <w:r w:rsidRPr="00777BCD">
        <w:rPr>
          <w:rFonts w:ascii="Calibri" w:hAnsi="Calibri" w:cs="Calibri"/>
          <w:bCs/>
          <w:color w:val="000000" w:themeColor="text1"/>
          <w:sz w:val="24"/>
        </w:rPr>
        <w:t>10%</w:t>
      </w:r>
      <w:r w:rsidRPr="00777BCD">
        <w:rPr>
          <w:rFonts w:ascii="Calibri" w:hAnsi="Calibri" w:cs="Calibri"/>
          <w:bCs/>
          <w:color w:val="000000" w:themeColor="text1"/>
          <w:sz w:val="24"/>
        </w:rPr>
        <w:t>）基金份额的基金份额持有人提名；</w:t>
      </w:r>
    </w:p>
    <w:p w14:paraId="5AABCB2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、决议：基金份额持有人大会在基金托管人职责终止后</w:t>
      </w:r>
      <w:r w:rsidRPr="00777BCD">
        <w:rPr>
          <w:rFonts w:ascii="Calibri" w:hAnsi="Calibri" w:cs="Calibri"/>
          <w:bCs/>
          <w:color w:val="000000" w:themeColor="text1"/>
          <w:sz w:val="24"/>
        </w:rPr>
        <w:t>6</w:t>
      </w:r>
      <w:r w:rsidRPr="00777BCD">
        <w:rPr>
          <w:rFonts w:ascii="Calibri" w:hAnsi="Calibri" w:cs="Calibri"/>
          <w:bCs/>
          <w:color w:val="000000" w:themeColor="text1"/>
          <w:sz w:val="24"/>
        </w:rPr>
        <w:t>个月内对被提名的基金托管人形成决议，该决议需经参加大会的基金份额持有人所持表决权的三分之二以上（含三分之二）表决通过，决议自表决通过之日起生效，</w:t>
      </w:r>
      <w:proofErr w:type="gramStart"/>
      <w:r w:rsidRPr="00777BCD">
        <w:rPr>
          <w:rFonts w:ascii="Calibri" w:hAnsi="Calibri" w:cs="Calibri"/>
          <w:bCs/>
          <w:color w:val="000000" w:themeColor="text1"/>
          <w:sz w:val="24"/>
        </w:rPr>
        <w:t>新任基金</w:t>
      </w:r>
      <w:proofErr w:type="gramEnd"/>
      <w:r w:rsidRPr="00777BCD">
        <w:rPr>
          <w:rFonts w:ascii="Calibri" w:hAnsi="Calibri" w:cs="Calibri"/>
          <w:bCs/>
          <w:color w:val="000000" w:themeColor="text1"/>
          <w:sz w:val="24"/>
        </w:rPr>
        <w:t>托管人应当符合法律法规及中国证监会规定的资格条件；</w:t>
      </w:r>
    </w:p>
    <w:p w14:paraId="0B9E952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、临时基金托管人：</w:t>
      </w:r>
      <w:proofErr w:type="gramStart"/>
      <w:r w:rsidRPr="00777BCD">
        <w:rPr>
          <w:rFonts w:ascii="Calibri" w:hAnsi="Calibri" w:cs="Calibri"/>
          <w:bCs/>
          <w:color w:val="000000" w:themeColor="text1"/>
          <w:sz w:val="24"/>
        </w:rPr>
        <w:t>新任基金</w:t>
      </w:r>
      <w:proofErr w:type="gramEnd"/>
      <w:r w:rsidRPr="00777BCD">
        <w:rPr>
          <w:rFonts w:ascii="Calibri" w:hAnsi="Calibri" w:cs="Calibri"/>
          <w:bCs/>
          <w:color w:val="000000" w:themeColor="text1"/>
          <w:sz w:val="24"/>
        </w:rPr>
        <w:t>托管人产生之前，由中国证监会指定临时基金托管人；</w:t>
      </w:r>
    </w:p>
    <w:p w14:paraId="5DCCD32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、备案：基金份额持有人大会更换基金托管人的决议须报中国证监会备案；</w:t>
      </w:r>
    </w:p>
    <w:p w14:paraId="15CD852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5</w:t>
      </w:r>
      <w:r w:rsidRPr="00777BCD">
        <w:rPr>
          <w:rFonts w:ascii="Calibri" w:hAnsi="Calibri" w:cs="Calibri"/>
          <w:bCs/>
          <w:color w:val="000000" w:themeColor="text1"/>
          <w:sz w:val="24"/>
        </w:rPr>
        <w:t>、公告：基金托管人更换后，由基金管理人在基金份额持有人大会更换基金托管人的决议生效后</w:t>
      </w:r>
      <w:r w:rsidRPr="00777BCD">
        <w:rPr>
          <w:rFonts w:ascii="Calibri" w:hAnsi="Calibri" w:cs="Calibri"/>
          <w:bCs/>
          <w:color w:val="000000" w:themeColor="text1"/>
          <w:sz w:val="24"/>
        </w:rPr>
        <w:t>2</w:t>
      </w:r>
      <w:r w:rsidRPr="00777BCD">
        <w:rPr>
          <w:rFonts w:ascii="Calibri" w:hAnsi="Calibri" w:cs="Calibri"/>
          <w:bCs/>
          <w:color w:val="000000" w:themeColor="text1"/>
          <w:sz w:val="24"/>
        </w:rPr>
        <w:t>日内在规定媒介公告；</w:t>
      </w:r>
    </w:p>
    <w:p w14:paraId="0879873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6</w:t>
      </w:r>
      <w:r w:rsidRPr="00777BCD">
        <w:rPr>
          <w:rFonts w:ascii="Calibri" w:hAnsi="Calibri" w:cs="Calibri"/>
          <w:bCs/>
          <w:color w:val="000000" w:themeColor="text1"/>
          <w:sz w:val="24"/>
        </w:rPr>
        <w:t>、交接：基金托管人职责终止的，应当妥善保管基金财产和基金托管业务资料，及时办理基金财产和基金托管业务的移交手续，</w:t>
      </w:r>
      <w:proofErr w:type="gramStart"/>
      <w:r w:rsidRPr="00777BCD">
        <w:rPr>
          <w:rFonts w:ascii="Calibri" w:hAnsi="Calibri" w:cs="Calibri"/>
          <w:bCs/>
          <w:color w:val="000000" w:themeColor="text1"/>
          <w:sz w:val="24"/>
        </w:rPr>
        <w:t>新任基金</w:t>
      </w:r>
      <w:proofErr w:type="gramEnd"/>
      <w:r w:rsidRPr="00777BCD">
        <w:rPr>
          <w:rFonts w:ascii="Calibri" w:hAnsi="Calibri" w:cs="Calibri"/>
          <w:bCs/>
          <w:color w:val="000000" w:themeColor="text1"/>
          <w:sz w:val="24"/>
        </w:rPr>
        <w:t>托管人或者临时基金托管人应当及时接收，</w:t>
      </w:r>
      <w:proofErr w:type="gramStart"/>
      <w:r w:rsidRPr="00777BCD">
        <w:rPr>
          <w:rFonts w:ascii="Calibri" w:hAnsi="Calibri" w:cs="Calibri"/>
          <w:bCs/>
          <w:color w:val="000000" w:themeColor="text1"/>
          <w:sz w:val="24"/>
        </w:rPr>
        <w:t>新任基金</w:t>
      </w:r>
      <w:proofErr w:type="gramEnd"/>
      <w:r w:rsidRPr="00777BCD">
        <w:rPr>
          <w:rFonts w:ascii="Calibri" w:hAnsi="Calibri" w:cs="Calibri"/>
          <w:bCs/>
          <w:color w:val="000000" w:themeColor="text1"/>
          <w:sz w:val="24"/>
        </w:rPr>
        <w:t>托管人或临时基金托管人应与基金管理人核对基金资产总值和净值；</w:t>
      </w:r>
      <w:r w:rsidRPr="00777BCD">
        <w:rPr>
          <w:rFonts w:ascii="Calibri" w:hAnsi="Calibri" w:cs="Calibri"/>
          <w:bCs/>
          <w:color w:val="000000" w:themeColor="text1"/>
          <w:sz w:val="24"/>
        </w:rPr>
        <w:t xml:space="preserve"> </w:t>
      </w:r>
    </w:p>
    <w:p w14:paraId="39458B0C" w14:textId="6D6E357E"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7</w:t>
      </w:r>
      <w:r w:rsidRPr="00777BCD">
        <w:rPr>
          <w:rFonts w:ascii="Calibri" w:hAnsi="Calibri" w:cs="Calibri"/>
          <w:bCs/>
          <w:color w:val="000000" w:themeColor="text1"/>
          <w:sz w:val="24"/>
        </w:rPr>
        <w:t>、审计：基金托管人职责终止的，应当按照法律法规规定聘请会计师事务所对基金财产进行审计，并将审计结果予以公告，同时报中国证监会备案，审计费用从基金财产中列支。</w:t>
      </w:r>
    </w:p>
    <w:p w14:paraId="3BF41012" w14:textId="77777777" w:rsidR="007149DF" w:rsidRPr="00777BCD" w:rsidRDefault="00284640">
      <w:pPr>
        <w:ind w:firstLine="480"/>
        <w:rPr>
          <w:rFonts w:ascii="Calibri" w:hAnsi="Calibri" w:cs="Calibri"/>
          <w:bCs/>
          <w:color w:val="000000" w:themeColor="text1"/>
          <w:sz w:val="24"/>
        </w:rPr>
      </w:pPr>
      <w:bookmarkStart w:id="250" w:name="_Toc1357"/>
      <w:r w:rsidRPr="00777BCD">
        <w:rPr>
          <w:rFonts w:ascii="Calibri" w:hAnsi="Calibri" w:cs="Calibri"/>
          <w:bCs/>
          <w:color w:val="000000" w:themeColor="text1"/>
          <w:sz w:val="24"/>
        </w:rPr>
        <w:t>（三）基金管理人与基金托管人同时更换的条件和程序</w:t>
      </w:r>
      <w:bookmarkEnd w:id="250"/>
    </w:p>
    <w:p w14:paraId="1D194BA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、提名：如果基金管理人和基金托管人同时更换，由单独或合计持有基金总份额</w:t>
      </w:r>
      <w:r w:rsidRPr="00777BCD">
        <w:rPr>
          <w:rFonts w:ascii="Calibri" w:hAnsi="Calibri" w:cs="Calibri"/>
          <w:bCs/>
          <w:color w:val="000000" w:themeColor="text1"/>
          <w:sz w:val="24"/>
        </w:rPr>
        <w:t>10%</w:t>
      </w:r>
      <w:r w:rsidRPr="00777BCD">
        <w:rPr>
          <w:rFonts w:ascii="Calibri" w:hAnsi="Calibri" w:cs="Calibri"/>
          <w:bCs/>
          <w:color w:val="000000" w:themeColor="text1"/>
          <w:sz w:val="24"/>
        </w:rPr>
        <w:t>以上（含</w:t>
      </w:r>
      <w:r w:rsidRPr="00777BCD">
        <w:rPr>
          <w:rFonts w:ascii="Calibri" w:hAnsi="Calibri" w:cs="Calibri"/>
          <w:bCs/>
          <w:color w:val="000000" w:themeColor="text1"/>
          <w:sz w:val="24"/>
        </w:rPr>
        <w:t>10%</w:t>
      </w:r>
      <w:r w:rsidRPr="00777BCD">
        <w:rPr>
          <w:rFonts w:ascii="Calibri" w:hAnsi="Calibri" w:cs="Calibri"/>
          <w:bCs/>
          <w:color w:val="000000" w:themeColor="text1"/>
          <w:sz w:val="24"/>
        </w:rPr>
        <w:t>）的基金份额持有人提名新的基金管理人和基金托管人；</w:t>
      </w:r>
    </w:p>
    <w:p w14:paraId="6E78C3B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、基金管理人和基金托管人的更换分别按上述程序进行；</w:t>
      </w:r>
    </w:p>
    <w:p w14:paraId="29FA746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、公告：</w:t>
      </w:r>
      <w:proofErr w:type="gramStart"/>
      <w:r w:rsidRPr="00777BCD">
        <w:rPr>
          <w:rFonts w:ascii="Calibri" w:hAnsi="Calibri" w:cs="Calibri"/>
          <w:bCs/>
          <w:color w:val="000000" w:themeColor="text1"/>
          <w:sz w:val="24"/>
        </w:rPr>
        <w:t>新任基金</w:t>
      </w:r>
      <w:proofErr w:type="gramEnd"/>
      <w:r w:rsidRPr="00777BCD">
        <w:rPr>
          <w:rFonts w:ascii="Calibri" w:hAnsi="Calibri" w:cs="Calibri"/>
          <w:bCs/>
          <w:color w:val="000000" w:themeColor="text1"/>
          <w:sz w:val="24"/>
        </w:rPr>
        <w:t>管理人和</w:t>
      </w:r>
      <w:proofErr w:type="gramStart"/>
      <w:r w:rsidRPr="00777BCD">
        <w:rPr>
          <w:rFonts w:ascii="Calibri" w:hAnsi="Calibri" w:cs="Calibri"/>
          <w:bCs/>
          <w:color w:val="000000" w:themeColor="text1"/>
          <w:sz w:val="24"/>
        </w:rPr>
        <w:t>新任基金</w:t>
      </w:r>
      <w:proofErr w:type="gramEnd"/>
      <w:r w:rsidRPr="00777BCD">
        <w:rPr>
          <w:rFonts w:ascii="Calibri" w:hAnsi="Calibri" w:cs="Calibri"/>
          <w:bCs/>
          <w:color w:val="000000" w:themeColor="text1"/>
          <w:sz w:val="24"/>
        </w:rPr>
        <w:t>托管人应在更换基金管理人和基金托管人的基金份额持有人大会决议生效后</w:t>
      </w:r>
      <w:r w:rsidRPr="00777BCD">
        <w:rPr>
          <w:rFonts w:ascii="Calibri" w:hAnsi="Calibri" w:cs="Calibri"/>
          <w:bCs/>
          <w:color w:val="000000" w:themeColor="text1"/>
          <w:sz w:val="24"/>
        </w:rPr>
        <w:t>2</w:t>
      </w:r>
      <w:r w:rsidRPr="00777BCD">
        <w:rPr>
          <w:rFonts w:ascii="Calibri" w:hAnsi="Calibri" w:cs="Calibri"/>
          <w:bCs/>
          <w:color w:val="000000" w:themeColor="text1"/>
          <w:sz w:val="24"/>
        </w:rPr>
        <w:t>日内在规定媒介上联合公告。</w:t>
      </w:r>
    </w:p>
    <w:p w14:paraId="0850F46E" w14:textId="77777777" w:rsidR="007149DF" w:rsidRPr="00777BCD" w:rsidRDefault="007149DF">
      <w:pPr>
        <w:ind w:left="1" w:firstLine="389"/>
        <w:rPr>
          <w:rFonts w:ascii="Calibri" w:hAnsi="Calibri" w:cs="Calibri"/>
          <w:bCs/>
          <w:color w:val="000000" w:themeColor="text1"/>
          <w:sz w:val="24"/>
        </w:rPr>
      </w:pPr>
    </w:p>
    <w:p w14:paraId="24BDE559" w14:textId="40B54A4D" w:rsidR="007149DF" w:rsidRPr="00777BCD" w:rsidRDefault="00284640">
      <w:pPr>
        <w:ind w:left="1" w:firstLine="480"/>
        <w:rPr>
          <w:rFonts w:ascii="Calibri" w:hAnsi="Calibri" w:cs="Calibri"/>
          <w:bCs/>
          <w:color w:val="000000" w:themeColor="text1"/>
          <w:sz w:val="24"/>
        </w:rPr>
      </w:pPr>
      <w:r w:rsidRPr="00777BCD">
        <w:rPr>
          <w:rFonts w:ascii="Calibri" w:hAnsi="Calibri" w:cs="Calibri"/>
          <w:bCs/>
          <w:color w:val="000000" w:themeColor="text1"/>
          <w:sz w:val="24"/>
        </w:rPr>
        <w:t>（四）</w:t>
      </w:r>
      <w:proofErr w:type="gramStart"/>
      <w:r w:rsidRPr="00777BCD">
        <w:rPr>
          <w:rFonts w:ascii="Calibri" w:hAnsi="Calibri" w:cs="Calibri"/>
          <w:bCs/>
          <w:color w:val="000000" w:themeColor="text1"/>
          <w:sz w:val="24"/>
        </w:rPr>
        <w:t>新任基金</w:t>
      </w:r>
      <w:proofErr w:type="gramEnd"/>
      <w:r w:rsidRPr="00777BCD">
        <w:rPr>
          <w:rFonts w:ascii="Calibri" w:hAnsi="Calibri" w:cs="Calibri"/>
          <w:bCs/>
          <w:color w:val="000000" w:themeColor="text1"/>
          <w:sz w:val="24"/>
        </w:rPr>
        <w:t>管理人或临时基金管理人接收基金管理业务或</w:t>
      </w:r>
      <w:proofErr w:type="gramStart"/>
      <w:r w:rsidRPr="00777BCD">
        <w:rPr>
          <w:rFonts w:ascii="Calibri" w:hAnsi="Calibri" w:cs="Calibri"/>
          <w:bCs/>
          <w:color w:val="000000" w:themeColor="text1"/>
          <w:sz w:val="24"/>
        </w:rPr>
        <w:t>新任基金</w:t>
      </w:r>
      <w:proofErr w:type="gramEnd"/>
      <w:r w:rsidRPr="00777BCD">
        <w:rPr>
          <w:rFonts w:ascii="Calibri" w:hAnsi="Calibri" w:cs="Calibri"/>
          <w:bCs/>
          <w:color w:val="000000" w:themeColor="text1"/>
          <w:sz w:val="24"/>
        </w:rPr>
        <w:t>托管人或临时基金托管人接收基金财产和基金托管业务前，</w:t>
      </w:r>
      <w:proofErr w:type="gramStart"/>
      <w:r w:rsidRPr="00777BCD">
        <w:rPr>
          <w:rFonts w:ascii="Calibri" w:hAnsi="Calibri" w:cs="Calibri"/>
          <w:bCs/>
          <w:color w:val="000000" w:themeColor="text1"/>
          <w:sz w:val="24"/>
        </w:rPr>
        <w:t>原基金</w:t>
      </w:r>
      <w:proofErr w:type="gramEnd"/>
      <w:r w:rsidRPr="00777BCD">
        <w:rPr>
          <w:rFonts w:ascii="Calibri" w:hAnsi="Calibri" w:cs="Calibri"/>
          <w:bCs/>
          <w:color w:val="000000" w:themeColor="text1"/>
          <w:sz w:val="24"/>
        </w:rPr>
        <w:t>管理人或</w:t>
      </w:r>
      <w:proofErr w:type="gramStart"/>
      <w:r w:rsidRPr="00777BCD">
        <w:rPr>
          <w:rFonts w:ascii="Calibri" w:hAnsi="Calibri" w:cs="Calibri"/>
          <w:bCs/>
          <w:color w:val="000000" w:themeColor="text1"/>
          <w:sz w:val="24"/>
        </w:rPr>
        <w:t>原基金</w:t>
      </w:r>
      <w:proofErr w:type="gramEnd"/>
      <w:r w:rsidRPr="00777BCD">
        <w:rPr>
          <w:rFonts w:ascii="Calibri" w:hAnsi="Calibri" w:cs="Calibri"/>
          <w:bCs/>
          <w:color w:val="000000" w:themeColor="text1"/>
          <w:sz w:val="24"/>
        </w:rPr>
        <w:t>托管人应依据法律法规和《基金合同》的规定继续履行相关职责，并保证不做出对基金份额持有人的利益造成损害的行为。</w:t>
      </w:r>
      <w:proofErr w:type="gramStart"/>
      <w:r w:rsidRPr="00777BCD">
        <w:rPr>
          <w:rFonts w:ascii="Calibri" w:hAnsi="Calibri" w:cs="Calibri"/>
          <w:bCs/>
          <w:color w:val="000000" w:themeColor="text1"/>
          <w:sz w:val="24"/>
        </w:rPr>
        <w:t>原基金</w:t>
      </w:r>
      <w:proofErr w:type="gramEnd"/>
      <w:r w:rsidRPr="00777BCD">
        <w:rPr>
          <w:rFonts w:ascii="Calibri" w:hAnsi="Calibri" w:cs="Calibri"/>
          <w:bCs/>
          <w:color w:val="000000" w:themeColor="text1"/>
          <w:sz w:val="24"/>
        </w:rPr>
        <w:t>管理人或</w:t>
      </w:r>
      <w:proofErr w:type="gramStart"/>
      <w:r w:rsidRPr="00777BCD">
        <w:rPr>
          <w:rFonts w:ascii="Calibri" w:hAnsi="Calibri" w:cs="Calibri"/>
          <w:bCs/>
          <w:color w:val="000000" w:themeColor="text1"/>
          <w:sz w:val="24"/>
        </w:rPr>
        <w:t>原基金</w:t>
      </w:r>
      <w:proofErr w:type="gramEnd"/>
      <w:r w:rsidRPr="00777BCD">
        <w:rPr>
          <w:rFonts w:ascii="Calibri" w:hAnsi="Calibri" w:cs="Calibri"/>
          <w:bCs/>
          <w:color w:val="000000" w:themeColor="text1"/>
          <w:sz w:val="24"/>
        </w:rPr>
        <w:t>托管人在继续履行相关职责期间，仍有权按照《基金合同》的规定收取基金管理费或基金托管费。</w:t>
      </w:r>
    </w:p>
    <w:p w14:paraId="24144274" w14:textId="77777777" w:rsidR="007149DF" w:rsidRPr="00777BCD" w:rsidRDefault="007149DF">
      <w:pPr>
        <w:ind w:left="1" w:firstLine="389"/>
        <w:rPr>
          <w:rFonts w:ascii="Calibri" w:hAnsi="Calibri" w:cs="Calibri"/>
          <w:bCs/>
          <w:color w:val="000000" w:themeColor="text1"/>
          <w:sz w:val="24"/>
        </w:rPr>
      </w:pPr>
    </w:p>
    <w:p w14:paraId="38461BAE" w14:textId="41310E15" w:rsidR="007149DF" w:rsidRPr="00777BCD" w:rsidRDefault="00284640">
      <w:pPr>
        <w:ind w:left="1" w:firstLine="480"/>
        <w:rPr>
          <w:rFonts w:ascii="Calibri" w:hAnsi="Calibri" w:cs="Calibri"/>
          <w:bCs/>
          <w:color w:val="000000" w:themeColor="text1"/>
          <w:sz w:val="24"/>
        </w:rPr>
      </w:pPr>
      <w:r w:rsidRPr="00777BCD">
        <w:rPr>
          <w:rFonts w:ascii="Calibri" w:hAnsi="Calibri" w:cs="Calibri"/>
          <w:bCs/>
          <w:color w:val="000000" w:themeColor="text1"/>
          <w:sz w:val="24"/>
        </w:rPr>
        <w:t>三、本部</w:t>
      </w:r>
      <w:proofErr w:type="gramStart"/>
      <w:r w:rsidRPr="00777BCD">
        <w:rPr>
          <w:rFonts w:ascii="Calibri" w:hAnsi="Calibri" w:cs="Calibri"/>
          <w:bCs/>
          <w:color w:val="000000" w:themeColor="text1"/>
          <w:sz w:val="24"/>
        </w:rPr>
        <w:t>分关于</w:t>
      </w:r>
      <w:proofErr w:type="gramEnd"/>
      <w:r w:rsidRPr="00777BCD">
        <w:rPr>
          <w:rFonts w:ascii="Calibri" w:hAnsi="Calibri" w:cs="Calibri"/>
          <w:bCs/>
          <w:color w:val="000000" w:themeColor="text1"/>
          <w:sz w:val="24"/>
        </w:rPr>
        <w:t>基金管理人、基金托管人更换条件和程序的约定，凡是直接引用法律法规或监管规则的部分，如将来法律法规或监管规则修改导致相关内容被取消或变更的，基金管理人与基金托管人协商一致并提前公告后，可直接</w:t>
      </w:r>
      <w:bookmarkStart w:id="251" w:name="_Hlk160524299"/>
      <w:r w:rsidRPr="00777BCD">
        <w:rPr>
          <w:rFonts w:ascii="Calibri" w:hAnsi="Calibri" w:cs="Calibri"/>
          <w:bCs/>
          <w:color w:val="000000" w:themeColor="text1"/>
          <w:sz w:val="24"/>
        </w:rPr>
        <w:t>对相应内容按照法律法规或监管规则的规定</w:t>
      </w:r>
      <w:bookmarkEnd w:id="251"/>
      <w:r w:rsidRPr="00777BCD">
        <w:rPr>
          <w:rFonts w:ascii="Calibri" w:hAnsi="Calibri" w:cs="Calibri"/>
          <w:bCs/>
          <w:color w:val="000000" w:themeColor="text1"/>
          <w:sz w:val="24"/>
        </w:rPr>
        <w:t>进行修改和调整，无需召开基金份额持有人大会审议。</w:t>
      </w:r>
    </w:p>
    <w:p w14:paraId="74A0BD3F" w14:textId="77777777" w:rsidR="007149DF" w:rsidRPr="00777BCD" w:rsidRDefault="007149DF">
      <w:pPr>
        <w:ind w:firstLine="480"/>
        <w:rPr>
          <w:rFonts w:ascii="Calibri" w:hAnsi="Calibri" w:cs="Calibri"/>
          <w:bCs/>
          <w:color w:val="000000" w:themeColor="text1"/>
          <w:sz w:val="24"/>
        </w:rPr>
      </w:pPr>
    </w:p>
    <w:p w14:paraId="55890E53" w14:textId="77777777" w:rsidR="007149DF" w:rsidRPr="00777BCD" w:rsidRDefault="00284640">
      <w:pPr>
        <w:pStyle w:val="11"/>
        <w:spacing w:before="0" w:after="0"/>
        <w:ind w:firstLine="480"/>
        <w:jc w:val="center"/>
        <w:rPr>
          <w:rFonts w:ascii="Calibri" w:hAnsi="Calibri" w:cs="Calibri"/>
          <w:color w:val="000000" w:themeColor="text1"/>
          <w:sz w:val="30"/>
        </w:rPr>
      </w:pPr>
      <w:r w:rsidRPr="00777BCD">
        <w:rPr>
          <w:rFonts w:ascii="Calibri" w:hAnsi="Calibri" w:cs="Calibri"/>
          <w:b w:val="0"/>
          <w:bCs/>
          <w:color w:val="000000" w:themeColor="text1"/>
        </w:rPr>
        <w:br w:type="page"/>
      </w:r>
      <w:bookmarkStart w:id="252" w:name="_Toc739"/>
      <w:bookmarkStart w:id="253" w:name="_Toc32584"/>
      <w:bookmarkStart w:id="254" w:name="_Toc123112238"/>
      <w:bookmarkStart w:id="255" w:name="_Toc21237"/>
      <w:bookmarkStart w:id="256" w:name="_Toc98560356"/>
      <w:bookmarkStart w:id="257" w:name="_Toc6820029"/>
      <w:bookmarkStart w:id="258" w:name="_Toc3329"/>
      <w:bookmarkStart w:id="259" w:name="_Toc17198"/>
      <w:bookmarkStart w:id="260" w:name="_Toc139991740"/>
      <w:bookmarkStart w:id="261" w:name="_Toc141703890"/>
      <w:bookmarkStart w:id="262" w:name="_Toc48649708"/>
      <w:bookmarkStart w:id="263" w:name="_Toc32092"/>
      <w:bookmarkStart w:id="264" w:name="_Toc123102457"/>
      <w:bookmarkStart w:id="265" w:name="_Toc17920"/>
      <w:bookmarkStart w:id="266" w:name="_Toc5170"/>
      <w:bookmarkStart w:id="267" w:name="_Toc123051456"/>
      <w:bookmarkStart w:id="268" w:name="_Toc8791"/>
      <w:bookmarkStart w:id="269" w:name="_Toc29408"/>
      <w:bookmarkStart w:id="270" w:name="_Toc79392622"/>
      <w:bookmarkStart w:id="271" w:name="_Toc160725908"/>
      <w:bookmarkEnd w:id="239"/>
      <w:r w:rsidRPr="00777BCD">
        <w:rPr>
          <w:rFonts w:ascii="Calibri" w:hAnsi="Calibri" w:cs="Calibri"/>
          <w:color w:val="000000" w:themeColor="text1"/>
          <w:sz w:val="30"/>
        </w:rPr>
        <w:lastRenderedPageBreak/>
        <w:t>第十部分</w:t>
      </w:r>
      <w:r w:rsidRPr="00777BCD">
        <w:rPr>
          <w:rFonts w:ascii="Calibri" w:hAnsi="Calibri" w:cs="Calibri"/>
          <w:color w:val="000000" w:themeColor="text1"/>
          <w:sz w:val="30"/>
        </w:rPr>
        <w:t xml:space="preserve">  </w:t>
      </w:r>
      <w:r w:rsidRPr="00777BCD">
        <w:rPr>
          <w:rFonts w:ascii="Calibri" w:hAnsi="Calibri" w:cs="Calibri"/>
          <w:color w:val="000000" w:themeColor="text1"/>
          <w:sz w:val="30"/>
        </w:rPr>
        <w:t>基金的托管</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5F76A7C" w14:textId="77777777" w:rsidR="007149DF" w:rsidRPr="00777BCD" w:rsidRDefault="007149DF">
      <w:pPr>
        <w:ind w:firstLine="480"/>
        <w:rPr>
          <w:rFonts w:ascii="Calibri" w:hAnsi="Calibri" w:cs="Calibri"/>
          <w:bCs/>
          <w:color w:val="000000" w:themeColor="text1"/>
          <w:sz w:val="24"/>
        </w:rPr>
      </w:pPr>
    </w:p>
    <w:p w14:paraId="7FBCD2D6"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基金托管人和基金管理人按照《基金法》、《基金合同》及其他有关规定订立托管协议。</w:t>
      </w:r>
    </w:p>
    <w:p w14:paraId="09F15A0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订立托管协议的目的是明确基金托管人与基金管理人之间在基金财产的保管、投资运作、净值计算、收益分配、信息披露及相互监督等相关事宜中的权利义务及职责，确保基金财产的安全，保护基金份额持有人的合法权益。</w:t>
      </w:r>
    </w:p>
    <w:p w14:paraId="0B166807" w14:textId="77777777" w:rsidR="007149DF" w:rsidRPr="00777BCD" w:rsidRDefault="00284640">
      <w:pPr>
        <w:pStyle w:val="11"/>
        <w:spacing w:before="0" w:after="0"/>
        <w:ind w:firstLine="480"/>
        <w:jc w:val="center"/>
        <w:rPr>
          <w:rFonts w:ascii="Calibri" w:hAnsi="Calibri" w:cs="Calibri"/>
          <w:color w:val="000000" w:themeColor="text1"/>
          <w:sz w:val="30"/>
        </w:rPr>
      </w:pPr>
      <w:r w:rsidRPr="00777BCD">
        <w:rPr>
          <w:rFonts w:ascii="Calibri" w:hAnsi="Calibri" w:cs="Calibri"/>
          <w:b w:val="0"/>
          <w:bCs/>
          <w:color w:val="000000" w:themeColor="text1"/>
        </w:rPr>
        <w:br w:type="page"/>
      </w:r>
      <w:bookmarkStart w:id="272" w:name="_Toc26383"/>
      <w:bookmarkStart w:id="273" w:name="_Toc16789"/>
      <w:bookmarkStart w:id="274" w:name="_Toc79392624"/>
      <w:bookmarkStart w:id="275" w:name="_Toc14725"/>
      <w:bookmarkStart w:id="276" w:name="_Toc139991741"/>
      <w:bookmarkStart w:id="277" w:name="_Toc141703891"/>
      <w:bookmarkStart w:id="278" w:name="_Toc26084"/>
      <w:bookmarkStart w:id="279" w:name="_Toc21886"/>
      <w:bookmarkStart w:id="280" w:name="_Toc123051457"/>
      <w:bookmarkStart w:id="281" w:name="_Toc48649710"/>
      <w:bookmarkStart w:id="282" w:name="_Toc98560357"/>
      <w:bookmarkStart w:id="283" w:name="_Toc26152"/>
      <w:bookmarkStart w:id="284" w:name="_Toc123102458"/>
      <w:bookmarkStart w:id="285" w:name="_Toc6820030"/>
      <w:bookmarkStart w:id="286" w:name="_Toc3244"/>
      <w:bookmarkStart w:id="287" w:name="_Toc123112239"/>
      <w:bookmarkStart w:id="288" w:name="_Toc2255"/>
      <w:bookmarkStart w:id="289" w:name="_Toc19520"/>
      <w:bookmarkStart w:id="290" w:name="_Toc22674"/>
      <w:bookmarkStart w:id="291" w:name="_Toc160725909"/>
      <w:r w:rsidRPr="00777BCD">
        <w:rPr>
          <w:rFonts w:ascii="Calibri" w:hAnsi="Calibri" w:cs="Calibri"/>
          <w:color w:val="000000" w:themeColor="text1"/>
          <w:sz w:val="30"/>
        </w:rPr>
        <w:lastRenderedPageBreak/>
        <w:t>第十一部分</w:t>
      </w:r>
      <w:r w:rsidRPr="00777BCD">
        <w:rPr>
          <w:rFonts w:ascii="Calibri" w:hAnsi="Calibri" w:cs="Calibri"/>
          <w:color w:val="000000" w:themeColor="text1"/>
          <w:sz w:val="30"/>
        </w:rPr>
        <w:t xml:space="preserve">  </w:t>
      </w:r>
      <w:r w:rsidRPr="00777BCD">
        <w:rPr>
          <w:rFonts w:ascii="Calibri" w:hAnsi="Calibri" w:cs="Calibri"/>
          <w:color w:val="000000" w:themeColor="text1"/>
          <w:sz w:val="30"/>
        </w:rPr>
        <w:t>基金份额的登记</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75A18698" w14:textId="77777777" w:rsidR="007149DF" w:rsidRPr="00777BCD" w:rsidRDefault="007149DF">
      <w:pPr>
        <w:ind w:firstLine="480"/>
        <w:rPr>
          <w:rFonts w:ascii="Calibri" w:hAnsi="Calibri" w:cs="Calibri"/>
          <w:bCs/>
          <w:color w:val="000000" w:themeColor="text1"/>
          <w:sz w:val="24"/>
        </w:rPr>
      </w:pPr>
    </w:p>
    <w:p w14:paraId="50B55BF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一、基金的份额登记业务</w:t>
      </w:r>
    </w:p>
    <w:p w14:paraId="58952DF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本基金的登记业务指本基金登记、存管、过户、清算和结算业务，具体内容包括投资人基金账户的建立和管理、基金份额登记、基金销售业务的确认、清算和结算、代理发放红利、建立并保管基金份额持有人名册和办理</w:t>
      </w:r>
      <w:proofErr w:type="gramStart"/>
      <w:r w:rsidRPr="00777BCD">
        <w:rPr>
          <w:rFonts w:ascii="Calibri" w:hAnsi="Calibri" w:cs="Calibri"/>
          <w:bCs/>
          <w:color w:val="000000" w:themeColor="text1"/>
          <w:sz w:val="24"/>
        </w:rPr>
        <w:t>非交易</w:t>
      </w:r>
      <w:proofErr w:type="gramEnd"/>
      <w:r w:rsidRPr="00777BCD">
        <w:rPr>
          <w:rFonts w:ascii="Calibri" w:hAnsi="Calibri" w:cs="Calibri"/>
          <w:bCs/>
          <w:color w:val="000000" w:themeColor="text1"/>
          <w:sz w:val="24"/>
        </w:rPr>
        <w:t>过户等。</w:t>
      </w:r>
    </w:p>
    <w:p w14:paraId="6E10B7B7" w14:textId="77777777" w:rsidR="007149DF" w:rsidRPr="00777BCD" w:rsidRDefault="007149DF">
      <w:pPr>
        <w:ind w:firstLine="480"/>
        <w:rPr>
          <w:rFonts w:ascii="Calibri" w:hAnsi="Calibri" w:cs="Calibri"/>
          <w:bCs/>
          <w:color w:val="000000" w:themeColor="text1"/>
          <w:sz w:val="24"/>
        </w:rPr>
      </w:pPr>
    </w:p>
    <w:p w14:paraId="1264CBA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二、基金登记业务办理机构</w:t>
      </w:r>
    </w:p>
    <w:p w14:paraId="3FE5E6B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本基金的登记业务由基金管理人或基金管理人委托的其他符合条件的机构办理。基金管理人委托其他机构办理本基金登记业务的，应与代理人签订委托代理协议，以明确基金管理人和代理机构在投资者基金账户管理、基金份额登记、清算及基金交易确认、发放红利、建立并保管基金份额持有人名册和办理</w:t>
      </w:r>
      <w:proofErr w:type="gramStart"/>
      <w:r w:rsidRPr="00777BCD">
        <w:rPr>
          <w:rFonts w:ascii="Calibri" w:hAnsi="Calibri" w:cs="Calibri"/>
          <w:bCs/>
          <w:color w:val="000000" w:themeColor="text1"/>
          <w:sz w:val="24"/>
        </w:rPr>
        <w:t>非交易</w:t>
      </w:r>
      <w:proofErr w:type="gramEnd"/>
      <w:r w:rsidRPr="00777BCD">
        <w:rPr>
          <w:rFonts w:ascii="Calibri" w:hAnsi="Calibri" w:cs="Calibri"/>
          <w:bCs/>
          <w:color w:val="000000" w:themeColor="text1"/>
          <w:sz w:val="24"/>
        </w:rPr>
        <w:t>过户等事宜中的权利和义务，保护基金份额持有人的合法权益。</w:t>
      </w:r>
    </w:p>
    <w:p w14:paraId="71CFD509" w14:textId="77777777" w:rsidR="007149DF" w:rsidRPr="00777BCD" w:rsidRDefault="007149DF">
      <w:pPr>
        <w:ind w:firstLine="480"/>
        <w:rPr>
          <w:rFonts w:ascii="Calibri" w:hAnsi="Calibri" w:cs="Calibri"/>
          <w:bCs/>
          <w:color w:val="000000" w:themeColor="text1"/>
          <w:sz w:val="24"/>
        </w:rPr>
      </w:pPr>
    </w:p>
    <w:p w14:paraId="4D2CB81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三、基金登记机构的权利</w:t>
      </w:r>
      <w:bookmarkStart w:id="292" w:name="_Hlt88820748"/>
      <w:bookmarkEnd w:id="292"/>
    </w:p>
    <w:p w14:paraId="479E89D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基金登记机构享有以下权利：</w:t>
      </w:r>
    </w:p>
    <w:p w14:paraId="281AEE4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、取得登记费；</w:t>
      </w:r>
    </w:p>
    <w:p w14:paraId="2C32CB5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、建立和管理投资者基金账户；</w:t>
      </w:r>
    </w:p>
    <w:p w14:paraId="33B09EE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、保管基金份额持有人开户资料、交易资料、基金份额持有人名册等；</w:t>
      </w:r>
    </w:p>
    <w:p w14:paraId="19CBED6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、在法律法规允许的范围内，对登记业务的办理时间和相关业务规则进行调整，并依照有关规定于开始实施前在规定媒介上公告；</w:t>
      </w:r>
    </w:p>
    <w:p w14:paraId="3F5ECC0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5</w:t>
      </w:r>
      <w:r w:rsidRPr="00777BCD">
        <w:rPr>
          <w:rFonts w:ascii="Calibri" w:hAnsi="Calibri" w:cs="Calibri"/>
          <w:bCs/>
          <w:color w:val="000000" w:themeColor="text1"/>
          <w:sz w:val="24"/>
        </w:rPr>
        <w:t>、法律法规及中国证监会规定的和《基金合同》约定的其他权利。</w:t>
      </w:r>
    </w:p>
    <w:p w14:paraId="32C5F2F3" w14:textId="77777777" w:rsidR="007149DF" w:rsidRPr="00777BCD" w:rsidRDefault="007149DF">
      <w:pPr>
        <w:ind w:firstLine="480"/>
        <w:rPr>
          <w:rFonts w:ascii="Calibri" w:hAnsi="Calibri" w:cs="Calibri"/>
          <w:bCs/>
          <w:color w:val="000000" w:themeColor="text1"/>
          <w:sz w:val="24"/>
        </w:rPr>
      </w:pPr>
    </w:p>
    <w:p w14:paraId="6F0615E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四、基金登记机构的义务</w:t>
      </w:r>
    </w:p>
    <w:p w14:paraId="5783905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基金登记机构承担以下义务：</w:t>
      </w:r>
    </w:p>
    <w:p w14:paraId="6D454DD1" w14:textId="0E3896B6"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、配备足够的专业人员办理本基金份额的登记业务；</w:t>
      </w:r>
    </w:p>
    <w:p w14:paraId="16C74091" w14:textId="3B1DB695"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、严格按照法律法规和《基金合同》规定的条件办理本基金份额的登记业务；</w:t>
      </w:r>
    </w:p>
    <w:p w14:paraId="7504B50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3</w:t>
      </w:r>
      <w:r w:rsidRPr="00777BCD">
        <w:rPr>
          <w:rFonts w:ascii="Calibri" w:hAnsi="Calibri" w:cs="Calibri"/>
          <w:bCs/>
          <w:color w:val="000000" w:themeColor="text1"/>
          <w:sz w:val="24"/>
        </w:rPr>
        <w:t>、妥善保存登记数据，并将基金份额持有人名称、身份信息及基金份额明细等数据备份至中国证监会认定的机构，其保存期限自基金账户销户之日起不得少于</w:t>
      </w:r>
      <w:r w:rsidRPr="00777BCD">
        <w:rPr>
          <w:rFonts w:ascii="Calibri" w:hAnsi="Calibri" w:cs="Calibri"/>
          <w:bCs/>
          <w:color w:val="000000" w:themeColor="text1"/>
          <w:sz w:val="24"/>
        </w:rPr>
        <w:t>20</w:t>
      </w:r>
      <w:r w:rsidRPr="00777BCD">
        <w:rPr>
          <w:rFonts w:ascii="Calibri" w:hAnsi="Calibri" w:cs="Calibri"/>
          <w:bCs/>
          <w:color w:val="000000" w:themeColor="text1"/>
          <w:sz w:val="24"/>
        </w:rPr>
        <w:t>年；</w:t>
      </w:r>
    </w:p>
    <w:p w14:paraId="50A253F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对基金份额持有人的基金账户信息负有保密义务，因违反该保密义务对投资者或基金带来的损失，须承担相应的赔偿责任，但司法强制检查情形及法律法规及中国证监会规定的和《基金合同》约定的其他情形除外；</w:t>
      </w:r>
    </w:p>
    <w:p w14:paraId="7E7B229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5</w:t>
      </w:r>
      <w:r w:rsidRPr="00777BCD">
        <w:rPr>
          <w:rFonts w:ascii="Calibri" w:hAnsi="Calibri" w:cs="Calibri"/>
          <w:bCs/>
          <w:color w:val="000000" w:themeColor="text1"/>
          <w:sz w:val="24"/>
        </w:rPr>
        <w:t>、按《基金合同》及招募说明书规定为投资者办理</w:t>
      </w:r>
      <w:proofErr w:type="gramStart"/>
      <w:r w:rsidRPr="00777BCD">
        <w:rPr>
          <w:rFonts w:ascii="Calibri" w:hAnsi="Calibri" w:cs="Calibri"/>
          <w:bCs/>
          <w:color w:val="000000" w:themeColor="text1"/>
          <w:sz w:val="24"/>
        </w:rPr>
        <w:t>非交易</w:t>
      </w:r>
      <w:proofErr w:type="gramEnd"/>
      <w:r w:rsidRPr="00777BCD">
        <w:rPr>
          <w:rFonts w:ascii="Calibri" w:hAnsi="Calibri" w:cs="Calibri"/>
          <w:bCs/>
          <w:color w:val="000000" w:themeColor="text1"/>
          <w:sz w:val="24"/>
        </w:rPr>
        <w:t>过户业务、提供其他必要的服务；</w:t>
      </w:r>
    </w:p>
    <w:p w14:paraId="54EAACC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6</w:t>
      </w:r>
      <w:r w:rsidRPr="00777BCD">
        <w:rPr>
          <w:rFonts w:ascii="Calibri" w:hAnsi="Calibri" w:cs="Calibri"/>
          <w:bCs/>
          <w:color w:val="000000" w:themeColor="text1"/>
          <w:sz w:val="24"/>
        </w:rPr>
        <w:t>、接受基金管理人的监督；</w:t>
      </w:r>
    </w:p>
    <w:p w14:paraId="49F2676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7</w:t>
      </w:r>
      <w:r w:rsidRPr="00777BCD">
        <w:rPr>
          <w:rFonts w:ascii="Calibri" w:hAnsi="Calibri" w:cs="Calibri"/>
          <w:bCs/>
          <w:color w:val="000000" w:themeColor="text1"/>
          <w:sz w:val="24"/>
        </w:rPr>
        <w:t>、如因</w:t>
      </w:r>
      <w:r w:rsidRPr="00777BCD">
        <w:rPr>
          <w:rFonts w:ascii="Calibri" w:hAnsi="Calibri" w:cs="Calibri"/>
          <w:bCs/>
          <w:sz w:val="24"/>
        </w:rPr>
        <w:t>登记机构的原因而造成基金管理人或者基金份额持有人损失的，依法承担相应的赔偿责任；</w:t>
      </w:r>
    </w:p>
    <w:p w14:paraId="73763EA6"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8</w:t>
      </w:r>
      <w:r w:rsidRPr="00777BCD">
        <w:rPr>
          <w:rFonts w:ascii="Calibri" w:hAnsi="Calibri" w:cs="Calibri"/>
          <w:bCs/>
          <w:color w:val="000000" w:themeColor="text1"/>
          <w:sz w:val="24"/>
        </w:rPr>
        <w:t>、法律法规及中国证监会规定的和《基金合同》约定的其他义务。</w:t>
      </w:r>
    </w:p>
    <w:p w14:paraId="1A4E4AC9" w14:textId="77777777" w:rsidR="007149DF" w:rsidRPr="00777BCD" w:rsidRDefault="00284640">
      <w:pPr>
        <w:pStyle w:val="11"/>
        <w:spacing w:before="0" w:after="0"/>
        <w:ind w:firstLine="480"/>
        <w:jc w:val="center"/>
        <w:rPr>
          <w:rFonts w:ascii="Calibri" w:hAnsi="Calibri" w:cs="Calibri"/>
          <w:color w:val="000000" w:themeColor="text1"/>
          <w:sz w:val="30"/>
        </w:rPr>
      </w:pPr>
      <w:r w:rsidRPr="00777BCD">
        <w:rPr>
          <w:rFonts w:ascii="Calibri" w:hAnsi="Calibri" w:cs="Calibri"/>
          <w:b w:val="0"/>
          <w:bCs/>
          <w:color w:val="000000" w:themeColor="text1"/>
        </w:rPr>
        <w:br w:type="page"/>
      </w:r>
      <w:bookmarkStart w:id="293" w:name="_Toc2981"/>
      <w:bookmarkStart w:id="294" w:name="_Toc3872"/>
      <w:bookmarkStart w:id="295" w:name="_Toc11395"/>
      <w:bookmarkStart w:id="296" w:name="_Toc6820031"/>
      <w:bookmarkStart w:id="297" w:name="_Toc5477"/>
      <w:bookmarkStart w:id="298" w:name="_Toc22538"/>
      <w:bookmarkStart w:id="299" w:name="_Toc578"/>
      <w:bookmarkStart w:id="300" w:name="_Toc11351"/>
      <w:bookmarkStart w:id="301" w:name="_Toc21917"/>
      <w:bookmarkStart w:id="302" w:name="_Toc801"/>
      <w:bookmarkStart w:id="303" w:name="_Toc16437"/>
      <w:bookmarkStart w:id="304" w:name="_Toc160725910"/>
      <w:bookmarkStart w:id="305" w:name="_Hlk23248929"/>
      <w:r w:rsidRPr="00777BCD">
        <w:rPr>
          <w:rFonts w:ascii="Calibri" w:hAnsi="Calibri" w:cs="Calibri"/>
          <w:color w:val="000000" w:themeColor="text1"/>
          <w:sz w:val="30"/>
        </w:rPr>
        <w:lastRenderedPageBreak/>
        <w:t>第十二部分</w:t>
      </w:r>
      <w:r w:rsidRPr="00777BCD">
        <w:rPr>
          <w:rFonts w:ascii="Calibri" w:hAnsi="Calibri" w:cs="Calibri"/>
          <w:color w:val="000000" w:themeColor="text1"/>
          <w:sz w:val="30"/>
        </w:rPr>
        <w:t xml:space="preserve">  </w:t>
      </w:r>
      <w:r w:rsidRPr="00777BCD">
        <w:rPr>
          <w:rFonts w:ascii="Calibri" w:hAnsi="Calibri" w:cs="Calibri"/>
          <w:color w:val="000000" w:themeColor="text1"/>
          <w:sz w:val="30"/>
        </w:rPr>
        <w:t>基金的投资</w:t>
      </w:r>
      <w:bookmarkEnd w:id="293"/>
      <w:bookmarkEnd w:id="294"/>
      <w:bookmarkEnd w:id="295"/>
      <w:bookmarkEnd w:id="296"/>
      <w:bookmarkEnd w:id="297"/>
      <w:bookmarkEnd w:id="298"/>
      <w:bookmarkEnd w:id="299"/>
      <w:bookmarkEnd w:id="300"/>
      <w:bookmarkEnd w:id="301"/>
      <w:bookmarkEnd w:id="302"/>
      <w:bookmarkEnd w:id="303"/>
      <w:bookmarkEnd w:id="304"/>
    </w:p>
    <w:p w14:paraId="4897CAD3" w14:textId="77777777" w:rsidR="007149DF" w:rsidRPr="00777BCD" w:rsidRDefault="007149DF">
      <w:pPr>
        <w:ind w:firstLine="480"/>
        <w:rPr>
          <w:rFonts w:ascii="Calibri" w:hAnsi="Calibri" w:cs="Calibri"/>
          <w:bCs/>
          <w:color w:val="000000" w:themeColor="text1"/>
          <w:sz w:val="24"/>
        </w:rPr>
      </w:pPr>
    </w:p>
    <w:p w14:paraId="024CD746"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一、投资目标</w:t>
      </w:r>
    </w:p>
    <w:p w14:paraId="58EB4B01" w14:textId="157E5AFC" w:rsidR="007149DF" w:rsidRPr="00777BCD" w:rsidRDefault="00284640">
      <w:pPr>
        <w:pStyle w:val="a9"/>
        <w:ind w:firstLineChars="200" w:firstLine="480"/>
        <w:rPr>
          <w:rFonts w:ascii="Calibri" w:hAnsi="Calibri" w:cs="Calibri"/>
          <w:bCs/>
          <w:color w:val="000000" w:themeColor="text1"/>
          <w:sz w:val="24"/>
        </w:rPr>
      </w:pPr>
      <w:bookmarkStart w:id="306" w:name="_Hlk146023414"/>
      <w:r w:rsidRPr="00777BCD">
        <w:rPr>
          <w:rFonts w:ascii="Calibri" w:hAnsi="Calibri" w:cs="Calibri"/>
          <w:bCs/>
          <w:color w:val="000000" w:themeColor="text1"/>
          <w:sz w:val="24"/>
        </w:rPr>
        <w:t>本基金秉持</w:t>
      </w:r>
      <w:r w:rsidR="00B43597">
        <w:rPr>
          <w:rFonts w:ascii="Calibri" w:hAnsi="Calibri" w:cs="Calibri"/>
          <w:bCs/>
          <w:color w:val="000000" w:themeColor="text1"/>
          <w:sz w:val="24"/>
        </w:rPr>
        <w:t>ESG</w:t>
      </w:r>
      <w:r w:rsidR="00B43597">
        <w:rPr>
          <w:rFonts w:ascii="Calibri" w:hAnsi="Calibri" w:cs="Calibri"/>
          <w:bCs/>
          <w:color w:val="000000" w:themeColor="text1"/>
          <w:sz w:val="24"/>
        </w:rPr>
        <w:t>主题</w:t>
      </w:r>
      <w:r w:rsidR="00FE4684">
        <w:rPr>
          <w:rFonts w:ascii="Calibri" w:hAnsi="Calibri" w:cs="Calibri" w:hint="eastAsia"/>
          <w:bCs/>
          <w:color w:val="000000" w:themeColor="text1"/>
          <w:sz w:val="24"/>
        </w:rPr>
        <w:t>投资</w:t>
      </w:r>
      <w:r w:rsidRPr="00777BCD">
        <w:rPr>
          <w:rFonts w:ascii="Calibri" w:hAnsi="Calibri" w:cs="Calibri"/>
          <w:bCs/>
          <w:color w:val="000000" w:themeColor="text1"/>
          <w:sz w:val="24"/>
        </w:rPr>
        <w:t>理念，在保持资产流动性以及控制风险的基础上，通过积极主动的投资管理，追求基金资产的长期稳健增值。</w:t>
      </w:r>
    </w:p>
    <w:bookmarkEnd w:id="306"/>
    <w:p w14:paraId="55A95682" w14:textId="77777777" w:rsidR="007149DF" w:rsidRPr="00777BCD" w:rsidRDefault="007149DF">
      <w:pPr>
        <w:pStyle w:val="a9"/>
        <w:rPr>
          <w:rFonts w:ascii="Calibri" w:hAnsi="Calibri" w:cs="Calibri"/>
        </w:rPr>
      </w:pPr>
    </w:p>
    <w:p w14:paraId="5C688E58"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二、投资范围</w:t>
      </w:r>
    </w:p>
    <w:p w14:paraId="03DE831D" w14:textId="2D217AC1" w:rsidR="007149DF" w:rsidRPr="00777BCD" w:rsidRDefault="00284640" w:rsidP="00CA1424">
      <w:pPr>
        <w:ind w:firstLine="480"/>
        <w:rPr>
          <w:rFonts w:ascii="Calibri" w:hAnsi="Calibri" w:cs="Calibri"/>
          <w:bCs/>
          <w:color w:val="000000" w:themeColor="text1"/>
          <w:sz w:val="24"/>
        </w:rPr>
      </w:pPr>
      <w:bookmarkStart w:id="307" w:name="_Hlk47893430"/>
      <w:r w:rsidRPr="00777BCD">
        <w:rPr>
          <w:rFonts w:ascii="Calibri" w:hAnsi="Calibri" w:cs="Calibri"/>
          <w:bCs/>
          <w:color w:val="000000" w:themeColor="text1"/>
          <w:sz w:val="24"/>
        </w:rPr>
        <w:t>本基金的投资范围主要为具有良好流动性的金融工具，包括国内依法发行上市的股票（含主板、创业板及其他经中国证监会核准或注册上市的股票和存托凭证）、港股通标的股票、债券（包括国债、央行票据、地方政府债券、政府支持机构债券、政府支持债券、金融债券、企业债券、公司债券、次级债券、短期融资</w:t>
      </w:r>
      <w:proofErr w:type="gramStart"/>
      <w:r w:rsidRPr="00777BCD">
        <w:rPr>
          <w:rFonts w:ascii="Calibri" w:hAnsi="Calibri" w:cs="Calibri"/>
          <w:bCs/>
          <w:color w:val="000000" w:themeColor="text1"/>
          <w:sz w:val="24"/>
        </w:rPr>
        <w:t>券</w:t>
      </w:r>
      <w:proofErr w:type="gramEnd"/>
      <w:r w:rsidRPr="00777BCD">
        <w:rPr>
          <w:rFonts w:ascii="Calibri" w:hAnsi="Calibri" w:cs="Calibri"/>
          <w:bCs/>
          <w:color w:val="000000" w:themeColor="text1"/>
          <w:sz w:val="24"/>
        </w:rPr>
        <w:t>、超短期融资</w:t>
      </w:r>
      <w:proofErr w:type="gramStart"/>
      <w:r w:rsidRPr="00777BCD">
        <w:rPr>
          <w:rFonts w:ascii="Calibri" w:hAnsi="Calibri" w:cs="Calibri"/>
          <w:bCs/>
          <w:color w:val="000000" w:themeColor="text1"/>
          <w:sz w:val="24"/>
        </w:rPr>
        <w:t>券</w:t>
      </w:r>
      <w:proofErr w:type="gramEnd"/>
      <w:r w:rsidRPr="00777BCD">
        <w:rPr>
          <w:rFonts w:ascii="Calibri" w:hAnsi="Calibri" w:cs="Calibri"/>
          <w:bCs/>
          <w:color w:val="000000" w:themeColor="text1"/>
          <w:sz w:val="24"/>
        </w:rPr>
        <w:t>、中期票据、可转换债券（</w:t>
      </w:r>
      <w:proofErr w:type="gramStart"/>
      <w:r w:rsidRPr="00777BCD">
        <w:rPr>
          <w:rFonts w:ascii="Calibri" w:hAnsi="Calibri" w:cs="Calibri"/>
          <w:bCs/>
          <w:color w:val="000000" w:themeColor="text1"/>
          <w:sz w:val="24"/>
        </w:rPr>
        <w:t>含可分离</w:t>
      </w:r>
      <w:proofErr w:type="gramEnd"/>
      <w:r w:rsidRPr="00777BCD">
        <w:rPr>
          <w:rFonts w:ascii="Calibri" w:hAnsi="Calibri" w:cs="Calibri"/>
          <w:bCs/>
          <w:color w:val="000000" w:themeColor="text1"/>
          <w:sz w:val="24"/>
        </w:rPr>
        <w:t>交易可转换债券）、可交换债券及其他中国证监会允许基金投资的债券）、资产支持证券、债券回购、银行存款、同业存单、货币市场工具、股指期货以及法律法规或中国证监会允许基金投资的其他金融工具（但须符合中国证监会相关规定）。</w:t>
      </w:r>
    </w:p>
    <w:p w14:paraId="0A58A629"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本基金可根据法律法规的规定参与融资业务。</w:t>
      </w:r>
    </w:p>
    <w:p w14:paraId="05EB3655" w14:textId="77777777" w:rsidR="007149DF" w:rsidRPr="00777BCD" w:rsidRDefault="00284640" w:rsidP="00CA1424">
      <w:pPr>
        <w:ind w:firstLine="480"/>
        <w:rPr>
          <w:rFonts w:ascii="Calibri" w:hAnsi="Calibri" w:cs="Calibri"/>
          <w:color w:val="000000" w:themeColor="text1"/>
          <w:sz w:val="24"/>
        </w:rPr>
      </w:pPr>
      <w:r w:rsidRPr="00777BCD">
        <w:rPr>
          <w:rFonts w:ascii="Calibri" w:hAnsi="Calibri" w:cs="Calibri"/>
          <w:bCs/>
          <w:color w:val="000000" w:themeColor="text1"/>
          <w:sz w:val="24"/>
        </w:rPr>
        <w:t>如法律法规或监管机构以后允许基金投资其他品种，基金管理人在履行适当程序后，可以将其纳入投资范围。</w:t>
      </w:r>
    </w:p>
    <w:p w14:paraId="2B9020A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基金的投资组合比例为：</w:t>
      </w:r>
    </w:p>
    <w:p w14:paraId="5340EB2D" w14:textId="5D3D1FB0"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本基金股票资产占基金资产的比例为</w:t>
      </w:r>
      <w:r w:rsidRPr="00777BCD">
        <w:rPr>
          <w:rFonts w:ascii="Calibri" w:hAnsi="Calibri" w:cs="Calibri"/>
          <w:bCs/>
          <w:color w:val="000000" w:themeColor="text1"/>
          <w:sz w:val="24"/>
        </w:rPr>
        <w:t>60%-95%</w:t>
      </w:r>
      <w:r w:rsidRPr="00777BCD">
        <w:rPr>
          <w:rFonts w:ascii="Calibri" w:hAnsi="Calibri" w:cs="Calibri"/>
          <w:bCs/>
          <w:color w:val="000000" w:themeColor="text1"/>
          <w:sz w:val="24"/>
        </w:rPr>
        <w:t>，其中投资于港股通标的股票的比例不超过股票资产的</w:t>
      </w:r>
      <w:r w:rsidRPr="00777BCD">
        <w:rPr>
          <w:rFonts w:ascii="Calibri" w:hAnsi="Calibri" w:cs="Calibri"/>
          <w:bCs/>
          <w:color w:val="000000" w:themeColor="text1"/>
          <w:sz w:val="24"/>
        </w:rPr>
        <w:t>50%</w:t>
      </w:r>
      <w:r w:rsidRPr="00777BCD">
        <w:rPr>
          <w:rFonts w:ascii="Calibri" w:hAnsi="Calibri" w:cs="Calibri"/>
          <w:bCs/>
          <w:color w:val="000000" w:themeColor="text1"/>
          <w:sz w:val="24"/>
        </w:rPr>
        <w:t>，投资于</w:t>
      </w:r>
      <w:r w:rsidR="00B43597">
        <w:rPr>
          <w:rFonts w:ascii="Calibri" w:hAnsi="Calibri" w:cs="Calibri"/>
          <w:bCs/>
          <w:color w:val="000000" w:themeColor="text1"/>
          <w:sz w:val="24"/>
        </w:rPr>
        <w:t>ESG</w:t>
      </w:r>
      <w:r w:rsidRPr="00777BCD">
        <w:rPr>
          <w:rFonts w:ascii="Calibri" w:hAnsi="Calibri" w:cs="Calibri"/>
          <w:bCs/>
          <w:color w:val="000000" w:themeColor="text1"/>
          <w:sz w:val="24"/>
        </w:rPr>
        <w:t>主题股票的比例不低于非现金基金资产的</w:t>
      </w:r>
      <w:r w:rsidRPr="00777BCD">
        <w:rPr>
          <w:rFonts w:ascii="Calibri" w:hAnsi="Calibri" w:cs="Calibri"/>
          <w:bCs/>
          <w:color w:val="000000" w:themeColor="text1"/>
          <w:sz w:val="24"/>
        </w:rPr>
        <w:t>80%</w:t>
      </w:r>
      <w:r w:rsidRPr="00777BCD">
        <w:rPr>
          <w:rFonts w:ascii="Calibri" w:hAnsi="Calibri" w:cs="Calibri"/>
          <w:bCs/>
          <w:color w:val="000000" w:themeColor="text1"/>
          <w:sz w:val="24"/>
        </w:rPr>
        <w:t>；每个交易日日终在扣除股指期货合约需缴纳的交易保证金后，基金保留的现金或到期日在一年以内的政府债券的比例合计不低于基金资产净值的</w:t>
      </w:r>
      <w:r w:rsidRPr="00777BCD">
        <w:rPr>
          <w:rFonts w:ascii="Calibri" w:hAnsi="Calibri" w:cs="Calibri"/>
          <w:bCs/>
          <w:color w:val="000000" w:themeColor="text1"/>
          <w:sz w:val="24"/>
        </w:rPr>
        <w:t>5%</w:t>
      </w:r>
      <w:r w:rsidRPr="00777BCD">
        <w:rPr>
          <w:rFonts w:ascii="Calibri" w:hAnsi="Calibri" w:cs="Calibri"/>
          <w:bCs/>
          <w:color w:val="000000" w:themeColor="text1"/>
          <w:sz w:val="24"/>
        </w:rPr>
        <w:t>，其中现金不包括结算备付金、存出保证金、应收申购款等。</w:t>
      </w:r>
    </w:p>
    <w:p w14:paraId="78F20CD9" w14:textId="35244BE6"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如法律法规或中国证监会变更投资品种的投资比例限制，基金管理人在履行适当程序后，可以调整上述投资品种的投资比例。</w:t>
      </w:r>
      <w:bookmarkEnd w:id="307"/>
    </w:p>
    <w:p w14:paraId="78E3EA06" w14:textId="77777777" w:rsidR="007149DF" w:rsidRPr="00777BCD" w:rsidRDefault="007149DF">
      <w:pPr>
        <w:ind w:firstLine="480"/>
        <w:jc w:val="left"/>
        <w:rPr>
          <w:rFonts w:ascii="Calibri" w:hAnsi="Calibri" w:cs="Calibri"/>
          <w:bCs/>
          <w:color w:val="000000" w:themeColor="text1"/>
          <w:sz w:val="24"/>
        </w:rPr>
      </w:pPr>
    </w:p>
    <w:p w14:paraId="5A95D87F"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三、投资策略</w:t>
      </w:r>
    </w:p>
    <w:p w14:paraId="419F64C4"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lastRenderedPageBreak/>
        <w:t>1</w:t>
      </w:r>
      <w:r w:rsidRPr="00777BCD">
        <w:rPr>
          <w:rFonts w:ascii="Calibri" w:hAnsi="Calibri" w:cs="Calibri"/>
          <w:bCs/>
          <w:color w:val="000000" w:themeColor="text1"/>
          <w:sz w:val="24"/>
        </w:rPr>
        <w:t>、资产配置策略</w:t>
      </w:r>
    </w:p>
    <w:p w14:paraId="1AE98ADF"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本基金通过定量分析和定性分析相结合的方法，综合分析宏观经济面、政策面、市场面等多种因素以及证券市场的演化趋势，评估股票、债券等各类资产的预期收益和风险，在投资比例限制范围内，确定或调整投资组合中股票、债券等各类资产的比例。</w:t>
      </w:r>
    </w:p>
    <w:p w14:paraId="0C81546C" w14:textId="04F3B006"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本基金考虑的宏观经济指标包括</w:t>
      </w:r>
      <w:r w:rsidRPr="00777BCD">
        <w:rPr>
          <w:rFonts w:ascii="Calibri" w:hAnsi="Calibri" w:cs="Calibri"/>
          <w:bCs/>
          <w:color w:val="000000" w:themeColor="text1"/>
          <w:sz w:val="24"/>
        </w:rPr>
        <w:t>GDP</w:t>
      </w:r>
      <w:r w:rsidRPr="00777BCD">
        <w:rPr>
          <w:rFonts w:ascii="Calibri" w:hAnsi="Calibri" w:cs="Calibri"/>
          <w:bCs/>
          <w:color w:val="000000" w:themeColor="text1"/>
          <w:sz w:val="24"/>
        </w:rPr>
        <w:t>增长率、居民消费价格指数、生产者价格指数、货币供应量的增长率等；政策面因素包括货币政策、财政政策、产业政策的变化趋势等；市场因素包括市场资金供求变化、上市公司的盈利增长情况、市场总体</w:t>
      </w:r>
      <w:r w:rsidRPr="00777BCD">
        <w:rPr>
          <w:rFonts w:ascii="Calibri" w:hAnsi="Calibri" w:cs="Calibri"/>
          <w:bCs/>
          <w:color w:val="000000" w:themeColor="text1"/>
          <w:sz w:val="24"/>
        </w:rPr>
        <w:t>PE</w:t>
      </w:r>
      <w:r w:rsidRPr="00777BCD">
        <w:rPr>
          <w:rFonts w:ascii="Calibri" w:hAnsi="Calibri" w:cs="Calibri"/>
          <w:bCs/>
          <w:color w:val="000000" w:themeColor="text1"/>
          <w:sz w:val="24"/>
        </w:rPr>
        <w:t>、</w:t>
      </w:r>
      <w:r w:rsidRPr="00777BCD">
        <w:rPr>
          <w:rFonts w:ascii="Calibri" w:hAnsi="Calibri" w:cs="Calibri"/>
          <w:bCs/>
          <w:color w:val="000000" w:themeColor="text1"/>
          <w:sz w:val="24"/>
        </w:rPr>
        <w:t>PB</w:t>
      </w:r>
      <w:r w:rsidRPr="00777BCD">
        <w:rPr>
          <w:rFonts w:ascii="Calibri" w:hAnsi="Calibri" w:cs="Calibri"/>
          <w:bCs/>
          <w:color w:val="000000" w:themeColor="text1"/>
          <w:sz w:val="24"/>
        </w:rPr>
        <w:t>等指标相对于长期均值水平的偏离度等。</w:t>
      </w:r>
    </w:p>
    <w:p w14:paraId="58906AAE"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、股票投资策略</w:t>
      </w:r>
    </w:p>
    <w:p w14:paraId="37597EF0" w14:textId="4E26FA1C"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本基金通过将环境、社会和公司治理（</w:t>
      </w:r>
      <w:r w:rsidRPr="00777BCD">
        <w:rPr>
          <w:rFonts w:ascii="Calibri" w:hAnsi="Calibri" w:cs="Calibri"/>
          <w:bCs/>
          <w:color w:val="000000" w:themeColor="text1"/>
          <w:sz w:val="24"/>
        </w:rPr>
        <w:t>ESG</w:t>
      </w:r>
      <w:r w:rsidRPr="00777BCD">
        <w:rPr>
          <w:rFonts w:ascii="Calibri" w:hAnsi="Calibri" w:cs="Calibri"/>
          <w:bCs/>
          <w:color w:val="000000" w:themeColor="text1"/>
          <w:sz w:val="24"/>
        </w:rPr>
        <w:t>）因素纳入投资决策开展可持续投资实践。本基金基于内部</w:t>
      </w:r>
      <w:r w:rsidRPr="00777BCD">
        <w:rPr>
          <w:rFonts w:ascii="Calibri" w:hAnsi="Calibri" w:cs="Calibri"/>
          <w:bCs/>
          <w:color w:val="000000" w:themeColor="text1"/>
          <w:sz w:val="24"/>
        </w:rPr>
        <w:t>ESG</w:t>
      </w:r>
      <w:r w:rsidRPr="00777BCD">
        <w:rPr>
          <w:rFonts w:ascii="Calibri" w:hAnsi="Calibri" w:cs="Calibri"/>
          <w:bCs/>
          <w:color w:val="000000" w:themeColor="text1"/>
          <w:sz w:val="24"/>
        </w:rPr>
        <w:t>评价体系与第三方</w:t>
      </w:r>
      <w:r w:rsidRPr="00777BCD">
        <w:rPr>
          <w:rFonts w:ascii="Calibri" w:hAnsi="Calibri" w:cs="Calibri"/>
          <w:bCs/>
          <w:color w:val="000000" w:themeColor="text1"/>
          <w:sz w:val="24"/>
        </w:rPr>
        <w:t>ESG</w:t>
      </w:r>
      <w:r w:rsidRPr="00777BCD">
        <w:rPr>
          <w:rFonts w:ascii="Calibri" w:hAnsi="Calibri" w:cs="Calibri"/>
          <w:bCs/>
          <w:color w:val="000000" w:themeColor="text1"/>
          <w:sz w:val="24"/>
        </w:rPr>
        <w:t>评级相结合的</w:t>
      </w:r>
      <w:r w:rsidRPr="00777BCD">
        <w:rPr>
          <w:rFonts w:ascii="Calibri" w:hAnsi="Calibri" w:cs="Calibri"/>
          <w:bCs/>
          <w:color w:val="000000" w:themeColor="text1"/>
          <w:sz w:val="24"/>
        </w:rPr>
        <w:t>ESG</w:t>
      </w:r>
      <w:r w:rsidRPr="00777BCD">
        <w:rPr>
          <w:rFonts w:ascii="Calibri" w:hAnsi="Calibri" w:cs="Calibri"/>
          <w:bCs/>
          <w:color w:val="000000" w:themeColor="text1"/>
          <w:sz w:val="24"/>
        </w:rPr>
        <w:t>评价数据库，采用负面剔除和</w:t>
      </w:r>
      <w:r w:rsidRPr="00777BCD">
        <w:rPr>
          <w:rFonts w:ascii="Calibri" w:hAnsi="Calibri" w:cs="Calibri"/>
          <w:bCs/>
          <w:color w:val="000000" w:themeColor="text1"/>
          <w:sz w:val="24"/>
        </w:rPr>
        <w:t>ESG</w:t>
      </w:r>
      <w:r w:rsidRPr="00777BCD">
        <w:rPr>
          <w:rFonts w:ascii="Calibri" w:hAnsi="Calibri" w:cs="Calibri"/>
          <w:bCs/>
          <w:color w:val="000000" w:themeColor="text1"/>
          <w:sz w:val="24"/>
        </w:rPr>
        <w:t>指标评价方法，在构建、调整投资组合时，根据负面剔除的原则，对不符合</w:t>
      </w:r>
      <w:r w:rsidRPr="00777BCD">
        <w:rPr>
          <w:rFonts w:ascii="Calibri" w:hAnsi="Calibri" w:cs="Calibri"/>
          <w:bCs/>
          <w:color w:val="000000" w:themeColor="text1"/>
          <w:sz w:val="24"/>
        </w:rPr>
        <w:t>ESG</w:t>
      </w:r>
      <w:r w:rsidRPr="00777BCD">
        <w:rPr>
          <w:rFonts w:ascii="Calibri" w:hAnsi="Calibri" w:cs="Calibri"/>
          <w:bCs/>
          <w:color w:val="000000" w:themeColor="text1"/>
          <w:sz w:val="24"/>
        </w:rPr>
        <w:t>理念以及有重大</w:t>
      </w:r>
      <w:r w:rsidRPr="00777BCD">
        <w:rPr>
          <w:rFonts w:ascii="Calibri" w:hAnsi="Calibri" w:cs="Calibri"/>
          <w:bCs/>
          <w:color w:val="000000" w:themeColor="text1"/>
          <w:sz w:val="24"/>
        </w:rPr>
        <w:t>ESG</w:t>
      </w:r>
      <w:r w:rsidRPr="00777BCD">
        <w:rPr>
          <w:rFonts w:ascii="Calibri" w:hAnsi="Calibri" w:cs="Calibri"/>
          <w:bCs/>
          <w:color w:val="000000" w:themeColor="text1"/>
          <w:sz w:val="24"/>
        </w:rPr>
        <w:t>负面记录的行业及个股进行剔除；在此基础上，对于符合</w:t>
      </w:r>
      <w:r w:rsidRPr="00777BCD">
        <w:rPr>
          <w:rFonts w:ascii="Calibri" w:hAnsi="Calibri" w:cs="Calibri"/>
          <w:bCs/>
          <w:color w:val="000000" w:themeColor="text1"/>
          <w:sz w:val="24"/>
        </w:rPr>
        <w:t>ESG</w:t>
      </w:r>
      <w:r w:rsidRPr="00777BCD">
        <w:rPr>
          <w:rFonts w:ascii="Calibri" w:hAnsi="Calibri" w:cs="Calibri"/>
          <w:bCs/>
          <w:color w:val="000000" w:themeColor="text1"/>
          <w:sz w:val="24"/>
        </w:rPr>
        <w:t>投资标准的公司，通过分析公司公开披露信息和实地调研等定性、定量相结合的方式综合评价其环境、社会和公司治理方面的表现，并持续跟踪以保证相关公司</w:t>
      </w:r>
      <w:proofErr w:type="spellStart"/>
      <w:r w:rsidRPr="00777BCD">
        <w:rPr>
          <w:rFonts w:ascii="Calibri" w:hAnsi="Calibri" w:cs="Calibri"/>
          <w:bCs/>
          <w:color w:val="000000" w:themeColor="text1"/>
          <w:sz w:val="24"/>
        </w:rPr>
        <w:t>ESG</w:t>
      </w:r>
      <w:proofErr w:type="spellEnd"/>
      <w:r w:rsidRPr="00777BCD">
        <w:rPr>
          <w:rFonts w:ascii="Calibri" w:hAnsi="Calibri" w:cs="Calibri"/>
          <w:bCs/>
          <w:color w:val="000000" w:themeColor="text1"/>
          <w:sz w:val="24"/>
        </w:rPr>
        <w:t>评价的及时更新。</w:t>
      </w:r>
    </w:p>
    <w:p w14:paraId="7F677BF9" w14:textId="74BD060F"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w:t>
      </w:r>
      <w:r w:rsidRPr="00777BCD">
        <w:rPr>
          <w:rFonts w:ascii="Calibri" w:hAnsi="Calibri" w:cs="Calibri"/>
          <w:bCs/>
          <w:color w:val="000000" w:themeColor="text1"/>
          <w:sz w:val="24"/>
        </w:rPr>
        <w:t>）</w:t>
      </w:r>
      <w:r w:rsidR="00B43597">
        <w:rPr>
          <w:rFonts w:ascii="Calibri" w:hAnsi="Calibri" w:cs="Calibri"/>
          <w:bCs/>
          <w:color w:val="000000" w:themeColor="text1"/>
          <w:sz w:val="24"/>
        </w:rPr>
        <w:t>ESG</w:t>
      </w:r>
      <w:r w:rsidR="00B43597">
        <w:rPr>
          <w:rFonts w:ascii="Calibri" w:hAnsi="Calibri" w:cs="Calibri"/>
          <w:bCs/>
          <w:color w:val="000000" w:themeColor="text1"/>
          <w:sz w:val="24"/>
        </w:rPr>
        <w:t>主题</w:t>
      </w:r>
      <w:r w:rsidRPr="00777BCD">
        <w:rPr>
          <w:rFonts w:ascii="Calibri" w:hAnsi="Calibri" w:cs="Calibri"/>
          <w:bCs/>
          <w:color w:val="000000" w:themeColor="text1"/>
          <w:sz w:val="24"/>
        </w:rPr>
        <w:t>的界定</w:t>
      </w:r>
    </w:p>
    <w:p w14:paraId="400C07E7" w14:textId="77777777" w:rsidR="007149DF" w:rsidRPr="00777BCD" w:rsidRDefault="00284640" w:rsidP="00CA1424">
      <w:pPr>
        <w:ind w:firstLine="480"/>
        <w:rPr>
          <w:rFonts w:ascii="Calibri" w:hAnsi="Calibri" w:cs="Calibri"/>
          <w:bCs/>
          <w:color w:val="000000" w:themeColor="text1"/>
          <w:sz w:val="24"/>
        </w:rPr>
      </w:pPr>
      <w:r w:rsidRPr="00777BCD">
        <w:rPr>
          <w:rFonts w:ascii="Calibri" w:hAnsi="Calibri" w:cs="Calibri"/>
          <w:bCs/>
          <w:color w:val="000000" w:themeColor="text1"/>
          <w:sz w:val="24"/>
        </w:rPr>
        <w:t>ESG</w:t>
      </w:r>
      <w:r w:rsidRPr="00777BCD">
        <w:rPr>
          <w:rFonts w:ascii="Calibri" w:hAnsi="Calibri" w:cs="Calibri"/>
          <w:bCs/>
          <w:color w:val="000000" w:themeColor="text1"/>
          <w:sz w:val="24"/>
        </w:rPr>
        <w:t>投资是环境（</w:t>
      </w:r>
      <w:r w:rsidRPr="00777BCD">
        <w:rPr>
          <w:rFonts w:ascii="Calibri" w:hAnsi="Calibri" w:cs="Calibri"/>
          <w:bCs/>
          <w:color w:val="000000" w:themeColor="text1"/>
          <w:sz w:val="24"/>
        </w:rPr>
        <w:t>Environmental</w:t>
      </w:r>
      <w:r w:rsidRPr="00777BCD">
        <w:rPr>
          <w:rFonts w:ascii="Calibri" w:hAnsi="Calibri" w:cs="Calibri"/>
          <w:bCs/>
          <w:color w:val="000000" w:themeColor="text1"/>
          <w:sz w:val="24"/>
        </w:rPr>
        <w:t>）、社会（</w:t>
      </w:r>
      <w:r w:rsidRPr="00777BCD">
        <w:rPr>
          <w:rFonts w:ascii="Calibri" w:hAnsi="Calibri" w:cs="Calibri"/>
          <w:bCs/>
          <w:color w:val="000000" w:themeColor="text1"/>
          <w:sz w:val="24"/>
        </w:rPr>
        <w:t>Social</w:t>
      </w:r>
      <w:r w:rsidRPr="00777BCD">
        <w:rPr>
          <w:rFonts w:ascii="Calibri" w:hAnsi="Calibri" w:cs="Calibri"/>
          <w:bCs/>
          <w:color w:val="000000" w:themeColor="text1"/>
          <w:sz w:val="24"/>
        </w:rPr>
        <w:t>）、公司治理（</w:t>
      </w:r>
      <w:r w:rsidRPr="00777BCD">
        <w:rPr>
          <w:rFonts w:ascii="Calibri" w:hAnsi="Calibri" w:cs="Calibri"/>
          <w:bCs/>
          <w:color w:val="000000" w:themeColor="text1"/>
          <w:sz w:val="24"/>
        </w:rPr>
        <w:t>Governance</w:t>
      </w:r>
      <w:r w:rsidRPr="00777BCD">
        <w:rPr>
          <w:rFonts w:ascii="Calibri" w:hAnsi="Calibri" w:cs="Calibri"/>
          <w:bCs/>
          <w:color w:val="000000" w:themeColor="text1"/>
          <w:sz w:val="24"/>
        </w:rPr>
        <w:t>）投资的总称，也是现代社会责任投资的重要组成部分，在投资决策过程中，除基于传统的财务回报因素外，也要从环境、社会、公司治理三大角度，评估企业经营的可持续性，以及对社会价值观的影响。</w:t>
      </w:r>
      <w:r w:rsidRPr="00777BCD">
        <w:rPr>
          <w:rFonts w:ascii="Calibri" w:hAnsi="Calibri" w:cs="Calibri"/>
          <w:bCs/>
          <w:color w:val="000000" w:themeColor="text1"/>
          <w:sz w:val="24"/>
        </w:rPr>
        <w:t>ESG</w:t>
      </w:r>
      <w:r w:rsidRPr="00777BCD">
        <w:rPr>
          <w:rFonts w:ascii="Calibri" w:hAnsi="Calibri" w:cs="Calibri"/>
          <w:bCs/>
          <w:color w:val="000000" w:themeColor="text1"/>
          <w:sz w:val="24"/>
        </w:rPr>
        <w:t>投资的核心就是希望可以探索出一条可持续发展的道路，将传统投资与</w:t>
      </w:r>
      <w:r w:rsidRPr="00777BCD">
        <w:rPr>
          <w:rFonts w:ascii="Calibri" w:hAnsi="Calibri" w:cs="Calibri"/>
          <w:bCs/>
          <w:color w:val="000000" w:themeColor="text1"/>
          <w:sz w:val="24"/>
        </w:rPr>
        <w:t>ESG</w:t>
      </w:r>
      <w:r w:rsidRPr="00777BCD">
        <w:rPr>
          <w:rFonts w:ascii="Calibri" w:hAnsi="Calibri" w:cs="Calibri"/>
          <w:bCs/>
          <w:color w:val="000000" w:themeColor="text1"/>
          <w:sz w:val="24"/>
        </w:rPr>
        <w:t>的相关理念结合起来，寻求商业价值与社会责任之间的平衡。</w:t>
      </w:r>
    </w:p>
    <w:p w14:paraId="2897F9EB"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本基金重点关注</w:t>
      </w:r>
      <w:r w:rsidRPr="00777BCD">
        <w:rPr>
          <w:rFonts w:ascii="Calibri" w:hAnsi="Calibri" w:cs="Calibri"/>
          <w:bCs/>
          <w:color w:val="000000" w:themeColor="text1"/>
          <w:sz w:val="24"/>
        </w:rPr>
        <w:t>ESG</w:t>
      </w:r>
      <w:r w:rsidRPr="00777BCD">
        <w:rPr>
          <w:rFonts w:ascii="Calibri" w:hAnsi="Calibri" w:cs="Calibri"/>
          <w:bCs/>
          <w:color w:val="000000" w:themeColor="text1"/>
          <w:sz w:val="24"/>
        </w:rPr>
        <w:t>指标包括：</w:t>
      </w:r>
    </w:p>
    <w:p w14:paraId="695B6D68"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）环境</w:t>
      </w:r>
      <w:r w:rsidRPr="00777BCD">
        <w:rPr>
          <w:rFonts w:ascii="Calibri" w:hAnsi="Calibri" w:cs="Calibri"/>
          <w:bCs/>
          <w:color w:val="000000" w:themeColor="text1"/>
          <w:sz w:val="24"/>
        </w:rPr>
        <w:t>(E)</w:t>
      </w:r>
    </w:p>
    <w:p w14:paraId="73812218"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环境维</w:t>
      </w:r>
      <w:proofErr w:type="gramStart"/>
      <w:r w:rsidRPr="00777BCD">
        <w:rPr>
          <w:rFonts w:ascii="Calibri" w:hAnsi="Calibri" w:cs="Calibri"/>
          <w:bCs/>
          <w:color w:val="000000" w:themeColor="text1"/>
          <w:sz w:val="24"/>
        </w:rPr>
        <w:t>度重点</w:t>
      </w:r>
      <w:proofErr w:type="gramEnd"/>
      <w:r w:rsidRPr="00777BCD">
        <w:rPr>
          <w:rFonts w:ascii="Calibri" w:hAnsi="Calibri" w:cs="Calibri"/>
          <w:bCs/>
          <w:color w:val="000000" w:themeColor="text1"/>
          <w:sz w:val="24"/>
        </w:rPr>
        <w:t>考察企业活动对环境直接或间接的影响，主要包括：</w:t>
      </w:r>
    </w:p>
    <w:p w14:paraId="3C05E177"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环境管理：外部环境管理体系认证、公司节能节水政策、员工环境保护培训等；</w:t>
      </w:r>
    </w:p>
    <w:p w14:paraId="48A757B0"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lastRenderedPageBreak/>
        <w:t>环境披露：能源消耗量和节能量、耗水情况、碳排放、污染排放等；</w:t>
      </w:r>
    </w:p>
    <w:p w14:paraId="56DBE363"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负面事项：水污染、大气污染、固</w:t>
      </w:r>
      <w:proofErr w:type="gramStart"/>
      <w:r w:rsidRPr="00777BCD">
        <w:rPr>
          <w:rFonts w:ascii="Calibri" w:hAnsi="Calibri" w:cs="Calibri"/>
          <w:bCs/>
          <w:color w:val="000000" w:themeColor="text1"/>
          <w:sz w:val="24"/>
        </w:rPr>
        <w:t>废污染</w:t>
      </w:r>
      <w:proofErr w:type="gramEnd"/>
      <w:r w:rsidRPr="00777BCD">
        <w:rPr>
          <w:rFonts w:ascii="Calibri" w:hAnsi="Calibri" w:cs="Calibri"/>
          <w:bCs/>
          <w:color w:val="000000" w:themeColor="text1"/>
          <w:sz w:val="24"/>
        </w:rPr>
        <w:t>负面事件等。</w:t>
      </w:r>
    </w:p>
    <w:p w14:paraId="4CAF2EBF"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）社会</w:t>
      </w:r>
      <w:r w:rsidRPr="00777BCD">
        <w:rPr>
          <w:rFonts w:ascii="Calibri" w:hAnsi="Calibri" w:cs="Calibri"/>
          <w:bCs/>
          <w:color w:val="000000" w:themeColor="text1"/>
          <w:sz w:val="24"/>
        </w:rPr>
        <w:t>(S)</w:t>
      </w:r>
    </w:p>
    <w:p w14:paraId="77A130CC"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社会维</w:t>
      </w:r>
      <w:proofErr w:type="gramStart"/>
      <w:r w:rsidRPr="00777BCD">
        <w:rPr>
          <w:rFonts w:ascii="Calibri" w:hAnsi="Calibri" w:cs="Calibri"/>
          <w:bCs/>
          <w:color w:val="000000" w:themeColor="text1"/>
          <w:sz w:val="24"/>
        </w:rPr>
        <w:t>度重点</w:t>
      </w:r>
      <w:proofErr w:type="gramEnd"/>
      <w:r w:rsidRPr="00777BCD">
        <w:rPr>
          <w:rFonts w:ascii="Calibri" w:hAnsi="Calibri" w:cs="Calibri"/>
          <w:bCs/>
          <w:color w:val="000000" w:themeColor="text1"/>
          <w:sz w:val="24"/>
        </w:rPr>
        <w:t>考察企业员工管理、供应链管理、产品安全性等可能对社会造成的影响，主要包括：</w:t>
      </w:r>
    </w:p>
    <w:p w14:paraId="7DD9F306"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责任披露管理：社会责任报告披露、社会责任报告编制质量等；</w:t>
      </w:r>
    </w:p>
    <w:p w14:paraId="2D4D2331"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员工管理：员工健康与安全、员工多样化、女性员工数量、员工薪酬、员工培训情况、员工离职率等；</w:t>
      </w:r>
    </w:p>
    <w:p w14:paraId="034BEBF1"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供应链管理：供应</w:t>
      </w:r>
      <w:proofErr w:type="gramStart"/>
      <w:r w:rsidRPr="00777BCD">
        <w:rPr>
          <w:rFonts w:ascii="Calibri" w:hAnsi="Calibri" w:cs="Calibri"/>
          <w:bCs/>
          <w:color w:val="000000" w:themeColor="text1"/>
          <w:sz w:val="24"/>
        </w:rPr>
        <w:t>商管理</w:t>
      </w:r>
      <w:proofErr w:type="gramEnd"/>
      <w:r w:rsidRPr="00777BCD">
        <w:rPr>
          <w:rFonts w:ascii="Calibri" w:hAnsi="Calibri" w:cs="Calibri"/>
          <w:bCs/>
          <w:color w:val="000000" w:themeColor="text1"/>
          <w:sz w:val="24"/>
        </w:rPr>
        <w:t>政策和制度、供应</w:t>
      </w:r>
      <w:proofErr w:type="gramStart"/>
      <w:r w:rsidRPr="00777BCD">
        <w:rPr>
          <w:rFonts w:ascii="Calibri" w:hAnsi="Calibri" w:cs="Calibri"/>
          <w:bCs/>
          <w:color w:val="000000" w:themeColor="text1"/>
          <w:sz w:val="24"/>
        </w:rPr>
        <w:t>链监督</w:t>
      </w:r>
      <w:proofErr w:type="gramEnd"/>
      <w:r w:rsidRPr="00777BCD">
        <w:rPr>
          <w:rFonts w:ascii="Calibri" w:hAnsi="Calibri" w:cs="Calibri"/>
          <w:bCs/>
          <w:color w:val="000000" w:themeColor="text1"/>
          <w:sz w:val="24"/>
        </w:rPr>
        <w:t>等；</w:t>
      </w:r>
    </w:p>
    <w:p w14:paraId="12A72790"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客户管理：客户信息保护、客户满意度、客户投诉率等；</w:t>
      </w:r>
    </w:p>
    <w:p w14:paraId="31A57CD5"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产品管理：质量体系认证、产品安全性等；</w:t>
      </w:r>
    </w:p>
    <w:p w14:paraId="34B2C6BB"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公益活动：企业基金会、企业捐赠、</w:t>
      </w:r>
      <w:proofErr w:type="gramStart"/>
      <w:r w:rsidRPr="00777BCD">
        <w:rPr>
          <w:rFonts w:ascii="Calibri" w:hAnsi="Calibri" w:cs="Calibri"/>
          <w:bCs/>
          <w:color w:val="000000" w:themeColor="text1"/>
          <w:sz w:val="24"/>
        </w:rPr>
        <w:t>员工公益</w:t>
      </w:r>
      <w:proofErr w:type="gramEnd"/>
      <w:r w:rsidRPr="00777BCD">
        <w:rPr>
          <w:rFonts w:ascii="Calibri" w:hAnsi="Calibri" w:cs="Calibri"/>
          <w:bCs/>
          <w:color w:val="000000" w:themeColor="text1"/>
          <w:sz w:val="24"/>
        </w:rPr>
        <w:t>活动等；</w:t>
      </w:r>
    </w:p>
    <w:p w14:paraId="497EB51F"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负面事项：侵犯员工</w:t>
      </w:r>
      <w:r w:rsidRPr="00777BCD">
        <w:rPr>
          <w:rFonts w:ascii="Calibri" w:hAnsi="Calibri" w:cs="Calibri"/>
          <w:bCs/>
          <w:color w:val="000000" w:themeColor="text1"/>
          <w:sz w:val="24"/>
        </w:rPr>
        <w:t>/</w:t>
      </w:r>
      <w:r w:rsidRPr="00777BCD">
        <w:rPr>
          <w:rFonts w:ascii="Calibri" w:hAnsi="Calibri" w:cs="Calibri"/>
          <w:bCs/>
          <w:color w:val="000000" w:themeColor="text1"/>
          <w:sz w:val="24"/>
        </w:rPr>
        <w:t>供应商</w:t>
      </w:r>
      <w:r w:rsidRPr="00777BCD">
        <w:rPr>
          <w:rFonts w:ascii="Calibri" w:hAnsi="Calibri" w:cs="Calibri"/>
          <w:bCs/>
          <w:color w:val="000000" w:themeColor="text1"/>
          <w:sz w:val="24"/>
        </w:rPr>
        <w:t>/</w:t>
      </w:r>
      <w:r w:rsidRPr="00777BCD">
        <w:rPr>
          <w:rFonts w:ascii="Calibri" w:hAnsi="Calibri" w:cs="Calibri"/>
          <w:bCs/>
          <w:color w:val="000000" w:themeColor="text1"/>
          <w:sz w:val="24"/>
        </w:rPr>
        <w:t>客户权益、产品</w:t>
      </w:r>
      <w:r w:rsidRPr="00777BCD">
        <w:rPr>
          <w:rFonts w:ascii="Calibri" w:hAnsi="Calibri" w:cs="Calibri"/>
          <w:bCs/>
          <w:color w:val="000000" w:themeColor="text1"/>
          <w:sz w:val="24"/>
        </w:rPr>
        <w:t>/</w:t>
      </w:r>
      <w:r w:rsidRPr="00777BCD">
        <w:rPr>
          <w:rFonts w:ascii="Calibri" w:hAnsi="Calibri" w:cs="Calibri"/>
          <w:bCs/>
          <w:color w:val="000000" w:themeColor="text1"/>
          <w:sz w:val="24"/>
        </w:rPr>
        <w:t>服务质量问题、社会舆论影响较大的负面争议事件等。</w:t>
      </w:r>
    </w:p>
    <w:p w14:paraId="1CF74127"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）公司治理（</w:t>
      </w:r>
      <w:r w:rsidRPr="00777BCD">
        <w:rPr>
          <w:rFonts w:ascii="Calibri" w:hAnsi="Calibri" w:cs="Calibri"/>
          <w:bCs/>
          <w:color w:val="000000" w:themeColor="text1"/>
          <w:sz w:val="24"/>
        </w:rPr>
        <w:t>G</w:t>
      </w:r>
      <w:r w:rsidRPr="00777BCD">
        <w:rPr>
          <w:rFonts w:ascii="Calibri" w:hAnsi="Calibri" w:cs="Calibri"/>
          <w:bCs/>
          <w:color w:val="000000" w:themeColor="text1"/>
          <w:sz w:val="24"/>
        </w:rPr>
        <w:t>）</w:t>
      </w:r>
    </w:p>
    <w:p w14:paraId="548B354E"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公司治理维</w:t>
      </w:r>
      <w:proofErr w:type="gramStart"/>
      <w:r w:rsidRPr="00777BCD">
        <w:rPr>
          <w:rFonts w:ascii="Calibri" w:hAnsi="Calibri" w:cs="Calibri"/>
          <w:bCs/>
          <w:color w:val="000000" w:themeColor="text1"/>
          <w:sz w:val="24"/>
        </w:rPr>
        <w:t>度重点</w:t>
      </w:r>
      <w:proofErr w:type="gramEnd"/>
      <w:r w:rsidRPr="00777BCD">
        <w:rPr>
          <w:rFonts w:ascii="Calibri" w:hAnsi="Calibri" w:cs="Calibri"/>
          <w:bCs/>
          <w:color w:val="000000" w:themeColor="text1"/>
          <w:sz w:val="24"/>
        </w:rPr>
        <w:t>考察企业的内部治理问题，主要包括：</w:t>
      </w:r>
    </w:p>
    <w:p w14:paraId="7B88DDC1"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公司治理：信息披露、董事会独立性、关联交易、董事和高管薪酬、审计独立性等；</w:t>
      </w:r>
    </w:p>
    <w:p w14:paraId="4CB02EF2"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商业道德：反腐败和反贿赂、纳税透明度、反洗</w:t>
      </w:r>
      <w:proofErr w:type="gramStart"/>
      <w:r w:rsidRPr="00777BCD">
        <w:rPr>
          <w:rFonts w:ascii="Calibri" w:hAnsi="Calibri" w:cs="Calibri"/>
          <w:bCs/>
          <w:color w:val="000000" w:themeColor="text1"/>
          <w:sz w:val="24"/>
        </w:rPr>
        <w:t>钱政策</w:t>
      </w:r>
      <w:proofErr w:type="gramEnd"/>
      <w:r w:rsidRPr="00777BCD">
        <w:rPr>
          <w:rFonts w:ascii="Calibri" w:hAnsi="Calibri" w:cs="Calibri"/>
          <w:bCs/>
          <w:color w:val="000000" w:themeColor="text1"/>
          <w:sz w:val="24"/>
        </w:rPr>
        <w:t>等；</w:t>
      </w:r>
    </w:p>
    <w:p w14:paraId="1E05E13E"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负面事项：企业违法违规行为，如贪污受贿、财务造假、内部交易等。</w:t>
      </w:r>
    </w:p>
    <w:p w14:paraId="629ECD81" w14:textId="4855F3AA" w:rsidR="007149DF" w:rsidRPr="00777BCD" w:rsidRDefault="00284640" w:rsidP="00CA1424">
      <w:pPr>
        <w:ind w:firstLine="480"/>
        <w:rPr>
          <w:rFonts w:ascii="Calibri" w:hAnsi="Calibri" w:cs="Calibri"/>
          <w:bCs/>
          <w:color w:val="000000" w:themeColor="text1"/>
          <w:sz w:val="24"/>
        </w:rPr>
      </w:pPr>
      <w:r w:rsidRPr="00777BCD">
        <w:rPr>
          <w:rFonts w:ascii="Calibri" w:hAnsi="Calibri" w:cs="Calibri"/>
          <w:bCs/>
          <w:color w:val="000000" w:themeColor="text1"/>
          <w:sz w:val="24"/>
        </w:rPr>
        <w:t>本基金将根据上述环境、社会和公司治理（</w:t>
      </w:r>
      <w:r w:rsidRPr="00777BCD">
        <w:rPr>
          <w:rFonts w:ascii="Calibri" w:hAnsi="Calibri" w:cs="Calibri"/>
          <w:bCs/>
          <w:color w:val="000000" w:themeColor="text1"/>
          <w:sz w:val="24"/>
        </w:rPr>
        <w:t>ESG</w:t>
      </w:r>
      <w:r w:rsidRPr="00777BCD">
        <w:rPr>
          <w:rFonts w:ascii="Calibri" w:hAnsi="Calibri" w:cs="Calibri"/>
          <w:bCs/>
          <w:color w:val="000000" w:themeColor="text1"/>
          <w:sz w:val="24"/>
        </w:rPr>
        <w:t>）三个方面的评价指标，基于内部</w:t>
      </w:r>
      <w:r w:rsidRPr="00777BCD">
        <w:rPr>
          <w:rFonts w:ascii="Calibri" w:hAnsi="Calibri" w:cs="Calibri"/>
          <w:bCs/>
          <w:color w:val="000000" w:themeColor="text1"/>
          <w:sz w:val="24"/>
        </w:rPr>
        <w:t>ESG</w:t>
      </w:r>
      <w:r w:rsidRPr="00777BCD">
        <w:rPr>
          <w:rFonts w:ascii="Calibri" w:hAnsi="Calibri" w:cs="Calibri"/>
          <w:bCs/>
          <w:color w:val="000000" w:themeColor="text1"/>
          <w:sz w:val="24"/>
        </w:rPr>
        <w:t>评价体系与第三方</w:t>
      </w:r>
      <w:r w:rsidRPr="00777BCD">
        <w:rPr>
          <w:rFonts w:ascii="Calibri" w:hAnsi="Calibri" w:cs="Calibri"/>
          <w:bCs/>
          <w:color w:val="000000" w:themeColor="text1"/>
          <w:sz w:val="24"/>
        </w:rPr>
        <w:t>ESG</w:t>
      </w:r>
      <w:r w:rsidRPr="00777BCD">
        <w:rPr>
          <w:rFonts w:ascii="Calibri" w:hAnsi="Calibri" w:cs="Calibri"/>
          <w:bCs/>
          <w:color w:val="000000" w:themeColor="text1"/>
          <w:sz w:val="24"/>
        </w:rPr>
        <w:t>评级相结合的</w:t>
      </w:r>
      <w:r w:rsidRPr="00777BCD">
        <w:rPr>
          <w:rFonts w:ascii="Calibri" w:hAnsi="Calibri" w:cs="Calibri"/>
          <w:bCs/>
          <w:color w:val="000000" w:themeColor="text1"/>
          <w:sz w:val="24"/>
        </w:rPr>
        <w:t>ESG</w:t>
      </w:r>
      <w:r w:rsidRPr="00777BCD">
        <w:rPr>
          <w:rFonts w:ascii="Calibri" w:hAnsi="Calibri" w:cs="Calibri"/>
          <w:bCs/>
          <w:color w:val="000000" w:themeColor="text1"/>
          <w:sz w:val="24"/>
        </w:rPr>
        <w:t>评价数据库，计算公司的</w:t>
      </w:r>
      <w:r w:rsidRPr="00777BCD">
        <w:rPr>
          <w:rFonts w:ascii="Calibri" w:hAnsi="Calibri" w:cs="Calibri"/>
          <w:bCs/>
          <w:color w:val="000000" w:themeColor="text1"/>
          <w:sz w:val="24"/>
        </w:rPr>
        <w:t>ESG</w:t>
      </w:r>
      <w:r w:rsidRPr="00777BCD">
        <w:rPr>
          <w:rFonts w:ascii="Calibri" w:hAnsi="Calibri" w:cs="Calibri"/>
          <w:bCs/>
          <w:color w:val="000000" w:themeColor="text1"/>
          <w:sz w:val="24"/>
        </w:rPr>
        <w:t>得分，优选投资标的。在构建、调整投资组合时，根据负面剔除的原则，对不符合</w:t>
      </w:r>
      <w:r w:rsidRPr="00777BCD">
        <w:rPr>
          <w:rFonts w:ascii="Calibri" w:hAnsi="Calibri" w:cs="Calibri"/>
          <w:bCs/>
          <w:color w:val="000000" w:themeColor="text1"/>
          <w:sz w:val="24"/>
        </w:rPr>
        <w:t>ESG</w:t>
      </w:r>
      <w:r w:rsidRPr="00777BCD">
        <w:rPr>
          <w:rFonts w:ascii="Calibri" w:hAnsi="Calibri" w:cs="Calibri"/>
          <w:bCs/>
          <w:color w:val="000000" w:themeColor="text1"/>
          <w:sz w:val="24"/>
        </w:rPr>
        <w:t>理念以及有重大</w:t>
      </w:r>
      <w:r w:rsidRPr="00777BCD">
        <w:rPr>
          <w:rFonts w:ascii="Calibri" w:hAnsi="Calibri" w:cs="Calibri"/>
          <w:bCs/>
          <w:color w:val="000000" w:themeColor="text1"/>
          <w:sz w:val="24"/>
        </w:rPr>
        <w:t>ESG</w:t>
      </w:r>
      <w:r w:rsidRPr="00777BCD">
        <w:rPr>
          <w:rFonts w:ascii="Calibri" w:hAnsi="Calibri" w:cs="Calibri"/>
          <w:bCs/>
          <w:color w:val="000000" w:themeColor="text1"/>
          <w:sz w:val="24"/>
        </w:rPr>
        <w:t>负面记录的行业及个股进行剔除；在此基础上，对于符合</w:t>
      </w:r>
      <w:r w:rsidRPr="00777BCD">
        <w:rPr>
          <w:rFonts w:ascii="Calibri" w:hAnsi="Calibri" w:cs="Calibri"/>
          <w:bCs/>
          <w:color w:val="000000" w:themeColor="text1"/>
          <w:sz w:val="24"/>
        </w:rPr>
        <w:t>ESG</w:t>
      </w:r>
      <w:r w:rsidRPr="00777BCD">
        <w:rPr>
          <w:rFonts w:ascii="Calibri" w:hAnsi="Calibri" w:cs="Calibri"/>
          <w:bCs/>
          <w:color w:val="000000" w:themeColor="text1"/>
          <w:sz w:val="24"/>
        </w:rPr>
        <w:t>投资标准的公司，通过分析公司公开披露信息和实地调研等定性、定量相结合的方式综合评价其环境、社会和公司治理方面的表现。</w:t>
      </w:r>
    </w:p>
    <w:p w14:paraId="013EC0BC"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ESG</w:t>
      </w:r>
      <w:r w:rsidRPr="00777BCD">
        <w:rPr>
          <w:rFonts w:ascii="Calibri" w:hAnsi="Calibri" w:cs="Calibri"/>
          <w:bCs/>
          <w:color w:val="000000" w:themeColor="text1"/>
          <w:sz w:val="24"/>
        </w:rPr>
        <w:t>评价基于</w:t>
      </w:r>
      <w:r w:rsidRPr="00777BCD">
        <w:rPr>
          <w:rFonts w:ascii="Calibri" w:hAnsi="Calibri" w:cs="Calibri"/>
          <w:bCs/>
          <w:color w:val="000000" w:themeColor="text1"/>
          <w:sz w:val="24"/>
        </w:rPr>
        <w:t>ESG</w:t>
      </w:r>
      <w:r w:rsidRPr="00777BCD">
        <w:rPr>
          <w:rFonts w:ascii="Calibri" w:hAnsi="Calibri" w:cs="Calibri"/>
          <w:bCs/>
          <w:color w:val="000000" w:themeColor="text1"/>
          <w:sz w:val="24"/>
        </w:rPr>
        <w:t>信息披露与舆论监控，进行定期更新与临时调整相结合的评价更新。</w:t>
      </w:r>
      <w:proofErr w:type="gramStart"/>
      <w:r w:rsidRPr="00777BCD">
        <w:rPr>
          <w:rFonts w:ascii="Calibri" w:hAnsi="Calibri" w:cs="Calibri"/>
          <w:bCs/>
          <w:color w:val="000000" w:themeColor="text1"/>
          <w:sz w:val="24"/>
        </w:rPr>
        <w:t>当相关</w:t>
      </w:r>
      <w:proofErr w:type="gramEnd"/>
      <w:r w:rsidRPr="00777BCD">
        <w:rPr>
          <w:rFonts w:ascii="Calibri" w:hAnsi="Calibri" w:cs="Calibri"/>
          <w:bCs/>
          <w:color w:val="000000" w:themeColor="text1"/>
          <w:sz w:val="24"/>
        </w:rPr>
        <w:t>公司发生重大环境污染、安全事故、公司治理争议事件、</w:t>
      </w:r>
      <w:r w:rsidRPr="00777BCD">
        <w:rPr>
          <w:rFonts w:ascii="Calibri" w:hAnsi="Calibri" w:cs="Calibri"/>
          <w:bCs/>
          <w:color w:val="000000" w:themeColor="text1"/>
          <w:sz w:val="24"/>
        </w:rPr>
        <w:lastRenderedPageBreak/>
        <w:t>财务舞弊等负面事件时，本基金管理人将通过内部研究对公司的</w:t>
      </w:r>
      <w:r w:rsidRPr="00777BCD">
        <w:rPr>
          <w:rFonts w:ascii="Calibri" w:hAnsi="Calibri" w:cs="Calibri"/>
          <w:bCs/>
          <w:color w:val="000000" w:themeColor="text1"/>
          <w:sz w:val="24"/>
        </w:rPr>
        <w:t>ESG</w:t>
      </w:r>
      <w:r w:rsidRPr="00777BCD">
        <w:rPr>
          <w:rFonts w:ascii="Calibri" w:hAnsi="Calibri" w:cs="Calibri"/>
          <w:bCs/>
          <w:color w:val="000000" w:themeColor="text1"/>
          <w:sz w:val="24"/>
        </w:rPr>
        <w:t>评价进行临时调整，以保证相关公司</w:t>
      </w:r>
      <w:r w:rsidRPr="00777BCD">
        <w:rPr>
          <w:rFonts w:ascii="Calibri" w:hAnsi="Calibri" w:cs="Calibri"/>
          <w:bCs/>
          <w:color w:val="000000" w:themeColor="text1"/>
          <w:sz w:val="24"/>
        </w:rPr>
        <w:t>ESG</w:t>
      </w:r>
      <w:r w:rsidRPr="00777BCD">
        <w:rPr>
          <w:rFonts w:ascii="Calibri" w:hAnsi="Calibri" w:cs="Calibri"/>
          <w:bCs/>
          <w:color w:val="000000" w:themeColor="text1"/>
          <w:sz w:val="24"/>
        </w:rPr>
        <w:t>评价的及时更新。</w:t>
      </w:r>
    </w:p>
    <w:p w14:paraId="5F748ADE" w14:textId="622699E5"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未来，随着</w:t>
      </w:r>
      <w:r w:rsidR="00B43597">
        <w:rPr>
          <w:rFonts w:ascii="Calibri" w:hAnsi="Calibri" w:cs="Calibri"/>
          <w:bCs/>
          <w:color w:val="000000" w:themeColor="text1"/>
          <w:sz w:val="24"/>
        </w:rPr>
        <w:t>ESG</w:t>
      </w:r>
      <w:r w:rsidRPr="00777BCD">
        <w:rPr>
          <w:rFonts w:ascii="Calibri" w:hAnsi="Calibri" w:cs="Calibri"/>
          <w:bCs/>
          <w:color w:val="000000" w:themeColor="text1"/>
          <w:sz w:val="24"/>
        </w:rPr>
        <w:t>评估方法以及上市公司</w:t>
      </w:r>
      <w:r w:rsidRPr="00777BCD">
        <w:rPr>
          <w:rFonts w:ascii="Calibri" w:hAnsi="Calibri" w:cs="Calibri"/>
          <w:bCs/>
          <w:color w:val="000000" w:themeColor="text1"/>
          <w:sz w:val="24"/>
        </w:rPr>
        <w:t>ESG</w:t>
      </w:r>
      <w:r w:rsidRPr="00777BCD">
        <w:rPr>
          <w:rFonts w:ascii="Calibri" w:hAnsi="Calibri" w:cs="Calibri"/>
          <w:bCs/>
          <w:color w:val="000000" w:themeColor="text1"/>
          <w:sz w:val="24"/>
        </w:rPr>
        <w:t>信息披露规则等进一步完善，本基金可以结合监管要求与市场环境的变化，在履行适当程序后对</w:t>
      </w:r>
      <w:r w:rsidRPr="00777BCD">
        <w:rPr>
          <w:rFonts w:ascii="Calibri" w:hAnsi="Calibri" w:cs="Calibri"/>
          <w:bCs/>
          <w:color w:val="000000" w:themeColor="text1"/>
          <w:sz w:val="24"/>
        </w:rPr>
        <w:t>ESG</w:t>
      </w:r>
      <w:r w:rsidRPr="00777BCD">
        <w:rPr>
          <w:rFonts w:ascii="Calibri" w:hAnsi="Calibri" w:cs="Calibri"/>
          <w:bCs/>
          <w:color w:val="000000" w:themeColor="text1"/>
          <w:sz w:val="24"/>
        </w:rPr>
        <w:t>相关评价指标进行动态调整。</w:t>
      </w:r>
    </w:p>
    <w:p w14:paraId="150044B0"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2</w:t>
      </w:r>
      <w:r w:rsidRPr="00777BCD">
        <w:rPr>
          <w:rFonts w:ascii="Calibri" w:hAnsi="Calibri" w:cs="Calibri"/>
          <w:bCs/>
          <w:color w:val="000000" w:themeColor="text1"/>
          <w:sz w:val="24"/>
        </w:rPr>
        <w:t>）行业配置</w:t>
      </w:r>
    </w:p>
    <w:p w14:paraId="4657D14E" w14:textId="33C14E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在行业配置层面，本基金将主要投资于符合</w:t>
      </w:r>
      <w:r w:rsidR="00B43597">
        <w:rPr>
          <w:rFonts w:ascii="Calibri" w:hAnsi="Calibri" w:cs="Calibri"/>
          <w:bCs/>
          <w:color w:val="000000" w:themeColor="text1"/>
          <w:sz w:val="24"/>
        </w:rPr>
        <w:t>ESG</w:t>
      </w:r>
      <w:r w:rsidR="00B43597">
        <w:rPr>
          <w:rFonts w:ascii="Calibri" w:hAnsi="Calibri" w:cs="Calibri"/>
          <w:bCs/>
          <w:color w:val="000000" w:themeColor="text1"/>
          <w:sz w:val="24"/>
        </w:rPr>
        <w:t>主题</w:t>
      </w:r>
      <w:r w:rsidRPr="00777BCD">
        <w:rPr>
          <w:rFonts w:ascii="Calibri" w:hAnsi="Calibri" w:cs="Calibri"/>
          <w:bCs/>
          <w:color w:val="000000" w:themeColor="text1"/>
          <w:sz w:val="24"/>
        </w:rPr>
        <w:t>的相关行业，通过跟踪各行业整体的收入增速、利润增速、毛利率变动幅度、</w:t>
      </w:r>
      <w:r w:rsidRPr="00777BCD">
        <w:rPr>
          <w:rFonts w:ascii="Calibri" w:hAnsi="Calibri" w:cs="Calibri"/>
          <w:bCs/>
          <w:color w:val="000000" w:themeColor="text1"/>
          <w:sz w:val="24"/>
        </w:rPr>
        <w:t>ROIC</w:t>
      </w:r>
      <w:r w:rsidRPr="00777BCD">
        <w:rPr>
          <w:rFonts w:ascii="Calibri" w:hAnsi="Calibri" w:cs="Calibri"/>
          <w:bCs/>
          <w:color w:val="000000" w:themeColor="text1"/>
          <w:sz w:val="24"/>
        </w:rPr>
        <w:t>变动情况来判断各行业的景气度，根据行业整体的估值情况、市场预期、目前机构配置的比例等因素综合考虑各行业在投资组合中的配置比例。</w:t>
      </w:r>
    </w:p>
    <w:p w14:paraId="32056E1C"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3</w:t>
      </w:r>
      <w:r w:rsidRPr="00777BCD">
        <w:rPr>
          <w:rFonts w:ascii="Calibri" w:hAnsi="Calibri" w:cs="Calibri"/>
          <w:bCs/>
          <w:color w:val="000000" w:themeColor="text1"/>
          <w:sz w:val="24"/>
        </w:rPr>
        <w:t>）个股选择</w:t>
      </w:r>
    </w:p>
    <w:p w14:paraId="155DFAAC" w14:textId="0C5DAE4E"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本基金在</w:t>
      </w:r>
      <w:r w:rsidR="00B43597">
        <w:rPr>
          <w:rFonts w:ascii="Calibri" w:hAnsi="Calibri" w:cs="Calibri"/>
          <w:bCs/>
          <w:color w:val="000000" w:themeColor="text1"/>
          <w:sz w:val="24"/>
        </w:rPr>
        <w:t>ESG</w:t>
      </w:r>
      <w:r w:rsidRPr="00777BCD">
        <w:rPr>
          <w:rFonts w:ascii="Calibri" w:hAnsi="Calibri" w:cs="Calibri"/>
          <w:bCs/>
          <w:color w:val="000000" w:themeColor="text1"/>
          <w:sz w:val="24"/>
        </w:rPr>
        <w:t>方法筛选的前提下，以</w:t>
      </w:r>
      <w:r w:rsidRPr="00777BCD">
        <w:rPr>
          <w:rFonts w:ascii="Calibri" w:hAnsi="Calibri" w:cs="Calibri"/>
          <w:bCs/>
          <w:color w:val="000000" w:themeColor="text1"/>
          <w:sz w:val="24"/>
        </w:rPr>
        <w:t>“</w:t>
      </w:r>
      <w:r w:rsidRPr="00777BCD">
        <w:rPr>
          <w:rFonts w:ascii="Calibri" w:hAnsi="Calibri" w:cs="Calibri"/>
          <w:bCs/>
          <w:color w:val="000000" w:themeColor="text1"/>
          <w:sz w:val="24"/>
        </w:rPr>
        <w:t>自下而上</w:t>
      </w:r>
      <w:r w:rsidRPr="00777BCD">
        <w:rPr>
          <w:rFonts w:ascii="Calibri" w:hAnsi="Calibri" w:cs="Calibri"/>
          <w:bCs/>
          <w:color w:val="000000" w:themeColor="text1"/>
          <w:sz w:val="24"/>
        </w:rPr>
        <w:t>”</w:t>
      </w:r>
      <w:r w:rsidRPr="00777BCD">
        <w:rPr>
          <w:rFonts w:ascii="Calibri" w:hAnsi="Calibri" w:cs="Calibri"/>
          <w:bCs/>
          <w:color w:val="000000" w:themeColor="text1"/>
          <w:sz w:val="24"/>
        </w:rPr>
        <w:t>的个股投资策略为主，采用定性分析和定量分析相结合，通过深入的基本面分析、估值分析和市场面分析，精选出具有清晰、可持续的业绩增长潜力且被市场相对低估、价格处于合理区间的股票进行投资，兼顾价值风格与成长风格的平衡。</w:t>
      </w:r>
    </w:p>
    <w:p w14:paraId="51664B6F"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）定性分析</w:t>
      </w:r>
    </w:p>
    <w:p w14:paraId="5C68CEF1"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公司核心优势：选择在产品、技术、创新能力、资源、品牌等方面具备核心竞争力的上市公司；</w:t>
      </w:r>
    </w:p>
    <w:p w14:paraId="3BD7E9CA"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公司发展潜力：选择符合未来经济发展方向或受益于经济体制改革的上市公司；</w:t>
      </w:r>
    </w:p>
    <w:p w14:paraId="6530B5FC"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公司商业模式：选择业务规划和发展战略清晰、核心商业模式具有可持续性的上市公司；</w:t>
      </w:r>
    </w:p>
    <w:p w14:paraId="18C268F4"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公司治理结构：选择公司治理结构良好、管理</w:t>
      </w:r>
      <w:proofErr w:type="gramStart"/>
      <w:r w:rsidRPr="00777BCD">
        <w:rPr>
          <w:rFonts w:ascii="Calibri" w:hAnsi="Calibri" w:cs="Calibri"/>
          <w:bCs/>
          <w:color w:val="000000" w:themeColor="text1"/>
          <w:sz w:val="24"/>
        </w:rPr>
        <w:t>层经验</w:t>
      </w:r>
      <w:proofErr w:type="gramEnd"/>
      <w:r w:rsidRPr="00777BCD">
        <w:rPr>
          <w:rFonts w:ascii="Calibri" w:hAnsi="Calibri" w:cs="Calibri"/>
          <w:bCs/>
          <w:color w:val="000000" w:themeColor="text1"/>
          <w:sz w:val="24"/>
        </w:rPr>
        <w:t>丰富、激励机制合理的上市公司。</w:t>
      </w:r>
    </w:p>
    <w:p w14:paraId="75411B66"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）定量分析</w:t>
      </w:r>
    </w:p>
    <w:p w14:paraId="5DC51230" w14:textId="77777777" w:rsidR="007149DF" w:rsidRPr="00777BCD" w:rsidRDefault="00284640" w:rsidP="00CA1424">
      <w:pPr>
        <w:ind w:firstLine="480"/>
        <w:rPr>
          <w:rFonts w:ascii="Calibri" w:hAnsi="Calibri" w:cs="Calibri"/>
          <w:bCs/>
          <w:color w:val="000000" w:themeColor="text1"/>
          <w:sz w:val="24"/>
        </w:rPr>
      </w:pPr>
      <w:r w:rsidRPr="00777BCD">
        <w:rPr>
          <w:rFonts w:ascii="Calibri" w:hAnsi="Calibri" w:cs="Calibri"/>
          <w:bCs/>
          <w:color w:val="000000" w:themeColor="text1"/>
          <w:sz w:val="24"/>
        </w:rPr>
        <w:t>本基金主要通过成长性分析、财务分析和估值分析等，重点考察上市公司的资产质量、盈利能力、偿债能力、成本控制能力、成长性和相对价值等。成长性指标包括营业利润增长率、净利润增长率、收入增长率等；财务指标包括毛利率、营业利润率、净资产收益率、净利率、经营活动净收益</w:t>
      </w:r>
      <w:r w:rsidRPr="00777BCD">
        <w:rPr>
          <w:rFonts w:ascii="Calibri" w:hAnsi="Calibri" w:cs="Calibri"/>
          <w:bCs/>
          <w:color w:val="000000" w:themeColor="text1"/>
          <w:sz w:val="24"/>
        </w:rPr>
        <w:t>/</w:t>
      </w:r>
      <w:r w:rsidRPr="00777BCD">
        <w:rPr>
          <w:rFonts w:ascii="Calibri" w:hAnsi="Calibri" w:cs="Calibri"/>
          <w:bCs/>
          <w:color w:val="000000" w:themeColor="text1"/>
          <w:sz w:val="24"/>
        </w:rPr>
        <w:t>利润总额等；</w:t>
      </w:r>
      <w:r w:rsidRPr="00777BCD">
        <w:rPr>
          <w:rFonts w:ascii="Calibri" w:hAnsi="Calibri" w:cs="Calibri"/>
          <w:bCs/>
          <w:color w:val="000000" w:themeColor="text1"/>
          <w:sz w:val="24"/>
        </w:rPr>
        <w:lastRenderedPageBreak/>
        <w:t>估值指标包括市盈率（</w:t>
      </w:r>
      <w:r w:rsidRPr="00777BCD">
        <w:rPr>
          <w:rFonts w:ascii="Calibri" w:hAnsi="Calibri" w:cs="Calibri"/>
          <w:bCs/>
          <w:color w:val="000000" w:themeColor="text1"/>
          <w:sz w:val="24"/>
        </w:rPr>
        <w:t>PE</w:t>
      </w:r>
      <w:r w:rsidRPr="00777BCD">
        <w:rPr>
          <w:rFonts w:ascii="Calibri" w:hAnsi="Calibri" w:cs="Calibri"/>
          <w:bCs/>
          <w:color w:val="000000" w:themeColor="text1"/>
          <w:sz w:val="24"/>
        </w:rPr>
        <w:t>）、</w:t>
      </w:r>
      <w:proofErr w:type="gramStart"/>
      <w:r w:rsidRPr="00777BCD">
        <w:rPr>
          <w:rFonts w:ascii="Calibri" w:hAnsi="Calibri" w:cs="Calibri"/>
          <w:bCs/>
          <w:color w:val="000000" w:themeColor="text1"/>
          <w:sz w:val="24"/>
        </w:rPr>
        <w:t>市净率</w:t>
      </w:r>
      <w:proofErr w:type="gramEnd"/>
      <w:r w:rsidRPr="00777BCD">
        <w:rPr>
          <w:rFonts w:ascii="Calibri" w:hAnsi="Calibri" w:cs="Calibri"/>
          <w:bCs/>
          <w:color w:val="000000" w:themeColor="text1"/>
          <w:sz w:val="24"/>
        </w:rPr>
        <w:t>（</w:t>
      </w:r>
      <w:r w:rsidRPr="00777BCD">
        <w:rPr>
          <w:rFonts w:ascii="Calibri" w:hAnsi="Calibri" w:cs="Calibri"/>
          <w:bCs/>
          <w:color w:val="000000" w:themeColor="text1"/>
          <w:sz w:val="24"/>
        </w:rPr>
        <w:t>PB</w:t>
      </w:r>
      <w:r w:rsidRPr="00777BCD">
        <w:rPr>
          <w:rFonts w:ascii="Calibri" w:hAnsi="Calibri" w:cs="Calibri"/>
          <w:bCs/>
          <w:color w:val="000000" w:themeColor="text1"/>
          <w:sz w:val="24"/>
        </w:rPr>
        <w:t>）、市盈率相对盈利增长比率（</w:t>
      </w:r>
      <w:r w:rsidRPr="00777BCD">
        <w:rPr>
          <w:rFonts w:ascii="Calibri" w:hAnsi="Calibri" w:cs="Calibri"/>
          <w:bCs/>
          <w:color w:val="000000" w:themeColor="text1"/>
          <w:sz w:val="24"/>
        </w:rPr>
        <w:t>PEG</w:t>
      </w:r>
      <w:r w:rsidRPr="00777BCD">
        <w:rPr>
          <w:rFonts w:ascii="Calibri" w:hAnsi="Calibri" w:cs="Calibri"/>
          <w:bCs/>
          <w:color w:val="000000" w:themeColor="text1"/>
          <w:sz w:val="24"/>
        </w:rPr>
        <w:t>）、市销率（</w:t>
      </w:r>
      <w:r w:rsidRPr="00777BCD">
        <w:rPr>
          <w:rFonts w:ascii="Calibri" w:hAnsi="Calibri" w:cs="Calibri"/>
          <w:bCs/>
          <w:color w:val="000000" w:themeColor="text1"/>
          <w:sz w:val="24"/>
        </w:rPr>
        <w:t>PS</w:t>
      </w:r>
      <w:r w:rsidRPr="00777BCD">
        <w:rPr>
          <w:rFonts w:ascii="Calibri" w:hAnsi="Calibri" w:cs="Calibri"/>
          <w:bCs/>
          <w:color w:val="000000" w:themeColor="text1"/>
          <w:sz w:val="24"/>
        </w:rPr>
        <w:t>）等。</w:t>
      </w:r>
    </w:p>
    <w:p w14:paraId="6C579845"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4</w:t>
      </w:r>
      <w:r w:rsidRPr="00777BCD">
        <w:rPr>
          <w:rFonts w:ascii="Calibri" w:hAnsi="Calibri" w:cs="Calibri"/>
          <w:bCs/>
          <w:color w:val="000000" w:themeColor="text1"/>
          <w:sz w:val="24"/>
        </w:rPr>
        <w:t>）港股通标的股票投资策略</w:t>
      </w:r>
    </w:p>
    <w:p w14:paraId="7779914A"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本基金将采用</w:t>
      </w:r>
      <w:r w:rsidRPr="00777BCD">
        <w:rPr>
          <w:rFonts w:ascii="Calibri" w:hAnsi="Calibri" w:cs="Calibri"/>
          <w:bCs/>
          <w:color w:val="000000" w:themeColor="text1"/>
          <w:sz w:val="24"/>
        </w:rPr>
        <w:t>“</w:t>
      </w:r>
      <w:r w:rsidRPr="00777BCD">
        <w:rPr>
          <w:rFonts w:ascii="Calibri" w:hAnsi="Calibri" w:cs="Calibri"/>
          <w:bCs/>
          <w:color w:val="000000" w:themeColor="text1"/>
          <w:sz w:val="24"/>
        </w:rPr>
        <w:t>自下而上</w:t>
      </w:r>
      <w:r w:rsidRPr="00777BCD">
        <w:rPr>
          <w:rFonts w:ascii="Calibri" w:hAnsi="Calibri" w:cs="Calibri"/>
          <w:bCs/>
          <w:color w:val="000000" w:themeColor="text1"/>
          <w:sz w:val="24"/>
        </w:rPr>
        <w:t>”</w:t>
      </w:r>
      <w:r w:rsidRPr="00777BCD">
        <w:rPr>
          <w:rFonts w:ascii="Calibri" w:hAnsi="Calibri" w:cs="Calibri"/>
          <w:bCs/>
          <w:color w:val="000000" w:themeColor="text1"/>
          <w:sz w:val="24"/>
        </w:rPr>
        <w:t>的个股精选策略，结合公司基本面、相关行业发展前景、香港市场资金面和投资者行为等因素，精选符合本基金投资目标的港股通标的股票。</w:t>
      </w:r>
    </w:p>
    <w:p w14:paraId="0DC7B866"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5</w:t>
      </w:r>
      <w:r w:rsidRPr="00777BCD">
        <w:rPr>
          <w:rFonts w:ascii="Calibri" w:hAnsi="Calibri" w:cs="Calibri"/>
          <w:bCs/>
          <w:color w:val="000000" w:themeColor="text1"/>
          <w:sz w:val="24"/>
        </w:rPr>
        <w:t>）存托凭证的投资策略</w:t>
      </w:r>
    </w:p>
    <w:p w14:paraId="41F9E5EA"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本基金投资存托凭证的策略依照上述上市交易的股票投资策略执行。</w:t>
      </w:r>
    </w:p>
    <w:p w14:paraId="2AF61913"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、债券投资策略</w:t>
      </w:r>
    </w:p>
    <w:p w14:paraId="3E2CCA4A"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本基金将在分析和判断国际、国内宏观经济形势、资金供求曲线、市场利率走势、信用利差状况和债券市场供求关系等因素的基础上，动态调整</w:t>
      </w:r>
      <w:proofErr w:type="gramStart"/>
      <w:r w:rsidRPr="00777BCD">
        <w:rPr>
          <w:rFonts w:ascii="Calibri" w:hAnsi="Calibri" w:cs="Calibri"/>
          <w:bCs/>
          <w:color w:val="000000" w:themeColor="text1"/>
          <w:sz w:val="24"/>
        </w:rPr>
        <w:t>组合久期和</w:t>
      </w:r>
      <w:proofErr w:type="gramEnd"/>
      <w:r w:rsidRPr="00777BCD">
        <w:rPr>
          <w:rFonts w:ascii="Calibri" w:hAnsi="Calibri" w:cs="Calibri"/>
          <w:bCs/>
          <w:color w:val="000000" w:themeColor="text1"/>
          <w:sz w:val="24"/>
        </w:rPr>
        <w:t>债券的配置结构，综合内外部信用评价，精选债券，获取收益。</w:t>
      </w:r>
    </w:p>
    <w:p w14:paraId="5759514C"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、可转换债券（含可交换债券）投资策略</w:t>
      </w:r>
    </w:p>
    <w:p w14:paraId="1890B757"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可转换债券和可交换债券同时具有债券类与权益类证券的双重特性。本基金利用可转换债券及可交换债券的债券底价和到期收益率、信用风险来判断</w:t>
      </w:r>
      <w:proofErr w:type="gramStart"/>
      <w:r w:rsidRPr="00777BCD">
        <w:rPr>
          <w:rFonts w:ascii="Calibri" w:hAnsi="Calibri" w:cs="Calibri"/>
          <w:bCs/>
          <w:color w:val="000000" w:themeColor="text1"/>
          <w:sz w:val="24"/>
        </w:rPr>
        <w:t>其债性</w:t>
      </w:r>
      <w:proofErr w:type="gramEnd"/>
      <w:r w:rsidRPr="00777BCD">
        <w:rPr>
          <w:rFonts w:ascii="Calibri" w:hAnsi="Calibri" w:cs="Calibri"/>
          <w:bCs/>
          <w:color w:val="000000" w:themeColor="text1"/>
          <w:sz w:val="24"/>
        </w:rPr>
        <w:t>，增强本金投资的安全性；利用可转换债券和可交换债券转股溢价率、基础股票基本面趋势和估值来判断其股性，在市场出现投资机会时，优先</w:t>
      </w:r>
      <w:proofErr w:type="gramStart"/>
      <w:r w:rsidRPr="00777BCD">
        <w:rPr>
          <w:rFonts w:ascii="Calibri" w:hAnsi="Calibri" w:cs="Calibri"/>
          <w:bCs/>
          <w:color w:val="000000" w:themeColor="text1"/>
          <w:sz w:val="24"/>
        </w:rPr>
        <w:t>选择股</w:t>
      </w:r>
      <w:proofErr w:type="gramEnd"/>
      <w:r w:rsidRPr="00777BCD">
        <w:rPr>
          <w:rFonts w:ascii="Calibri" w:hAnsi="Calibri" w:cs="Calibri"/>
          <w:bCs/>
          <w:color w:val="000000" w:themeColor="text1"/>
          <w:sz w:val="24"/>
        </w:rPr>
        <w:t>性强的品种。综合选择安全边际较高、基础股票基本面优良的品种进行投资，获取超额收益。</w:t>
      </w:r>
    </w:p>
    <w:p w14:paraId="02D63936"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5</w:t>
      </w:r>
      <w:r w:rsidRPr="00777BCD">
        <w:rPr>
          <w:rFonts w:ascii="Calibri" w:hAnsi="Calibri" w:cs="Calibri"/>
          <w:bCs/>
          <w:color w:val="000000" w:themeColor="text1"/>
          <w:sz w:val="24"/>
        </w:rPr>
        <w:t>、资产支持证券投资策略</w:t>
      </w:r>
    </w:p>
    <w:p w14:paraId="6F5D6D5C"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本基金将将采用定量分析和定性分析相结合的方法，综合评估资产支持证券的利率风险、提前偿付风险、流动性风险、税收溢价等因素，选择具有较高投资价值的资产支持证券进行配置。</w:t>
      </w:r>
    </w:p>
    <w:p w14:paraId="6E394AB9"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6</w:t>
      </w:r>
      <w:r w:rsidRPr="00777BCD">
        <w:rPr>
          <w:rFonts w:ascii="Calibri" w:hAnsi="Calibri" w:cs="Calibri"/>
          <w:bCs/>
          <w:color w:val="000000" w:themeColor="text1"/>
          <w:sz w:val="24"/>
        </w:rPr>
        <w:t>、股指期货投资策略</w:t>
      </w:r>
    </w:p>
    <w:p w14:paraId="26F48622"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本基金投资股指期货将根据风险管理的原则，以套期保值为目的，主要选择流动性好、交易活跃的股指期货合约以对冲投资组合的风险、有效管理现金流量或降低建仓</w:t>
      </w:r>
      <w:proofErr w:type="gramStart"/>
      <w:r w:rsidRPr="00777BCD">
        <w:rPr>
          <w:rFonts w:ascii="Calibri" w:hAnsi="Calibri" w:cs="Calibri"/>
          <w:bCs/>
          <w:color w:val="000000" w:themeColor="text1"/>
          <w:sz w:val="24"/>
        </w:rPr>
        <w:t>或调仓过程</w:t>
      </w:r>
      <w:proofErr w:type="gramEnd"/>
      <w:r w:rsidRPr="00777BCD">
        <w:rPr>
          <w:rFonts w:ascii="Calibri" w:hAnsi="Calibri" w:cs="Calibri"/>
          <w:bCs/>
          <w:color w:val="000000" w:themeColor="text1"/>
          <w:sz w:val="24"/>
        </w:rPr>
        <w:t>中的冲击成本等。</w:t>
      </w:r>
    </w:p>
    <w:p w14:paraId="0DCA81A0"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7</w:t>
      </w:r>
      <w:r w:rsidRPr="00777BCD">
        <w:rPr>
          <w:rFonts w:ascii="Calibri" w:hAnsi="Calibri" w:cs="Calibri"/>
          <w:bCs/>
          <w:color w:val="000000" w:themeColor="text1"/>
          <w:sz w:val="24"/>
        </w:rPr>
        <w:t>、融资业务投资策略</w:t>
      </w:r>
    </w:p>
    <w:p w14:paraId="2CDB7E3D"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lastRenderedPageBreak/>
        <w:t>为了更好地实现投资目标，在综合考虑预期风险、收益、流动性等因素的基础上，本基金可参与融资业务。</w:t>
      </w:r>
    </w:p>
    <w:p w14:paraId="7B0BD1D3" w14:textId="36E29EA2" w:rsidR="007149DF" w:rsidRPr="00777BCD" w:rsidRDefault="00284640">
      <w:pPr>
        <w:widowControl w:val="0"/>
        <w:ind w:firstLine="480"/>
        <w:jc w:val="left"/>
        <w:rPr>
          <w:rFonts w:ascii="Calibri" w:hAnsi="Calibri" w:cs="Calibri"/>
          <w:bCs/>
          <w:color w:val="000000" w:themeColor="text1"/>
          <w:sz w:val="24"/>
        </w:rPr>
      </w:pPr>
      <w:r w:rsidRPr="00777BCD">
        <w:rPr>
          <w:rFonts w:ascii="Calibri" w:hAnsi="Calibri" w:cs="Calibri"/>
          <w:bCs/>
          <w:color w:val="000000" w:themeColor="text1"/>
          <w:sz w:val="24"/>
        </w:rPr>
        <w:t>8</w:t>
      </w:r>
      <w:r w:rsidRPr="00777BCD">
        <w:rPr>
          <w:rFonts w:ascii="Calibri" w:hAnsi="Calibri" w:cs="Calibri"/>
          <w:bCs/>
          <w:color w:val="000000" w:themeColor="text1"/>
          <w:sz w:val="24"/>
        </w:rPr>
        <w:t>、今后，随着证券市场的发展、金融工具的丰富和交易方式的创新等，基金还将积极寻求其他投资机会，如法律法规或监管机构以后允许基金投资其他品种，本基金将在履行适当程序后，将其纳入投资范围以丰富组合投资策略。</w:t>
      </w:r>
    </w:p>
    <w:p w14:paraId="55C617AB" w14:textId="77777777" w:rsidR="007149DF" w:rsidRPr="00777BCD" w:rsidRDefault="007149DF">
      <w:pPr>
        <w:ind w:firstLineChars="200" w:firstLine="480"/>
        <w:jc w:val="left"/>
        <w:rPr>
          <w:rFonts w:ascii="Calibri" w:hAnsi="Calibri" w:cs="Calibri"/>
          <w:bCs/>
          <w:color w:val="000000" w:themeColor="text1"/>
          <w:sz w:val="24"/>
          <w:szCs w:val="24"/>
        </w:rPr>
      </w:pPr>
    </w:p>
    <w:p w14:paraId="2B86D1BD" w14:textId="77777777" w:rsidR="007149DF" w:rsidRPr="00777BCD" w:rsidRDefault="00284640">
      <w:pPr>
        <w:ind w:firstLineChars="200" w:firstLine="480"/>
        <w:jc w:val="left"/>
        <w:rPr>
          <w:rFonts w:ascii="Calibri" w:hAnsi="Calibri" w:cs="Calibri"/>
          <w:bCs/>
          <w:color w:val="000000" w:themeColor="text1"/>
          <w:sz w:val="24"/>
        </w:rPr>
      </w:pPr>
      <w:r w:rsidRPr="00777BCD">
        <w:rPr>
          <w:rFonts w:ascii="Calibri" w:hAnsi="Calibri" w:cs="Calibri"/>
          <w:bCs/>
          <w:color w:val="000000" w:themeColor="text1"/>
          <w:sz w:val="24"/>
        </w:rPr>
        <w:t>四、投资限制</w:t>
      </w:r>
    </w:p>
    <w:p w14:paraId="6E291899" w14:textId="77777777" w:rsidR="007149DF" w:rsidRPr="00777BCD" w:rsidRDefault="00284640">
      <w:pPr>
        <w:ind w:firstLineChars="200" w:firstLine="480"/>
        <w:jc w:val="left"/>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、组合限制</w:t>
      </w:r>
    </w:p>
    <w:p w14:paraId="39A196B9"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基金的投资组合应遵循以下限制：</w:t>
      </w:r>
    </w:p>
    <w:p w14:paraId="07201BD7" w14:textId="0CF59B93" w:rsidR="007149DF" w:rsidRPr="00777BCD" w:rsidRDefault="00284640">
      <w:pPr>
        <w:ind w:firstLine="480"/>
        <w:jc w:val="left"/>
        <w:rPr>
          <w:rFonts w:ascii="Calibri" w:hAnsi="Calibri" w:cs="Calibri"/>
          <w:color w:val="000000" w:themeColor="text1"/>
          <w:sz w:val="24"/>
        </w:rPr>
      </w:pPr>
      <w:bookmarkStart w:id="308" w:name="_Hlk22677739"/>
      <w:bookmarkStart w:id="309" w:name="_Hlk47893448"/>
      <w:r w:rsidRPr="00777BCD">
        <w:rPr>
          <w:rFonts w:ascii="Calibri" w:hAnsi="Calibri" w:cs="Calibri"/>
          <w:color w:val="000000" w:themeColor="text1"/>
          <w:sz w:val="24"/>
        </w:rPr>
        <w:t>（</w:t>
      </w:r>
      <w:r w:rsidRPr="00777BCD">
        <w:rPr>
          <w:rFonts w:ascii="Calibri" w:hAnsi="Calibri" w:cs="Calibri"/>
          <w:color w:val="000000" w:themeColor="text1"/>
          <w:sz w:val="24"/>
        </w:rPr>
        <w:t>1</w:t>
      </w:r>
      <w:r w:rsidRPr="00777BCD">
        <w:rPr>
          <w:rFonts w:ascii="Calibri" w:hAnsi="Calibri" w:cs="Calibri"/>
          <w:color w:val="000000" w:themeColor="text1"/>
          <w:sz w:val="24"/>
        </w:rPr>
        <w:t>）本基金股票资产占基金资产的比例为</w:t>
      </w:r>
      <w:r w:rsidRPr="00777BCD">
        <w:rPr>
          <w:rFonts w:ascii="Calibri" w:hAnsi="Calibri" w:cs="Calibri"/>
          <w:color w:val="000000" w:themeColor="text1"/>
          <w:sz w:val="24"/>
        </w:rPr>
        <w:t>60</w:t>
      </w:r>
      <w:r w:rsidR="002568DF" w:rsidRPr="00777BCD">
        <w:rPr>
          <w:rFonts w:ascii="Calibri" w:hAnsi="Calibri" w:cs="Calibri"/>
          <w:color w:val="000000" w:themeColor="text1"/>
          <w:sz w:val="24"/>
        </w:rPr>
        <w:t>%</w:t>
      </w:r>
      <w:r w:rsidRPr="00777BCD">
        <w:rPr>
          <w:rFonts w:ascii="Calibri" w:hAnsi="Calibri" w:cs="Calibri"/>
          <w:color w:val="000000" w:themeColor="text1"/>
          <w:sz w:val="24"/>
        </w:rPr>
        <w:t>-95%</w:t>
      </w:r>
      <w:r w:rsidRPr="00777BCD">
        <w:rPr>
          <w:rFonts w:ascii="Calibri" w:hAnsi="Calibri" w:cs="Calibri"/>
          <w:color w:val="000000" w:themeColor="text1"/>
          <w:sz w:val="24"/>
        </w:rPr>
        <w:t>，其中投资于港股通标的股票的比例不超过股票资产的</w:t>
      </w:r>
      <w:r w:rsidRPr="00777BCD">
        <w:rPr>
          <w:rFonts w:ascii="Calibri" w:hAnsi="Calibri" w:cs="Calibri"/>
          <w:color w:val="000000" w:themeColor="text1"/>
          <w:sz w:val="24"/>
        </w:rPr>
        <w:t>50%</w:t>
      </w:r>
      <w:r w:rsidRPr="00777BCD">
        <w:rPr>
          <w:rFonts w:ascii="Calibri" w:hAnsi="Calibri" w:cs="Calibri"/>
          <w:color w:val="000000" w:themeColor="text1"/>
          <w:sz w:val="24"/>
        </w:rPr>
        <w:t>，投资于</w:t>
      </w:r>
      <w:r w:rsidR="00B43597">
        <w:rPr>
          <w:rFonts w:ascii="Calibri" w:hAnsi="Calibri" w:cs="Calibri"/>
          <w:color w:val="000000" w:themeColor="text1"/>
          <w:sz w:val="24"/>
        </w:rPr>
        <w:t>ESG</w:t>
      </w:r>
      <w:r w:rsidRPr="00777BCD">
        <w:rPr>
          <w:rFonts w:ascii="Calibri" w:hAnsi="Calibri" w:cs="Calibri"/>
          <w:color w:val="000000" w:themeColor="text1"/>
          <w:sz w:val="24"/>
        </w:rPr>
        <w:t>主题股票的比例不低于非现金基金资产的</w:t>
      </w:r>
      <w:r w:rsidRPr="00777BCD">
        <w:rPr>
          <w:rFonts w:ascii="Calibri" w:hAnsi="Calibri" w:cs="Calibri"/>
          <w:color w:val="000000" w:themeColor="text1"/>
          <w:sz w:val="24"/>
        </w:rPr>
        <w:t>80%</w:t>
      </w:r>
      <w:r w:rsidRPr="00777BCD">
        <w:rPr>
          <w:rFonts w:ascii="Calibri" w:hAnsi="Calibri" w:cs="Calibri"/>
          <w:color w:val="000000" w:themeColor="text1"/>
          <w:sz w:val="24"/>
        </w:rPr>
        <w:t>；</w:t>
      </w:r>
    </w:p>
    <w:p w14:paraId="75D8B868" w14:textId="2EEC7442"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2</w:t>
      </w:r>
      <w:r w:rsidRPr="00777BCD">
        <w:rPr>
          <w:rFonts w:ascii="Calibri" w:hAnsi="Calibri" w:cs="Calibri"/>
          <w:color w:val="000000" w:themeColor="text1"/>
          <w:sz w:val="24"/>
        </w:rPr>
        <w:t>）本基金每个交易日日终在扣除股指期货合约需缴纳的交易保证金后，基金保留的现金或到期日在一年以内的政府债券的比例合计不低于基金资产净值的</w:t>
      </w:r>
      <w:r w:rsidRPr="00777BCD">
        <w:rPr>
          <w:rFonts w:ascii="Calibri" w:hAnsi="Calibri" w:cs="Calibri"/>
          <w:color w:val="000000" w:themeColor="text1"/>
          <w:sz w:val="24"/>
        </w:rPr>
        <w:t>5%</w:t>
      </w:r>
      <w:r w:rsidRPr="00777BCD">
        <w:rPr>
          <w:rFonts w:ascii="Calibri" w:hAnsi="Calibri" w:cs="Calibri"/>
          <w:color w:val="000000" w:themeColor="text1"/>
          <w:sz w:val="24"/>
        </w:rPr>
        <w:t>，其中现金不包括结算备付金、存出保证金、应收申购款等</w:t>
      </w:r>
      <w:r w:rsidR="002568DF" w:rsidRPr="00777BCD">
        <w:rPr>
          <w:rFonts w:ascii="Calibri" w:hAnsi="Calibri" w:cs="Calibri"/>
          <w:color w:val="000000" w:themeColor="text1"/>
          <w:sz w:val="24"/>
        </w:rPr>
        <w:t>；</w:t>
      </w:r>
    </w:p>
    <w:p w14:paraId="16275B8E"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3</w:t>
      </w:r>
      <w:r w:rsidRPr="00777BCD">
        <w:rPr>
          <w:rFonts w:ascii="Calibri" w:hAnsi="Calibri" w:cs="Calibri"/>
          <w:color w:val="000000" w:themeColor="text1"/>
          <w:sz w:val="24"/>
        </w:rPr>
        <w:t>）本基金持有一家公司发行的证券（同一家公司在境内和香港同时上市的</w:t>
      </w:r>
      <w:r w:rsidRPr="00777BCD">
        <w:rPr>
          <w:rFonts w:ascii="Calibri" w:hAnsi="Calibri" w:cs="Calibri"/>
          <w:color w:val="000000" w:themeColor="text1"/>
          <w:sz w:val="24"/>
        </w:rPr>
        <w:t>A+H</w:t>
      </w:r>
      <w:r w:rsidRPr="00777BCD">
        <w:rPr>
          <w:rFonts w:ascii="Calibri" w:hAnsi="Calibri" w:cs="Calibri"/>
          <w:color w:val="000000" w:themeColor="text1"/>
          <w:sz w:val="24"/>
        </w:rPr>
        <w:t>股合计计算），其市值不超过基金资产净值的</w:t>
      </w:r>
      <w:r w:rsidRPr="00777BCD">
        <w:rPr>
          <w:rFonts w:ascii="Calibri" w:hAnsi="Calibri" w:cs="Calibri"/>
          <w:color w:val="000000" w:themeColor="text1"/>
          <w:sz w:val="24"/>
        </w:rPr>
        <w:t>10%</w:t>
      </w:r>
      <w:r w:rsidRPr="00777BCD">
        <w:rPr>
          <w:rFonts w:ascii="Calibri" w:hAnsi="Calibri" w:cs="Calibri"/>
          <w:color w:val="000000" w:themeColor="text1"/>
          <w:sz w:val="24"/>
        </w:rPr>
        <w:t>；</w:t>
      </w:r>
    </w:p>
    <w:p w14:paraId="7EF00E1B" w14:textId="4F5844FC"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4</w:t>
      </w:r>
      <w:r w:rsidRPr="00777BCD">
        <w:rPr>
          <w:rFonts w:ascii="Calibri" w:hAnsi="Calibri" w:cs="Calibri"/>
          <w:color w:val="000000" w:themeColor="text1"/>
          <w:sz w:val="24"/>
        </w:rPr>
        <w:t>）本基金管理人管理的全部基金持有一家公司发行的证券（同一家公司在境内和香港同时上市的</w:t>
      </w:r>
      <w:r w:rsidRPr="00777BCD">
        <w:rPr>
          <w:rFonts w:ascii="Calibri" w:hAnsi="Calibri" w:cs="Calibri"/>
          <w:color w:val="000000" w:themeColor="text1"/>
          <w:sz w:val="24"/>
        </w:rPr>
        <w:t>A+H</w:t>
      </w:r>
      <w:r w:rsidRPr="00777BCD">
        <w:rPr>
          <w:rFonts w:ascii="Calibri" w:hAnsi="Calibri" w:cs="Calibri"/>
          <w:color w:val="000000" w:themeColor="text1"/>
          <w:sz w:val="24"/>
        </w:rPr>
        <w:t>股合计计算），不超过该证券的</w:t>
      </w:r>
      <w:r w:rsidRPr="00777BCD">
        <w:rPr>
          <w:rFonts w:ascii="Calibri" w:hAnsi="Calibri" w:cs="Calibri"/>
          <w:color w:val="000000" w:themeColor="text1"/>
          <w:sz w:val="24"/>
        </w:rPr>
        <w:t>10%</w:t>
      </w:r>
      <w:r w:rsidRPr="00777BCD">
        <w:rPr>
          <w:rFonts w:ascii="Calibri" w:hAnsi="Calibri" w:cs="Calibri"/>
          <w:color w:val="000000" w:themeColor="text1"/>
          <w:sz w:val="24"/>
        </w:rPr>
        <w:t>；</w:t>
      </w:r>
      <w:r w:rsidR="00C94D40" w:rsidRPr="00777BCD">
        <w:rPr>
          <w:rFonts w:ascii="Calibri" w:hAnsi="Calibri" w:cs="Calibri"/>
          <w:color w:val="000000" w:themeColor="text1"/>
          <w:sz w:val="24"/>
        </w:rPr>
        <w:t>完全按照有关指数的构成比例进行证券投资的基金品种可以不受此条款规定的比例限制；</w:t>
      </w:r>
    </w:p>
    <w:p w14:paraId="5A5A1280"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5</w:t>
      </w:r>
      <w:r w:rsidRPr="00777BCD">
        <w:rPr>
          <w:rFonts w:ascii="Calibri" w:hAnsi="Calibri" w:cs="Calibri"/>
          <w:color w:val="000000" w:themeColor="text1"/>
          <w:sz w:val="24"/>
        </w:rPr>
        <w:t>）本基金投资于同一原始权益人的各类资产支持证券的比例，不得超过基金资产净值的</w:t>
      </w:r>
      <w:r w:rsidRPr="00777BCD">
        <w:rPr>
          <w:rFonts w:ascii="Calibri" w:hAnsi="Calibri" w:cs="Calibri"/>
          <w:color w:val="000000" w:themeColor="text1"/>
          <w:sz w:val="24"/>
        </w:rPr>
        <w:t>10%</w:t>
      </w:r>
      <w:r w:rsidRPr="00777BCD">
        <w:rPr>
          <w:rFonts w:ascii="Calibri" w:hAnsi="Calibri" w:cs="Calibri"/>
          <w:color w:val="000000" w:themeColor="text1"/>
          <w:sz w:val="24"/>
        </w:rPr>
        <w:t>；</w:t>
      </w:r>
    </w:p>
    <w:p w14:paraId="4C849988"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6</w:t>
      </w:r>
      <w:r w:rsidRPr="00777BCD">
        <w:rPr>
          <w:rFonts w:ascii="Calibri" w:hAnsi="Calibri" w:cs="Calibri"/>
          <w:color w:val="000000" w:themeColor="text1"/>
          <w:sz w:val="24"/>
        </w:rPr>
        <w:t>）本基金持有的全部资产支持证券，其市值不得超过基金资产净值的</w:t>
      </w:r>
      <w:r w:rsidRPr="00777BCD">
        <w:rPr>
          <w:rFonts w:ascii="Calibri" w:hAnsi="Calibri" w:cs="Calibri"/>
          <w:color w:val="000000" w:themeColor="text1"/>
          <w:sz w:val="24"/>
        </w:rPr>
        <w:t>20%</w:t>
      </w:r>
      <w:r w:rsidRPr="00777BCD">
        <w:rPr>
          <w:rFonts w:ascii="Calibri" w:hAnsi="Calibri" w:cs="Calibri"/>
          <w:color w:val="000000" w:themeColor="text1"/>
          <w:sz w:val="24"/>
        </w:rPr>
        <w:t>；</w:t>
      </w:r>
    </w:p>
    <w:p w14:paraId="1602D8DD"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7</w:t>
      </w:r>
      <w:r w:rsidRPr="00777BCD">
        <w:rPr>
          <w:rFonts w:ascii="Calibri" w:hAnsi="Calibri" w:cs="Calibri"/>
          <w:color w:val="000000" w:themeColor="text1"/>
          <w:sz w:val="24"/>
        </w:rPr>
        <w:t>）本基金持有的同一</w:t>
      </w:r>
      <w:r w:rsidRPr="00777BCD">
        <w:rPr>
          <w:rFonts w:ascii="Calibri" w:hAnsi="Calibri" w:cs="Calibri"/>
          <w:color w:val="000000" w:themeColor="text1"/>
          <w:sz w:val="24"/>
        </w:rPr>
        <w:t>(</w:t>
      </w:r>
      <w:r w:rsidRPr="00777BCD">
        <w:rPr>
          <w:rFonts w:ascii="Calibri" w:hAnsi="Calibri" w:cs="Calibri"/>
          <w:color w:val="000000" w:themeColor="text1"/>
          <w:sz w:val="24"/>
        </w:rPr>
        <w:t>指同一信用级别</w:t>
      </w:r>
      <w:r w:rsidRPr="00777BCD">
        <w:rPr>
          <w:rFonts w:ascii="Calibri" w:hAnsi="Calibri" w:cs="Calibri"/>
          <w:color w:val="000000" w:themeColor="text1"/>
          <w:sz w:val="24"/>
        </w:rPr>
        <w:t>)</w:t>
      </w:r>
      <w:r w:rsidRPr="00777BCD">
        <w:rPr>
          <w:rFonts w:ascii="Calibri" w:hAnsi="Calibri" w:cs="Calibri"/>
          <w:color w:val="000000" w:themeColor="text1"/>
          <w:sz w:val="24"/>
        </w:rPr>
        <w:t>资产支持证券的比例，不得超过该资产支持证券规模的</w:t>
      </w:r>
      <w:r w:rsidRPr="00777BCD">
        <w:rPr>
          <w:rFonts w:ascii="Calibri" w:hAnsi="Calibri" w:cs="Calibri"/>
          <w:color w:val="000000" w:themeColor="text1"/>
          <w:sz w:val="24"/>
        </w:rPr>
        <w:t>10%</w:t>
      </w:r>
      <w:r w:rsidRPr="00777BCD">
        <w:rPr>
          <w:rFonts w:ascii="Calibri" w:hAnsi="Calibri" w:cs="Calibri"/>
          <w:color w:val="000000" w:themeColor="text1"/>
          <w:sz w:val="24"/>
        </w:rPr>
        <w:t>；</w:t>
      </w:r>
    </w:p>
    <w:p w14:paraId="064663B1"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8</w:t>
      </w:r>
      <w:r w:rsidRPr="00777BCD">
        <w:rPr>
          <w:rFonts w:ascii="Calibri" w:hAnsi="Calibri" w:cs="Calibri"/>
          <w:color w:val="000000" w:themeColor="text1"/>
          <w:sz w:val="24"/>
        </w:rPr>
        <w:t>）本基金管理人管理的全部基金投资于同一原始权益人的各类资产支持证券，不得超过其各类资产支持证券合计规模的</w:t>
      </w:r>
      <w:r w:rsidRPr="00777BCD">
        <w:rPr>
          <w:rFonts w:ascii="Calibri" w:hAnsi="Calibri" w:cs="Calibri"/>
          <w:color w:val="000000" w:themeColor="text1"/>
          <w:sz w:val="24"/>
        </w:rPr>
        <w:t>10%</w:t>
      </w:r>
      <w:r w:rsidRPr="00777BCD">
        <w:rPr>
          <w:rFonts w:ascii="Calibri" w:hAnsi="Calibri" w:cs="Calibri"/>
          <w:color w:val="000000" w:themeColor="text1"/>
          <w:sz w:val="24"/>
        </w:rPr>
        <w:t>；</w:t>
      </w:r>
    </w:p>
    <w:p w14:paraId="556B22C4"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lastRenderedPageBreak/>
        <w:t>（</w:t>
      </w:r>
      <w:r w:rsidRPr="00777BCD">
        <w:rPr>
          <w:rFonts w:ascii="Calibri" w:hAnsi="Calibri" w:cs="Calibri"/>
          <w:color w:val="000000" w:themeColor="text1"/>
          <w:sz w:val="24"/>
        </w:rPr>
        <w:t>9</w:t>
      </w:r>
      <w:r w:rsidRPr="00777BCD">
        <w:rPr>
          <w:rFonts w:ascii="Calibri" w:hAnsi="Calibri" w:cs="Calibri"/>
          <w:color w:val="000000" w:themeColor="text1"/>
          <w:sz w:val="24"/>
        </w:rPr>
        <w:t>）本基金应投资于信用级别评级为</w:t>
      </w:r>
      <w:r w:rsidRPr="00777BCD">
        <w:rPr>
          <w:rFonts w:ascii="Calibri" w:hAnsi="Calibri" w:cs="Calibri"/>
          <w:color w:val="000000" w:themeColor="text1"/>
          <w:sz w:val="24"/>
        </w:rPr>
        <w:t>BBB</w:t>
      </w:r>
      <w:r w:rsidRPr="00777BCD">
        <w:rPr>
          <w:rFonts w:ascii="Calibri" w:hAnsi="Calibri" w:cs="Calibri"/>
          <w:color w:val="000000" w:themeColor="text1"/>
          <w:sz w:val="24"/>
        </w:rPr>
        <w:t>以上</w:t>
      </w:r>
      <w:r w:rsidRPr="00777BCD">
        <w:rPr>
          <w:rFonts w:ascii="Calibri" w:hAnsi="Calibri" w:cs="Calibri"/>
          <w:color w:val="000000" w:themeColor="text1"/>
          <w:sz w:val="24"/>
        </w:rPr>
        <w:t>(</w:t>
      </w:r>
      <w:r w:rsidRPr="00777BCD">
        <w:rPr>
          <w:rFonts w:ascii="Calibri" w:hAnsi="Calibri" w:cs="Calibri"/>
          <w:color w:val="000000" w:themeColor="text1"/>
          <w:sz w:val="24"/>
        </w:rPr>
        <w:t>含</w:t>
      </w:r>
      <w:r w:rsidRPr="00777BCD">
        <w:rPr>
          <w:rFonts w:ascii="Calibri" w:hAnsi="Calibri" w:cs="Calibri"/>
          <w:color w:val="000000" w:themeColor="text1"/>
          <w:sz w:val="24"/>
        </w:rPr>
        <w:t>BBB)</w:t>
      </w:r>
      <w:r w:rsidRPr="00777BCD">
        <w:rPr>
          <w:rFonts w:ascii="Calibri" w:hAnsi="Calibri" w:cs="Calibri"/>
          <w:color w:val="000000" w:themeColor="text1"/>
          <w:sz w:val="24"/>
        </w:rPr>
        <w:t>的资产支持证券。基金持有资产支持证券期间，如果其信用等级下降、不再符合投资标准，应在评级报告发布之日起</w:t>
      </w:r>
      <w:r w:rsidRPr="00777BCD">
        <w:rPr>
          <w:rFonts w:ascii="Calibri" w:hAnsi="Calibri" w:cs="Calibri"/>
          <w:color w:val="000000" w:themeColor="text1"/>
          <w:sz w:val="24"/>
        </w:rPr>
        <w:t>3</w:t>
      </w:r>
      <w:r w:rsidRPr="00777BCD">
        <w:rPr>
          <w:rFonts w:ascii="Calibri" w:hAnsi="Calibri" w:cs="Calibri"/>
          <w:color w:val="000000" w:themeColor="text1"/>
          <w:sz w:val="24"/>
        </w:rPr>
        <w:t>个月内予以全部卖出；</w:t>
      </w:r>
    </w:p>
    <w:p w14:paraId="0A218C27"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10</w:t>
      </w:r>
      <w:r w:rsidRPr="00777BCD">
        <w:rPr>
          <w:rFonts w:ascii="Calibri" w:hAnsi="Calibri" w:cs="Calibri"/>
          <w:color w:val="000000" w:themeColor="text1"/>
          <w:sz w:val="24"/>
        </w:rPr>
        <w:t>）基金财产参与股票发行申购，本基金所申报的金额不超过本基金的总资产，本基金所申报的股票数量不超过拟发行股票公司本次发行股票的总量；</w:t>
      </w:r>
    </w:p>
    <w:p w14:paraId="440A6A91"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11</w:t>
      </w:r>
      <w:r w:rsidRPr="00777BCD">
        <w:rPr>
          <w:rFonts w:ascii="Calibri" w:hAnsi="Calibri" w:cs="Calibri"/>
          <w:color w:val="000000" w:themeColor="text1"/>
          <w:sz w:val="24"/>
        </w:rPr>
        <w:t>）本基金资产总值不超过基金资产净值的</w:t>
      </w:r>
      <w:r w:rsidRPr="00777BCD">
        <w:rPr>
          <w:rFonts w:ascii="Calibri" w:hAnsi="Calibri" w:cs="Calibri"/>
          <w:color w:val="000000" w:themeColor="text1"/>
          <w:sz w:val="24"/>
        </w:rPr>
        <w:t>140%</w:t>
      </w:r>
      <w:r w:rsidRPr="00777BCD">
        <w:rPr>
          <w:rFonts w:ascii="Calibri" w:hAnsi="Calibri" w:cs="Calibri"/>
          <w:color w:val="000000" w:themeColor="text1"/>
          <w:sz w:val="24"/>
        </w:rPr>
        <w:t>；</w:t>
      </w:r>
    </w:p>
    <w:p w14:paraId="5EA71191"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12</w:t>
      </w:r>
      <w:r w:rsidRPr="00777BCD">
        <w:rPr>
          <w:rFonts w:ascii="Calibri" w:hAnsi="Calibri" w:cs="Calibri"/>
          <w:color w:val="000000" w:themeColor="text1"/>
          <w:sz w:val="24"/>
        </w:rPr>
        <w:t>）本基金参与股指期货交易时，依据下列标准构建组合：</w:t>
      </w:r>
    </w:p>
    <w:p w14:paraId="4A59E029"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1</w:t>
      </w:r>
      <w:r w:rsidRPr="00777BCD">
        <w:rPr>
          <w:rFonts w:ascii="Calibri" w:hAnsi="Calibri" w:cs="Calibri"/>
          <w:color w:val="000000" w:themeColor="text1"/>
          <w:sz w:val="24"/>
        </w:rPr>
        <w:t>）本基金在任何交易日日终，持有的买入股指期货合约价值不得超过基金资产净值的</w:t>
      </w:r>
      <w:r w:rsidRPr="00777BCD">
        <w:rPr>
          <w:rFonts w:ascii="Calibri" w:hAnsi="Calibri" w:cs="Calibri"/>
          <w:color w:val="000000" w:themeColor="text1"/>
          <w:sz w:val="24"/>
        </w:rPr>
        <w:t>10%</w:t>
      </w:r>
      <w:r w:rsidRPr="00777BCD">
        <w:rPr>
          <w:rFonts w:ascii="Calibri" w:hAnsi="Calibri" w:cs="Calibri"/>
          <w:color w:val="000000" w:themeColor="text1"/>
          <w:sz w:val="24"/>
        </w:rPr>
        <w:t>；</w:t>
      </w:r>
    </w:p>
    <w:p w14:paraId="74F961BA"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2</w:t>
      </w:r>
      <w:r w:rsidRPr="00777BCD">
        <w:rPr>
          <w:rFonts w:ascii="Calibri" w:hAnsi="Calibri" w:cs="Calibri"/>
          <w:color w:val="000000" w:themeColor="text1"/>
          <w:sz w:val="24"/>
        </w:rPr>
        <w:t>）本基金在任何交易日日终，持有的买入股指期货合约价值与有价证券市值之和不得超过基金资产净值的</w:t>
      </w:r>
      <w:r w:rsidRPr="00777BCD">
        <w:rPr>
          <w:rFonts w:ascii="Calibri" w:hAnsi="Calibri" w:cs="Calibri"/>
          <w:color w:val="000000" w:themeColor="text1"/>
          <w:sz w:val="24"/>
        </w:rPr>
        <w:t>95%</w:t>
      </w:r>
      <w:r w:rsidRPr="00777BCD">
        <w:rPr>
          <w:rFonts w:ascii="Calibri" w:hAnsi="Calibri" w:cs="Calibri"/>
          <w:color w:val="000000" w:themeColor="text1"/>
          <w:sz w:val="24"/>
        </w:rPr>
        <w:t>，其中，有价证券指股票、债券（不含到期日在一年以内的政府债券）、资产支持证券、买入返售金融资产（不含质押式回购）等；</w:t>
      </w:r>
    </w:p>
    <w:p w14:paraId="1E271ECC"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3</w:t>
      </w:r>
      <w:r w:rsidRPr="00777BCD">
        <w:rPr>
          <w:rFonts w:ascii="Calibri" w:hAnsi="Calibri" w:cs="Calibri"/>
          <w:color w:val="000000" w:themeColor="text1"/>
          <w:sz w:val="24"/>
        </w:rPr>
        <w:t>）本基金在任何交易日日终，持有的卖出股指期货合约价值不得超过本基金持有的股票总市值的</w:t>
      </w:r>
      <w:r w:rsidRPr="00777BCD">
        <w:rPr>
          <w:rFonts w:ascii="Calibri" w:hAnsi="Calibri" w:cs="Calibri"/>
          <w:color w:val="000000" w:themeColor="text1"/>
          <w:sz w:val="24"/>
        </w:rPr>
        <w:t>20%</w:t>
      </w:r>
      <w:r w:rsidRPr="00777BCD">
        <w:rPr>
          <w:rFonts w:ascii="Calibri" w:hAnsi="Calibri" w:cs="Calibri"/>
          <w:color w:val="000000" w:themeColor="text1"/>
          <w:sz w:val="24"/>
        </w:rPr>
        <w:t>；</w:t>
      </w:r>
    </w:p>
    <w:p w14:paraId="5DD54642"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4</w:t>
      </w:r>
      <w:r w:rsidRPr="00777BCD">
        <w:rPr>
          <w:rFonts w:ascii="Calibri" w:hAnsi="Calibri" w:cs="Calibri"/>
          <w:color w:val="000000" w:themeColor="text1"/>
          <w:sz w:val="24"/>
        </w:rPr>
        <w:t>）本基金所持有的股票市值和买入、卖出股指期货合约价值，合计（轧差计算）应当符合基金合同关于股票投资比例的有关约定；</w:t>
      </w:r>
    </w:p>
    <w:p w14:paraId="59F53D1F"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5</w:t>
      </w:r>
      <w:r w:rsidRPr="00777BCD">
        <w:rPr>
          <w:rFonts w:ascii="Calibri" w:hAnsi="Calibri" w:cs="Calibri"/>
          <w:color w:val="000000" w:themeColor="text1"/>
          <w:sz w:val="24"/>
        </w:rPr>
        <w:t>）本基金在任何交易日内交易（不包括平仓）的股指期货合约的成交金额不得超过上一交易日基金资产净值的</w:t>
      </w:r>
      <w:r w:rsidRPr="00777BCD">
        <w:rPr>
          <w:rFonts w:ascii="Calibri" w:hAnsi="Calibri" w:cs="Calibri"/>
          <w:color w:val="000000" w:themeColor="text1"/>
          <w:sz w:val="24"/>
        </w:rPr>
        <w:t>20%</w:t>
      </w:r>
      <w:r w:rsidRPr="00777BCD">
        <w:rPr>
          <w:rFonts w:ascii="Calibri" w:hAnsi="Calibri" w:cs="Calibri"/>
          <w:color w:val="000000" w:themeColor="text1"/>
          <w:sz w:val="24"/>
        </w:rPr>
        <w:t>；</w:t>
      </w:r>
    </w:p>
    <w:p w14:paraId="3036C4BA" w14:textId="7F8246AA"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13</w:t>
      </w:r>
      <w:r w:rsidRPr="00777BCD">
        <w:rPr>
          <w:rFonts w:ascii="Calibri" w:hAnsi="Calibri" w:cs="Calibri"/>
          <w:color w:val="000000" w:themeColor="text1"/>
          <w:sz w:val="24"/>
        </w:rPr>
        <w:t>）本基金管理人管理的全部开放式基金（包括开放式基金以及处于开放期的定期开放基金）持有一家上市公司发行的可流通股票，不得超过该上市公司可流通股票的</w:t>
      </w:r>
      <w:r w:rsidRPr="00777BCD">
        <w:rPr>
          <w:rFonts w:ascii="Calibri" w:hAnsi="Calibri" w:cs="Calibri"/>
          <w:color w:val="000000" w:themeColor="text1"/>
          <w:sz w:val="24"/>
        </w:rPr>
        <w:t>15%</w:t>
      </w:r>
      <w:r w:rsidRPr="00777BCD">
        <w:rPr>
          <w:rFonts w:ascii="Calibri" w:hAnsi="Calibri" w:cs="Calibri"/>
          <w:color w:val="000000" w:themeColor="text1"/>
          <w:sz w:val="24"/>
        </w:rPr>
        <w:t>；本基金管理人管理的全部投资组合持有一家上市公司发行的可流通股票，不得超过该上市公司可流通股票的</w:t>
      </w:r>
      <w:r w:rsidRPr="00777BCD">
        <w:rPr>
          <w:rFonts w:ascii="Calibri" w:hAnsi="Calibri" w:cs="Calibri"/>
          <w:color w:val="000000" w:themeColor="text1"/>
          <w:sz w:val="24"/>
        </w:rPr>
        <w:t>30%</w:t>
      </w:r>
      <w:r w:rsidRPr="00777BCD">
        <w:rPr>
          <w:rFonts w:ascii="Calibri" w:hAnsi="Calibri" w:cs="Calibri"/>
          <w:color w:val="000000" w:themeColor="text1"/>
          <w:sz w:val="24"/>
        </w:rPr>
        <w:t>；</w:t>
      </w:r>
      <w:r w:rsidR="0028684D" w:rsidRPr="00777BCD">
        <w:rPr>
          <w:rFonts w:ascii="Calibri" w:hAnsi="Calibri" w:cs="Calibri"/>
          <w:color w:val="000000" w:themeColor="text1"/>
          <w:sz w:val="24"/>
        </w:rPr>
        <w:t>完全按照有关指数的构成比例进行证券投资的开放式基金以及中国证监会认定的特殊投资组合可不受前述比例限制；</w:t>
      </w:r>
    </w:p>
    <w:p w14:paraId="4025CDB7"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14</w:t>
      </w:r>
      <w:r w:rsidRPr="00777BCD">
        <w:rPr>
          <w:rFonts w:ascii="Calibri" w:hAnsi="Calibri" w:cs="Calibri"/>
          <w:color w:val="000000" w:themeColor="text1"/>
          <w:sz w:val="24"/>
        </w:rPr>
        <w:t>）本基金主动投资于流动性受限资产的市值合计不得超过基金资产净值的</w:t>
      </w:r>
      <w:r w:rsidRPr="00777BCD">
        <w:rPr>
          <w:rFonts w:ascii="Calibri" w:hAnsi="Calibri" w:cs="Calibri"/>
          <w:color w:val="000000" w:themeColor="text1"/>
          <w:sz w:val="24"/>
        </w:rPr>
        <w:t>15%</w:t>
      </w:r>
      <w:r w:rsidRPr="00777BCD">
        <w:rPr>
          <w:rFonts w:ascii="Calibri" w:hAnsi="Calibri" w:cs="Calibri"/>
          <w:color w:val="000000" w:themeColor="text1"/>
          <w:sz w:val="24"/>
        </w:rPr>
        <w:t>；因证券市场波动、上市公司股票停牌、基金规模变动等基金管理人</w:t>
      </w:r>
      <w:r w:rsidRPr="00777BCD">
        <w:rPr>
          <w:rFonts w:ascii="Calibri" w:hAnsi="Calibri" w:cs="Calibri"/>
          <w:color w:val="000000" w:themeColor="text1"/>
          <w:sz w:val="24"/>
        </w:rPr>
        <w:lastRenderedPageBreak/>
        <w:t>之外的因素致使基金不符合该比例限制的，基金管理人不得主动新增流动性受限资产的投资；</w:t>
      </w:r>
    </w:p>
    <w:p w14:paraId="0551BD86"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15</w:t>
      </w:r>
      <w:r w:rsidRPr="00777BCD">
        <w:rPr>
          <w:rFonts w:ascii="Calibri" w:hAnsi="Calibri" w:cs="Calibri"/>
          <w:color w:val="000000" w:themeColor="text1"/>
          <w:sz w:val="24"/>
        </w:rPr>
        <w:t>）本基金与私募类</w:t>
      </w:r>
      <w:proofErr w:type="gramStart"/>
      <w:r w:rsidRPr="00777BCD">
        <w:rPr>
          <w:rFonts w:ascii="Calibri" w:hAnsi="Calibri" w:cs="Calibri"/>
          <w:color w:val="000000" w:themeColor="text1"/>
          <w:sz w:val="24"/>
        </w:rPr>
        <w:t>证券资管产品</w:t>
      </w:r>
      <w:proofErr w:type="gramEnd"/>
      <w:r w:rsidRPr="00777BCD">
        <w:rPr>
          <w:rFonts w:ascii="Calibri" w:hAnsi="Calibri" w:cs="Calibri"/>
          <w:color w:val="000000" w:themeColor="text1"/>
          <w:sz w:val="24"/>
        </w:rPr>
        <w:t>及中国证监会认定的其他主体为交易对手开展逆回购交易的，可接受质押品的资质要求应当与本基金合同约定的投资范围保持一致；</w:t>
      </w:r>
    </w:p>
    <w:p w14:paraId="2BE08191" w14:textId="77777777" w:rsidR="007149DF" w:rsidRPr="00777BCD" w:rsidRDefault="00284640">
      <w:pPr>
        <w:ind w:firstLine="480"/>
        <w:jc w:val="left"/>
        <w:rPr>
          <w:rFonts w:ascii="Calibri" w:hAnsi="Calibri" w:cs="Calibri"/>
          <w:color w:val="000000" w:themeColor="text1"/>
          <w:sz w:val="24"/>
        </w:rPr>
      </w:pPr>
      <w:bookmarkStart w:id="310" w:name="_Hlk160455707"/>
      <w:r w:rsidRPr="00777BCD">
        <w:rPr>
          <w:rFonts w:ascii="Calibri" w:hAnsi="Calibri" w:cs="Calibri"/>
          <w:color w:val="000000" w:themeColor="text1"/>
          <w:sz w:val="24"/>
        </w:rPr>
        <w:t>（</w:t>
      </w:r>
      <w:r w:rsidRPr="00777BCD">
        <w:rPr>
          <w:rFonts w:ascii="Calibri" w:hAnsi="Calibri" w:cs="Calibri"/>
          <w:color w:val="000000" w:themeColor="text1"/>
          <w:sz w:val="24"/>
        </w:rPr>
        <w:t>16</w:t>
      </w:r>
      <w:r w:rsidRPr="00777BCD">
        <w:rPr>
          <w:rFonts w:ascii="Calibri" w:hAnsi="Calibri" w:cs="Calibri"/>
          <w:color w:val="000000" w:themeColor="text1"/>
          <w:sz w:val="24"/>
        </w:rPr>
        <w:t>）本基金</w:t>
      </w:r>
      <w:proofErr w:type="gramStart"/>
      <w:r w:rsidRPr="00777BCD">
        <w:rPr>
          <w:rFonts w:ascii="Calibri" w:hAnsi="Calibri" w:cs="Calibri"/>
          <w:color w:val="000000" w:themeColor="text1"/>
          <w:sz w:val="24"/>
        </w:rPr>
        <w:t>若参</w:t>
      </w:r>
      <w:proofErr w:type="gramEnd"/>
      <w:r w:rsidRPr="00777BCD">
        <w:rPr>
          <w:rFonts w:ascii="Calibri" w:hAnsi="Calibri" w:cs="Calibri"/>
          <w:color w:val="000000" w:themeColor="text1"/>
          <w:sz w:val="24"/>
        </w:rPr>
        <w:t>与融资业务的，应当遵守下列要求：每个交易日日终，本基金持有的融资买入股票与其他有价证券市值之和，不得超过基金资产净值的</w:t>
      </w:r>
      <w:r w:rsidRPr="00777BCD">
        <w:rPr>
          <w:rFonts w:ascii="Calibri" w:hAnsi="Calibri" w:cs="Calibri"/>
          <w:color w:val="000000" w:themeColor="text1"/>
          <w:sz w:val="24"/>
        </w:rPr>
        <w:t>95%</w:t>
      </w:r>
      <w:r w:rsidRPr="00777BCD">
        <w:rPr>
          <w:rFonts w:ascii="Calibri" w:hAnsi="Calibri" w:cs="Calibri"/>
          <w:color w:val="000000" w:themeColor="text1"/>
          <w:sz w:val="24"/>
        </w:rPr>
        <w:t>；</w:t>
      </w:r>
    </w:p>
    <w:p w14:paraId="5ED760E1"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17</w:t>
      </w:r>
      <w:r w:rsidRPr="00777BCD">
        <w:rPr>
          <w:rFonts w:ascii="Calibri" w:hAnsi="Calibri" w:cs="Calibri"/>
          <w:color w:val="000000" w:themeColor="text1"/>
          <w:sz w:val="24"/>
        </w:rPr>
        <w:t>）本基金投资存托凭证的比例限制依照境内上市交易的股票执行，与境内上市交易的股票合并计算；</w:t>
      </w:r>
    </w:p>
    <w:p w14:paraId="00374DCB" w14:textId="02CA2A16"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18</w:t>
      </w:r>
      <w:r w:rsidRPr="00777BCD">
        <w:rPr>
          <w:rFonts w:ascii="Calibri" w:hAnsi="Calibri" w:cs="Calibri"/>
          <w:color w:val="000000" w:themeColor="text1"/>
          <w:sz w:val="24"/>
        </w:rPr>
        <w:t>）法律法规及中国证监会规定的和《基金合同》约定的其他投资限制。</w:t>
      </w:r>
    </w:p>
    <w:bookmarkEnd w:id="308"/>
    <w:bookmarkEnd w:id="310"/>
    <w:p w14:paraId="41DF8D02" w14:textId="4C8D8F9F"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除上述第（</w:t>
      </w:r>
      <w:r w:rsidRPr="00777BCD">
        <w:rPr>
          <w:rFonts w:ascii="Calibri" w:hAnsi="Calibri" w:cs="Calibri"/>
          <w:color w:val="000000" w:themeColor="text1"/>
          <w:sz w:val="24"/>
        </w:rPr>
        <w:t>2</w:t>
      </w:r>
      <w:r w:rsidRPr="00777BCD">
        <w:rPr>
          <w:rFonts w:ascii="Calibri" w:hAnsi="Calibri" w:cs="Calibri"/>
          <w:color w:val="000000" w:themeColor="text1"/>
          <w:sz w:val="24"/>
        </w:rPr>
        <w:t>）、（</w:t>
      </w:r>
      <w:r w:rsidRPr="00777BCD">
        <w:rPr>
          <w:rFonts w:ascii="Calibri" w:hAnsi="Calibri" w:cs="Calibri"/>
          <w:color w:val="000000" w:themeColor="text1"/>
          <w:sz w:val="24"/>
        </w:rPr>
        <w:t>9</w:t>
      </w:r>
      <w:r w:rsidRPr="00777BCD">
        <w:rPr>
          <w:rFonts w:ascii="Calibri" w:hAnsi="Calibri" w:cs="Calibri"/>
          <w:color w:val="000000" w:themeColor="text1"/>
          <w:sz w:val="24"/>
        </w:rPr>
        <w:t>）、（</w:t>
      </w:r>
      <w:r w:rsidRPr="00777BCD">
        <w:rPr>
          <w:rFonts w:ascii="Calibri" w:hAnsi="Calibri" w:cs="Calibri"/>
          <w:color w:val="000000" w:themeColor="text1"/>
          <w:sz w:val="24"/>
        </w:rPr>
        <w:t>14</w:t>
      </w:r>
      <w:r w:rsidRPr="00777BCD">
        <w:rPr>
          <w:rFonts w:ascii="Calibri" w:hAnsi="Calibri" w:cs="Calibri"/>
          <w:color w:val="000000" w:themeColor="text1"/>
          <w:sz w:val="24"/>
        </w:rPr>
        <w:t>）、（</w:t>
      </w:r>
      <w:r w:rsidRPr="00777BCD">
        <w:rPr>
          <w:rFonts w:ascii="Calibri" w:hAnsi="Calibri" w:cs="Calibri"/>
          <w:color w:val="000000" w:themeColor="text1"/>
          <w:sz w:val="24"/>
        </w:rPr>
        <w:t>15</w:t>
      </w:r>
      <w:r w:rsidRPr="00777BCD">
        <w:rPr>
          <w:rFonts w:ascii="Calibri" w:hAnsi="Calibri" w:cs="Calibri"/>
          <w:color w:val="000000" w:themeColor="text1"/>
          <w:sz w:val="24"/>
        </w:rPr>
        <w:t>）项另有约定外，因证券</w:t>
      </w:r>
      <w:r w:rsidRPr="00777BCD">
        <w:rPr>
          <w:rFonts w:ascii="Calibri" w:hAnsi="Calibri" w:cs="Calibri"/>
          <w:color w:val="000000" w:themeColor="text1"/>
          <w:sz w:val="24"/>
        </w:rPr>
        <w:t>/</w:t>
      </w:r>
      <w:r w:rsidRPr="00777BCD">
        <w:rPr>
          <w:rFonts w:ascii="Calibri" w:hAnsi="Calibri" w:cs="Calibri"/>
          <w:color w:val="000000" w:themeColor="text1"/>
          <w:sz w:val="24"/>
        </w:rPr>
        <w:t>期货市场波动、证券发行人合并、基金规模变动等基金管理人之外的因素致使基金投资比例不符合上述规定投资比例的，基金管理人应当在</w:t>
      </w:r>
      <w:r w:rsidRPr="00777BCD">
        <w:rPr>
          <w:rFonts w:ascii="Calibri" w:hAnsi="Calibri" w:cs="Calibri"/>
          <w:color w:val="000000" w:themeColor="text1"/>
          <w:sz w:val="24"/>
        </w:rPr>
        <w:t>10</w:t>
      </w:r>
      <w:r w:rsidRPr="00777BCD">
        <w:rPr>
          <w:rFonts w:ascii="Calibri" w:hAnsi="Calibri" w:cs="Calibri"/>
          <w:color w:val="000000" w:themeColor="text1"/>
          <w:sz w:val="24"/>
        </w:rPr>
        <w:t>个交易日内进行调整，但中国证监会规定的特殊情形除外。法律法规另有规定的，从其规定。</w:t>
      </w:r>
    </w:p>
    <w:p w14:paraId="38315B72"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基金管理人应当自基金合同生效之日起六个月内使基金的投资组合比例符合基金合同的有关约定。在上述期间内，本基金的投资范围、投资策略应当符合基金合同的约定。基金托管人对基金的投资的监督与检查自本基金合同生效之日起开始。</w:t>
      </w:r>
    </w:p>
    <w:p w14:paraId="5934E2BC" w14:textId="06782FFF" w:rsidR="007149DF" w:rsidRPr="00777BCD" w:rsidRDefault="00284640">
      <w:pPr>
        <w:ind w:firstLine="480"/>
        <w:rPr>
          <w:rFonts w:ascii="Calibri" w:hAnsi="Calibri" w:cs="Calibri"/>
          <w:color w:val="000000" w:themeColor="text1"/>
          <w:sz w:val="24"/>
        </w:rPr>
      </w:pPr>
      <w:r w:rsidRPr="00777BCD">
        <w:rPr>
          <w:rFonts w:ascii="Calibri" w:hAnsi="Calibri" w:cs="Calibri"/>
          <w:color w:val="000000" w:themeColor="text1"/>
          <w:sz w:val="24"/>
        </w:rPr>
        <w:t>法律法规或监管部门取消或变更上述限制，如适用于本基金，基金管理人在履行适当程序后，则本基金投资不再受相关限制或按变更后的规定执行。</w:t>
      </w:r>
    </w:p>
    <w:p w14:paraId="5CD58A6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、禁止行为</w:t>
      </w:r>
    </w:p>
    <w:p w14:paraId="072AE4E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为维护基金份额持有人的合法权益，基金财产不得用于下列投资或者活动：</w:t>
      </w:r>
    </w:p>
    <w:p w14:paraId="139C9C8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w:t>
      </w:r>
      <w:r w:rsidRPr="00777BCD">
        <w:rPr>
          <w:rFonts w:ascii="Calibri" w:hAnsi="Calibri" w:cs="Calibri"/>
          <w:bCs/>
          <w:color w:val="000000" w:themeColor="text1"/>
          <w:sz w:val="24"/>
        </w:rPr>
        <w:t>）承销证券；</w:t>
      </w:r>
    </w:p>
    <w:p w14:paraId="7A2DD7B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2</w:t>
      </w:r>
      <w:r w:rsidRPr="00777BCD">
        <w:rPr>
          <w:rFonts w:ascii="Calibri" w:hAnsi="Calibri" w:cs="Calibri"/>
          <w:bCs/>
          <w:color w:val="000000" w:themeColor="text1"/>
          <w:sz w:val="24"/>
        </w:rPr>
        <w:t>）违反规定向他人贷款或者提供担保；</w:t>
      </w:r>
    </w:p>
    <w:p w14:paraId="4BBA285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3</w:t>
      </w:r>
      <w:r w:rsidRPr="00777BCD">
        <w:rPr>
          <w:rFonts w:ascii="Calibri" w:hAnsi="Calibri" w:cs="Calibri"/>
          <w:bCs/>
          <w:color w:val="000000" w:themeColor="text1"/>
          <w:sz w:val="24"/>
        </w:rPr>
        <w:t>）从事承担无限责任的投资；</w:t>
      </w:r>
    </w:p>
    <w:p w14:paraId="3FAA010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4</w:t>
      </w:r>
      <w:r w:rsidRPr="00777BCD">
        <w:rPr>
          <w:rFonts w:ascii="Calibri" w:hAnsi="Calibri" w:cs="Calibri"/>
          <w:bCs/>
          <w:color w:val="000000" w:themeColor="text1"/>
          <w:sz w:val="24"/>
        </w:rPr>
        <w:t>）买卖其他基金份额，但是中国证监会另有规定的除外；</w:t>
      </w:r>
    </w:p>
    <w:p w14:paraId="77F6FDB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w:t>
      </w:r>
      <w:r w:rsidRPr="00777BCD">
        <w:rPr>
          <w:rFonts w:ascii="Calibri" w:hAnsi="Calibri" w:cs="Calibri"/>
          <w:bCs/>
          <w:color w:val="000000" w:themeColor="text1"/>
          <w:sz w:val="24"/>
        </w:rPr>
        <w:t>5</w:t>
      </w:r>
      <w:r w:rsidRPr="00777BCD">
        <w:rPr>
          <w:rFonts w:ascii="Calibri" w:hAnsi="Calibri" w:cs="Calibri"/>
          <w:bCs/>
          <w:color w:val="000000" w:themeColor="text1"/>
          <w:sz w:val="24"/>
        </w:rPr>
        <w:t>）向其基金管理人、基金托管人出资；</w:t>
      </w:r>
    </w:p>
    <w:p w14:paraId="5970B6A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6</w:t>
      </w:r>
      <w:r w:rsidRPr="00777BCD">
        <w:rPr>
          <w:rFonts w:ascii="Calibri" w:hAnsi="Calibri" w:cs="Calibri"/>
          <w:bCs/>
          <w:color w:val="000000" w:themeColor="text1"/>
          <w:sz w:val="24"/>
        </w:rPr>
        <w:t>）从事内幕交易、操纵证券交易价格及其他不正当的证券交易活动；</w:t>
      </w:r>
    </w:p>
    <w:p w14:paraId="541B84F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7</w:t>
      </w:r>
      <w:r w:rsidRPr="00777BCD">
        <w:rPr>
          <w:rFonts w:ascii="Calibri" w:hAnsi="Calibri" w:cs="Calibri"/>
          <w:bCs/>
          <w:color w:val="000000" w:themeColor="text1"/>
          <w:sz w:val="24"/>
        </w:rPr>
        <w:t>）法律、行政法规和中国证监会规定禁止的其他活动。</w:t>
      </w:r>
    </w:p>
    <w:p w14:paraId="3EC924A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4590704A" w14:textId="77777777" w:rsidR="007149DF" w:rsidRPr="00777BCD" w:rsidRDefault="00284640">
      <w:pPr>
        <w:ind w:left="1" w:firstLine="540"/>
        <w:contextualSpacing/>
        <w:rPr>
          <w:rFonts w:ascii="Calibri" w:hAnsi="Calibri" w:cs="Calibri"/>
          <w:bCs/>
          <w:color w:val="000000" w:themeColor="text1"/>
          <w:sz w:val="24"/>
          <w:szCs w:val="24"/>
        </w:rPr>
      </w:pPr>
      <w:r w:rsidRPr="00777BCD">
        <w:rPr>
          <w:rFonts w:ascii="Calibri" w:hAnsi="Calibri" w:cs="Calibri"/>
          <w:color w:val="000000" w:themeColor="text1"/>
          <w:sz w:val="24"/>
        </w:rPr>
        <w:t>法律法规或监管部门取消或变更上述限制，如适用于本基金，基金管理人在履行适当程序后，则本基金投资不再受相关限制或按</w:t>
      </w:r>
      <w:r w:rsidRPr="00777BCD">
        <w:rPr>
          <w:rFonts w:ascii="Calibri" w:hAnsi="Calibri" w:cs="Calibri"/>
          <w:bCs/>
          <w:color w:val="000000" w:themeColor="text1"/>
          <w:sz w:val="24"/>
          <w:szCs w:val="24"/>
        </w:rPr>
        <w:t>变更后的规定执行。</w:t>
      </w:r>
    </w:p>
    <w:bookmarkEnd w:id="309"/>
    <w:p w14:paraId="51309B40" w14:textId="77777777" w:rsidR="007149DF" w:rsidRPr="00777BCD" w:rsidRDefault="007149DF">
      <w:pPr>
        <w:ind w:left="1" w:firstLine="540"/>
        <w:contextualSpacing/>
        <w:rPr>
          <w:rFonts w:ascii="Calibri" w:hAnsi="Calibri" w:cs="Calibri"/>
          <w:bCs/>
          <w:color w:val="000000" w:themeColor="text1"/>
          <w:sz w:val="24"/>
        </w:rPr>
      </w:pPr>
    </w:p>
    <w:p w14:paraId="50C0D45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五、业绩比较基准</w:t>
      </w:r>
    </w:p>
    <w:p w14:paraId="1D69086A" w14:textId="63C508F3"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本基金的业绩比较基准为：</w:t>
      </w:r>
      <w:bookmarkStart w:id="311" w:name="_Hlk161151257"/>
      <w:bookmarkStart w:id="312" w:name="_Hlk146023606"/>
      <w:r w:rsidRPr="00777BCD">
        <w:rPr>
          <w:rFonts w:ascii="Calibri" w:hAnsi="Calibri" w:cs="Calibri"/>
          <w:bCs/>
          <w:color w:val="000000" w:themeColor="text1"/>
          <w:sz w:val="24"/>
        </w:rPr>
        <w:t>沪深</w:t>
      </w:r>
      <w:r w:rsidRPr="00777BCD">
        <w:rPr>
          <w:rFonts w:ascii="Calibri" w:hAnsi="Calibri" w:cs="Calibri"/>
          <w:bCs/>
          <w:color w:val="000000" w:themeColor="text1"/>
          <w:sz w:val="24"/>
        </w:rPr>
        <w:t>300ESG</w:t>
      </w:r>
      <w:r w:rsidRPr="00777BCD">
        <w:rPr>
          <w:rFonts w:ascii="Calibri" w:hAnsi="Calibri" w:cs="Calibri"/>
          <w:bCs/>
          <w:color w:val="000000" w:themeColor="text1"/>
          <w:sz w:val="24"/>
        </w:rPr>
        <w:t>基准指数收益率</w:t>
      </w:r>
      <w:r w:rsidRPr="00777BCD">
        <w:rPr>
          <w:rFonts w:ascii="Calibri" w:hAnsi="Calibri" w:cs="Calibri"/>
          <w:bCs/>
          <w:color w:val="000000" w:themeColor="text1"/>
          <w:sz w:val="24"/>
        </w:rPr>
        <w:t>×65%+</w:t>
      </w:r>
      <w:r w:rsidRPr="00777BCD">
        <w:rPr>
          <w:rFonts w:ascii="Calibri" w:hAnsi="Calibri" w:cs="Calibri"/>
          <w:bCs/>
          <w:color w:val="000000" w:themeColor="text1"/>
          <w:sz w:val="24"/>
        </w:rPr>
        <w:t>中证港股</w:t>
      </w:r>
      <w:proofErr w:type="gramStart"/>
      <w:r w:rsidRPr="00777BCD">
        <w:rPr>
          <w:rFonts w:ascii="Calibri" w:hAnsi="Calibri" w:cs="Calibri"/>
          <w:bCs/>
          <w:color w:val="000000" w:themeColor="text1"/>
          <w:sz w:val="24"/>
        </w:rPr>
        <w:t>通综合</w:t>
      </w:r>
      <w:proofErr w:type="gramEnd"/>
      <w:r w:rsidRPr="00777BCD">
        <w:rPr>
          <w:rFonts w:ascii="Calibri" w:hAnsi="Calibri" w:cs="Calibri"/>
          <w:bCs/>
          <w:color w:val="000000" w:themeColor="text1"/>
          <w:sz w:val="24"/>
        </w:rPr>
        <w:t>指数收益率</w:t>
      </w:r>
      <w:r w:rsidRPr="00777BCD">
        <w:rPr>
          <w:rFonts w:ascii="Calibri" w:hAnsi="Calibri" w:cs="Calibri"/>
          <w:bCs/>
          <w:color w:val="000000" w:themeColor="text1"/>
          <w:sz w:val="24"/>
        </w:rPr>
        <w:t>×10%+</w:t>
      </w:r>
      <w:proofErr w:type="gramStart"/>
      <w:r w:rsidRPr="00777BCD">
        <w:rPr>
          <w:rFonts w:ascii="Calibri" w:hAnsi="Calibri" w:cs="Calibri"/>
          <w:bCs/>
          <w:color w:val="000000" w:themeColor="text1"/>
          <w:sz w:val="24"/>
        </w:rPr>
        <w:t>中债新综合</w:t>
      </w:r>
      <w:proofErr w:type="gramEnd"/>
      <w:r w:rsidRPr="00777BCD">
        <w:rPr>
          <w:rFonts w:ascii="Calibri" w:hAnsi="Calibri" w:cs="Calibri"/>
          <w:bCs/>
          <w:color w:val="000000" w:themeColor="text1"/>
          <w:sz w:val="24"/>
        </w:rPr>
        <w:t>指数（全价）收益率</w:t>
      </w:r>
      <w:r w:rsidRPr="00777BCD">
        <w:rPr>
          <w:rFonts w:ascii="Calibri" w:hAnsi="Calibri" w:cs="Calibri"/>
          <w:bCs/>
          <w:color w:val="000000" w:themeColor="text1"/>
          <w:sz w:val="24"/>
        </w:rPr>
        <w:t>×25%</w:t>
      </w:r>
      <w:bookmarkEnd w:id="311"/>
    </w:p>
    <w:p w14:paraId="61748ACB" w14:textId="77777777" w:rsidR="007149DF" w:rsidRPr="00777BCD" w:rsidRDefault="00284640">
      <w:pPr>
        <w:ind w:firstLine="480"/>
        <w:jc w:val="left"/>
        <w:rPr>
          <w:rFonts w:ascii="Calibri" w:hAnsi="Calibri" w:cs="Calibri"/>
          <w:bCs/>
          <w:color w:val="000000" w:themeColor="text1"/>
          <w:sz w:val="24"/>
        </w:rPr>
      </w:pPr>
      <w:bookmarkStart w:id="313" w:name="_Hlk146051629"/>
      <w:bookmarkStart w:id="314" w:name="_Hlk161151270"/>
      <w:r w:rsidRPr="00777BCD">
        <w:rPr>
          <w:rFonts w:ascii="Calibri" w:hAnsi="Calibri" w:cs="Calibri"/>
          <w:bCs/>
          <w:color w:val="000000" w:themeColor="text1"/>
          <w:sz w:val="24"/>
        </w:rPr>
        <w:t>沪深</w:t>
      </w:r>
      <w:r w:rsidRPr="00777BCD">
        <w:rPr>
          <w:rFonts w:ascii="Calibri" w:hAnsi="Calibri" w:cs="Calibri"/>
          <w:bCs/>
          <w:color w:val="000000" w:themeColor="text1"/>
          <w:sz w:val="24"/>
        </w:rPr>
        <w:t>300ESG</w:t>
      </w:r>
      <w:r w:rsidRPr="00777BCD">
        <w:rPr>
          <w:rFonts w:ascii="Calibri" w:hAnsi="Calibri" w:cs="Calibri"/>
          <w:bCs/>
          <w:color w:val="000000" w:themeColor="text1"/>
          <w:sz w:val="24"/>
        </w:rPr>
        <w:t>基准指数从沪深</w:t>
      </w:r>
      <w:r w:rsidRPr="00777BCD">
        <w:rPr>
          <w:rFonts w:ascii="Calibri" w:hAnsi="Calibri" w:cs="Calibri"/>
          <w:bCs/>
          <w:color w:val="000000" w:themeColor="text1"/>
          <w:sz w:val="24"/>
        </w:rPr>
        <w:t>300</w:t>
      </w:r>
      <w:r w:rsidRPr="00777BCD">
        <w:rPr>
          <w:rFonts w:ascii="Calibri" w:hAnsi="Calibri" w:cs="Calibri"/>
          <w:bCs/>
          <w:color w:val="000000" w:themeColor="text1"/>
          <w:sz w:val="24"/>
        </w:rPr>
        <w:t>样本中剔除中证</w:t>
      </w:r>
      <w:proofErr w:type="gramStart"/>
      <w:r w:rsidRPr="00777BCD">
        <w:rPr>
          <w:rFonts w:ascii="Calibri" w:hAnsi="Calibri" w:cs="Calibri"/>
          <w:bCs/>
          <w:color w:val="000000" w:themeColor="text1"/>
          <w:sz w:val="24"/>
        </w:rPr>
        <w:t>一级行业</w:t>
      </w:r>
      <w:proofErr w:type="gramEnd"/>
      <w:r w:rsidRPr="00777BCD">
        <w:rPr>
          <w:rFonts w:ascii="Calibri" w:hAnsi="Calibri" w:cs="Calibri"/>
          <w:bCs/>
          <w:color w:val="000000" w:themeColor="text1"/>
          <w:sz w:val="24"/>
        </w:rPr>
        <w:t>内</w:t>
      </w:r>
      <w:r w:rsidRPr="00777BCD">
        <w:rPr>
          <w:rFonts w:ascii="Calibri" w:hAnsi="Calibri" w:cs="Calibri"/>
          <w:bCs/>
          <w:color w:val="000000" w:themeColor="text1"/>
          <w:sz w:val="24"/>
        </w:rPr>
        <w:t>ESG</w:t>
      </w:r>
      <w:r w:rsidRPr="00777BCD">
        <w:rPr>
          <w:rFonts w:ascii="Calibri" w:hAnsi="Calibri" w:cs="Calibri"/>
          <w:bCs/>
          <w:color w:val="000000" w:themeColor="text1"/>
          <w:sz w:val="24"/>
        </w:rPr>
        <w:t>分数最低的</w:t>
      </w:r>
      <w:r w:rsidRPr="00777BCD">
        <w:rPr>
          <w:rFonts w:ascii="Calibri" w:hAnsi="Calibri" w:cs="Calibri"/>
          <w:bCs/>
          <w:color w:val="000000" w:themeColor="text1"/>
          <w:sz w:val="24"/>
        </w:rPr>
        <w:t>20%</w:t>
      </w:r>
      <w:r w:rsidRPr="00777BCD">
        <w:rPr>
          <w:rFonts w:ascii="Calibri" w:hAnsi="Calibri" w:cs="Calibri"/>
          <w:bCs/>
          <w:color w:val="000000" w:themeColor="text1"/>
          <w:sz w:val="24"/>
        </w:rPr>
        <w:t>的上市公司证券，选取剩余证券作为指数样本，为</w:t>
      </w:r>
      <w:r w:rsidRPr="00777BCD">
        <w:rPr>
          <w:rFonts w:ascii="Calibri" w:hAnsi="Calibri" w:cs="Calibri"/>
          <w:bCs/>
          <w:color w:val="000000" w:themeColor="text1"/>
          <w:sz w:val="24"/>
        </w:rPr>
        <w:t>ESG</w:t>
      </w:r>
      <w:r w:rsidRPr="00777BCD">
        <w:rPr>
          <w:rFonts w:ascii="Calibri" w:hAnsi="Calibri" w:cs="Calibri"/>
          <w:bCs/>
          <w:color w:val="000000" w:themeColor="text1"/>
          <w:sz w:val="24"/>
        </w:rPr>
        <w:t>投资提供业绩比较基准和投资标的，适合作为本基金股票投资的业绩比较基准。</w:t>
      </w:r>
    </w:p>
    <w:p w14:paraId="4EFD881A"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中证港股</w:t>
      </w:r>
      <w:proofErr w:type="gramStart"/>
      <w:r w:rsidRPr="00777BCD">
        <w:rPr>
          <w:rFonts w:ascii="Calibri" w:hAnsi="Calibri" w:cs="Calibri"/>
          <w:bCs/>
          <w:color w:val="000000" w:themeColor="text1"/>
          <w:sz w:val="24"/>
        </w:rPr>
        <w:t>通综合</w:t>
      </w:r>
      <w:proofErr w:type="gramEnd"/>
      <w:r w:rsidRPr="00777BCD">
        <w:rPr>
          <w:rFonts w:ascii="Calibri" w:hAnsi="Calibri" w:cs="Calibri"/>
          <w:bCs/>
          <w:color w:val="000000" w:themeColor="text1"/>
          <w:sz w:val="24"/>
        </w:rPr>
        <w:t>指数由中证指数有限公司编制，反映了港股</w:t>
      </w:r>
      <w:proofErr w:type="gramStart"/>
      <w:r w:rsidRPr="00777BCD">
        <w:rPr>
          <w:rFonts w:ascii="Calibri" w:hAnsi="Calibri" w:cs="Calibri"/>
          <w:bCs/>
          <w:color w:val="000000" w:themeColor="text1"/>
          <w:sz w:val="24"/>
        </w:rPr>
        <w:t>通范围</w:t>
      </w:r>
      <w:proofErr w:type="gramEnd"/>
      <w:r w:rsidRPr="00777BCD">
        <w:rPr>
          <w:rFonts w:ascii="Calibri" w:hAnsi="Calibri" w:cs="Calibri"/>
          <w:bCs/>
          <w:color w:val="000000" w:themeColor="text1"/>
          <w:sz w:val="24"/>
        </w:rPr>
        <w:t>内上市公司的整体状况和走势，具有良好的市场代表性，适合作为本基金港股投资部分的业绩比较基准。</w:t>
      </w:r>
    </w:p>
    <w:p w14:paraId="1A8E2433" w14:textId="7D8D1D5E" w:rsidR="007149DF" w:rsidRPr="00777BCD" w:rsidRDefault="00284640">
      <w:pPr>
        <w:ind w:firstLine="480"/>
        <w:jc w:val="left"/>
        <w:rPr>
          <w:rFonts w:ascii="Calibri" w:hAnsi="Calibri" w:cs="Calibri"/>
          <w:bCs/>
          <w:color w:val="000000" w:themeColor="text1"/>
          <w:sz w:val="24"/>
        </w:rPr>
      </w:pPr>
      <w:proofErr w:type="gramStart"/>
      <w:r w:rsidRPr="00777BCD">
        <w:rPr>
          <w:rFonts w:ascii="Calibri" w:hAnsi="Calibri" w:cs="Calibri"/>
          <w:bCs/>
          <w:color w:val="000000" w:themeColor="text1"/>
          <w:sz w:val="24"/>
        </w:rPr>
        <w:t>中债新综合</w:t>
      </w:r>
      <w:proofErr w:type="gramEnd"/>
      <w:r w:rsidRPr="00777BCD">
        <w:rPr>
          <w:rFonts w:ascii="Calibri" w:hAnsi="Calibri" w:cs="Calibri"/>
          <w:bCs/>
          <w:color w:val="000000" w:themeColor="text1"/>
          <w:sz w:val="24"/>
        </w:rPr>
        <w:t>指数（全价）由中央国债登记结算有限责任公司编制，隶属于</w:t>
      </w:r>
      <w:proofErr w:type="gramStart"/>
      <w:r w:rsidRPr="00777BCD">
        <w:rPr>
          <w:rFonts w:ascii="Calibri" w:hAnsi="Calibri" w:cs="Calibri"/>
          <w:bCs/>
          <w:color w:val="000000" w:themeColor="text1"/>
          <w:sz w:val="24"/>
        </w:rPr>
        <w:t>中债总指数</w:t>
      </w:r>
      <w:proofErr w:type="gramEnd"/>
      <w:r w:rsidRPr="00777BCD">
        <w:rPr>
          <w:rFonts w:ascii="Calibri" w:hAnsi="Calibri" w:cs="Calibri"/>
          <w:bCs/>
          <w:color w:val="000000" w:themeColor="text1"/>
          <w:sz w:val="24"/>
        </w:rPr>
        <w:t>族分类，该指数成分</w:t>
      </w:r>
      <w:proofErr w:type="gramStart"/>
      <w:r w:rsidRPr="00777BCD">
        <w:rPr>
          <w:rFonts w:ascii="Calibri" w:hAnsi="Calibri" w:cs="Calibri"/>
          <w:bCs/>
          <w:color w:val="000000" w:themeColor="text1"/>
          <w:sz w:val="24"/>
        </w:rPr>
        <w:t>券</w:t>
      </w:r>
      <w:proofErr w:type="gramEnd"/>
      <w:r w:rsidRPr="00777BCD">
        <w:rPr>
          <w:rFonts w:ascii="Calibri" w:hAnsi="Calibri" w:cs="Calibri"/>
          <w:bCs/>
          <w:color w:val="000000" w:themeColor="text1"/>
          <w:sz w:val="24"/>
        </w:rPr>
        <w:t>包含除资产支持证券、美元债券、可转债以外剩余的所有公开发行的可流通债券，是一个反映境内人民币债券市场价格走势情况</w:t>
      </w:r>
      <w:proofErr w:type="gramStart"/>
      <w:r w:rsidRPr="00777BCD">
        <w:rPr>
          <w:rFonts w:ascii="Calibri" w:hAnsi="Calibri" w:cs="Calibri"/>
          <w:bCs/>
          <w:color w:val="000000" w:themeColor="text1"/>
          <w:sz w:val="24"/>
        </w:rPr>
        <w:t>的宽基指数</w:t>
      </w:r>
      <w:proofErr w:type="gramEnd"/>
      <w:r w:rsidRPr="00777BCD">
        <w:rPr>
          <w:rFonts w:ascii="Calibri" w:hAnsi="Calibri" w:cs="Calibri"/>
          <w:bCs/>
          <w:color w:val="000000" w:themeColor="text1"/>
          <w:sz w:val="24"/>
        </w:rPr>
        <w:t>，是中</w:t>
      </w:r>
      <w:proofErr w:type="gramStart"/>
      <w:r w:rsidRPr="00777BCD">
        <w:rPr>
          <w:rFonts w:ascii="Calibri" w:hAnsi="Calibri" w:cs="Calibri"/>
          <w:bCs/>
          <w:color w:val="000000" w:themeColor="text1"/>
          <w:sz w:val="24"/>
        </w:rPr>
        <w:t>债指数</w:t>
      </w:r>
      <w:proofErr w:type="gramEnd"/>
      <w:r w:rsidRPr="00777BCD">
        <w:rPr>
          <w:rFonts w:ascii="Calibri" w:hAnsi="Calibri" w:cs="Calibri"/>
          <w:bCs/>
          <w:color w:val="000000" w:themeColor="text1"/>
          <w:sz w:val="24"/>
        </w:rPr>
        <w:t>应用最广泛指数之一，适合作为本基金债券投资的业绩比较基准</w:t>
      </w:r>
      <w:bookmarkEnd w:id="312"/>
      <w:bookmarkEnd w:id="313"/>
      <w:r w:rsidRPr="00777BCD">
        <w:rPr>
          <w:rFonts w:ascii="Calibri" w:hAnsi="Calibri" w:cs="Calibri"/>
          <w:bCs/>
          <w:color w:val="000000" w:themeColor="text1"/>
          <w:sz w:val="24"/>
        </w:rPr>
        <w:t>。</w:t>
      </w:r>
    </w:p>
    <w:bookmarkEnd w:id="314"/>
    <w:p w14:paraId="5A0F699B"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lastRenderedPageBreak/>
        <w:t>根据本基金的投资范围和投资比例约定，上述业绩比较基准与本基金的投资风格基本一致，可以比较客观地反映本基金的风险收益特征。</w:t>
      </w:r>
    </w:p>
    <w:p w14:paraId="1C53382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若今后上述基准指数停止计算编制或更改名称，或者未来法律法规发生变化，或者有更权威的、更能为市场普遍接受的业绩比较基准推出，或者市场发生变化导致</w:t>
      </w:r>
      <w:proofErr w:type="gramStart"/>
      <w:r w:rsidRPr="00777BCD">
        <w:rPr>
          <w:rFonts w:ascii="Calibri" w:hAnsi="Calibri" w:cs="Calibri"/>
          <w:bCs/>
          <w:color w:val="000000" w:themeColor="text1"/>
          <w:sz w:val="24"/>
        </w:rPr>
        <w:t>本业绩</w:t>
      </w:r>
      <w:proofErr w:type="gramEnd"/>
      <w:r w:rsidRPr="00777BCD">
        <w:rPr>
          <w:rFonts w:ascii="Calibri" w:hAnsi="Calibri" w:cs="Calibri"/>
          <w:bCs/>
          <w:color w:val="000000" w:themeColor="text1"/>
          <w:sz w:val="24"/>
        </w:rPr>
        <w:t>比较基准不再适用或</w:t>
      </w:r>
      <w:proofErr w:type="gramStart"/>
      <w:r w:rsidRPr="00777BCD">
        <w:rPr>
          <w:rFonts w:ascii="Calibri" w:hAnsi="Calibri" w:cs="Calibri"/>
          <w:bCs/>
          <w:color w:val="000000" w:themeColor="text1"/>
          <w:sz w:val="24"/>
        </w:rPr>
        <w:t>本业绩</w:t>
      </w:r>
      <w:proofErr w:type="gramEnd"/>
      <w:r w:rsidRPr="00777BCD">
        <w:rPr>
          <w:rFonts w:ascii="Calibri" w:hAnsi="Calibri" w:cs="Calibri"/>
          <w:bCs/>
          <w:color w:val="000000" w:themeColor="text1"/>
          <w:sz w:val="24"/>
        </w:rPr>
        <w:t>比较基准停止发布，本基金管理人可以依据维护投资者合法权益的原则，在与基金托管人协商一致履行适当程序后调整业绩比较基准并及时公告，无需召开基金份额持有人大会。</w:t>
      </w:r>
    </w:p>
    <w:p w14:paraId="3F9EDA28" w14:textId="77777777" w:rsidR="007149DF" w:rsidRPr="00777BCD" w:rsidRDefault="007149DF">
      <w:pPr>
        <w:ind w:firstLine="480"/>
        <w:rPr>
          <w:rFonts w:ascii="Calibri" w:hAnsi="Calibri" w:cs="Calibri"/>
          <w:bCs/>
          <w:color w:val="000000" w:themeColor="text1"/>
          <w:sz w:val="24"/>
        </w:rPr>
      </w:pPr>
    </w:p>
    <w:p w14:paraId="4C24192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六、风险收益特征</w:t>
      </w:r>
    </w:p>
    <w:p w14:paraId="1FE4F6B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本基金为混合型基金，其风险收益水平高于货币市场基金、债券型基金，低于股票型基金。</w:t>
      </w:r>
    </w:p>
    <w:p w14:paraId="2DD950E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本基金可投资港股通标的股票，若投资，除需要承担与内地证券投资基金类似市场波动风险外，本基金还可能面临港股</w:t>
      </w:r>
      <w:proofErr w:type="gramStart"/>
      <w:r w:rsidRPr="00777BCD">
        <w:rPr>
          <w:rFonts w:ascii="Calibri" w:hAnsi="Calibri" w:cs="Calibri"/>
          <w:bCs/>
          <w:color w:val="000000" w:themeColor="text1"/>
          <w:sz w:val="24"/>
        </w:rPr>
        <w:t>通机制</w:t>
      </w:r>
      <w:proofErr w:type="gramEnd"/>
      <w:r w:rsidRPr="00777BCD">
        <w:rPr>
          <w:rFonts w:ascii="Calibri" w:hAnsi="Calibri" w:cs="Calibri"/>
          <w:bCs/>
          <w:color w:val="000000" w:themeColor="text1"/>
          <w:sz w:val="24"/>
        </w:rPr>
        <w:t>下的诸如环境、市场波动风险、投资标的、市场制度以及交易规则等差异因素带来的特有风险。</w:t>
      </w:r>
    </w:p>
    <w:p w14:paraId="05025F68" w14:textId="77777777" w:rsidR="007149DF" w:rsidRPr="00777BCD" w:rsidRDefault="007149DF">
      <w:pPr>
        <w:pStyle w:val="a9"/>
        <w:rPr>
          <w:rFonts w:ascii="Calibri" w:hAnsi="Calibri" w:cs="Calibri"/>
        </w:rPr>
      </w:pPr>
    </w:p>
    <w:p w14:paraId="4712BAF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七、基金管理人代表基金行使股东或债权人权利的处理原则及方法</w:t>
      </w:r>
    </w:p>
    <w:p w14:paraId="349ACF86"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、基金管理人按照国家有关规定代表基金独立行使股东或债权人权利，保护基金份额持有人的利益；</w:t>
      </w:r>
    </w:p>
    <w:p w14:paraId="321819F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、不谋求对上市公司的控股，不参与所投资上市公司的经营管理；</w:t>
      </w:r>
      <w:r w:rsidRPr="00777BCD">
        <w:rPr>
          <w:rFonts w:ascii="Calibri" w:hAnsi="Calibri" w:cs="Calibri"/>
          <w:bCs/>
          <w:color w:val="000000" w:themeColor="text1"/>
          <w:sz w:val="24"/>
        </w:rPr>
        <w:t xml:space="preserve"> </w:t>
      </w:r>
    </w:p>
    <w:p w14:paraId="61A86A0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、有利于基金财产的安全与增值；</w:t>
      </w:r>
    </w:p>
    <w:p w14:paraId="14F9485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、不通过关联交易为自身、雇员、授权代理人或任何存在利害关系的第三人牟取任何不当利益。</w:t>
      </w:r>
    </w:p>
    <w:p w14:paraId="3A5926B8" w14:textId="77777777" w:rsidR="007149DF" w:rsidRPr="00777BCD" w:rsidRDefault="007149DF">
      <w:pPr>
        <w:ind w:firstLine="480"/>
        <w:rPr>
          <w:rFonts w:ascii="Calibri" w:hAnsi="Calibri" w:cs="Calibri"/>
          <w:bCs/>
          <w:color w:val="000000" w:themeColor="text1"/>
          <w:sz w:val="24"/>
        </w:rPr>
      </w:pPr>
    </w:p>
    <w:p w14:paraId="092F370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八、</w:t>
      </w:r>
      <w:proofErr w:type="gramStart"/>
      <w:r w:rsidRPr="00777BCD">
        <w:rPr>
          <w:rFonts w:ascii="Calibri" w:hAnsi="Calibri" w:cs="Calibri"/>
          <w:bCs/>
          <w:color w:val="000000" w:themeColor="text1"/>
          <w:sz w:val="24"/>
        </w:rPr>
        <w:t>侧袋机制</w:t>
      </w:r>
      <w:proofErr w:type="gramEnd"/>
      <w:r w:rsidRPr="00777BCD">
        <w:rPr>
          <w:rFonts w:ascii="Calibri" w:hAnsi="Calibri" w:cs="Calibri"/>
          <w:bCs/>
          <w:color w:val="000000" w:themeColor="text1"/>
          <w:sz w:val="24"/>
        </w:rPr>
        <w:t>的实施和投资运作安排</w:t>
      </w:r>
    </w:p>
    <w:p w14:paraId="735E439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当基金持有特定资产且存在或潜在大额赎回申请时，根据最大限度保护基金份额持有人利益的原则，基金管理人经与基金托管人协商一致，并咨询会计师事务所意见后，可以依照法律法规及基金合同的约定</w:t>
      </w:r>
      <w:proofErr w:type="gramStart"/>
      <w:r w:rsidRPr="00777BCD">
        <w:rPr>
          <w:rFonts w:ascii="Calibri" w:hAnsi="Calibri" w:cs="Calibri"/>
          <w:bCs/>
          <w:color w:val="000000" w:themeColor="text1"/>
          <w:sz w:val="24"/>
        </w:rPr>
        <w:t>启用侧袋机制</w:t>
      </w:r>
      <w:proofErr w:type="gramEnd"/>
      <w:r w:rsidRPr="00777BCD">
        <w:rPr>
          <w:rFonts w:ascii="Calibri" w:hAnsi="Calibri" w:cs="Calibri"/>
          <w:bCs/>
          <w:color w:val="000000" w:themeColor="text1"/>
          <w:sz w:val="24"/>
        </w:rPr>
        <w:t>，无需召开基金份额持有人大会审议。</w:t>
      </w:r>
    </w:p>
    <w:p w14:paraId="02538EA3" w14:textId="77777777" w:rsidR="007149DF" w:rsidRPr="00777BCD" w:rsidRDefault="00284640">
      <w:pPr>
        <w:ind w:firstLine="480"/>
        <w:rPr>
          <w:rFonts w:ascii="Calibri" w:hAnsi="Calibri" w:cs="Calibri"/>
          <w:bCs/>
          <w:color w:val="000000" w:themeColor="text1"/>
          <w:sz w:val="24"/>
        </w:rPr>
      </w:pPr>
      <w:proofErr w:type="gramStart"/>
      <w:r w:rsidRPr="00777BCD">
        <w:rPr>
          <w:rFonts w:ascii="Calibri" w:hAnsi="Calibri" w:cs="Calibri"/>
          <w:bCs/>
          <w:color w:val="000000" w:themeColor="text1"/>
          <w:sz w:val="24"/>
        </w:rPr>
        <w:lastRenderedPageBreak/>
        <w:t>侧袋机制</w:t>
      </w:r>
      <w:proofErr w:type="gramEnd"/>
      <w:r w:rsidRPr="00777BCD">
        <w:rPr>
          <w:rFonts w:ascii="Calibri" w:hAnsi="Calibri" w:cs="Calibri"/>
          <w:bCs/>
          <w:color w:val="000000" w:themeColor="text1"/>
          <w:sz w:val="24"/>
        </w:rPr>
        <w:t>实施期间，本部分约定的投资组合比例、投资策略、组合限制、业绩比较基准、风险收益特征等约定仅</w:t>
      </w:r>
      <w:proofErr w:type="gramStart"/>
      <w:r w:rsidRPr="00777BCD">
        <w:rPr>
          <w:rFonts w:ascii="Calibri" w:hAnsi="Calibri" w:cs="Calibri"/>
          <w:bCs/>
          <w:color w:val="000000" w:themeColor="text1"/>
          <w:sz w:val="24"/>
        </w:rPr>
        <w:t>适用于主袋账户</w:t>
      </w:r>
      <w:proofErr w:type="gramEnd"/>
      <w:r w:rsidRPr="00777BCD">
        <w:rPr>
          <w:rFonts w:ascii="Calibri" w:hAnsi="Calibri" w:cs="Calibri"/>
          <w:bCs/>
          <w:color w:val="000000" w:themeColor="text1"/>
          <w:sz w:val="24"/>
        </w:rPr>
        <w:t>。</w:t>
      </w:r>
    </w:p>
    <w:p w14:paraId="5A93BF15" w14:textId="77777777" w:rsidR="007149DF" w:rsidRPr="00777BCD" w:rsidRDefault="00284640">
      <w:pPr>
        <w:ind w:firstLine="480"/>
        <w:rPr>
          <w:rFonts w:ascii="Calibri" w:hAnsi="Calibri" w:cs="Calibri"/>
          <w:bCs/>
          <w:color w:val="000000" w:themeColor="text1"/>
          <w:sz w:val="24"/>
        </w:rPr>
      </w:pPr>
      <w:proofErr w:type="gramStart"/>
      <w:r w:rsidRPr="00777BCD">
        <w:rPr>
          <w:rFonts w:ascii="Calibri" w:hAnsi="Calibri" w:cs="Calibri"/>
          <w:bCs/>
          <w:color w:val="000000" w:themeColor="text1"/>
          <w:sz w:val="24"/>
        </w:rPr>
        <w:t>侧袋账户</w:t>
      </w:r>
      <w:proofErr w:type="gramEnd"/>
      <w:r w:rsidRPr="00777BCD">
        <w:rPr>
          <w:rFonts w:ascii="Calibri" w:hAnsi="Calibri" w:cs="Calibri"/>
          <w:bCs/>
          <w:color w:val="000000" w:themeColor="text1"/>
          <w:sz w:val="24"/>
        </w:rPr>
        <w:t>的实施条件、实施程序、运作安排、投资安排、特定资产的处置变现和支付等对投资者权益有重大影响的事项详见招募说明书的规定。</w:t>
      </w:r>
    </w:p>
    <w:p w14:paraId="7116677D" w14:textId="77777777" w:rsidR="007149DF" w:rsidRPr="00777BCD" w:rsidRDefault="00284640">
      <w:pPr>
        <w:pStyle w:val="11"/>
        <w:spacing w:before="0" w:after="0"/>
        <w:ind w:firstLine="420"/>
        <w:jc w:val="center"/>
        <w:rPr>
          <w:rFonts w:ascii="Calibri" w:hAnsi="Calibri" w:cs="Calibri"/>
          <w:color w:val="000000" w:themeColor="text1"/>
          <w:sz w:val="30"/>
        </w:rPr>
      </w:pPr>
      <w:r w:rsidRPr="00777BCD">
        <w:rPr>
          <w:rFonts w:ascii="Calibri" w:hAnsi="Calibri" w:cs="Calibri"/>
          <w:b w:val="0"/>
          <w:bCs/>
          <w:color w:val="000000" w:themeColor="text1"/>
          <w:sz w:val="21"/>
        </w:rPr>
        <w:br w:type="page"/>
      </w:r>
      <w:bookmarkStart w:id="315" w:name="_Toc92662704"/>
      <w:bookmarkStart w:id="316" w:name="_Toc93226145"/>
      <w:bookmarkStart w:id="317" w:name="_Toc31611"/>
      <w:bookmarkStart w:id="318" w:name="_Toc141703893"/>
      <w:bookmarkStart w:id="319" w:name="_Toc24474"/>
      <w:bookmarkStart w:id="320" w:name="_Toc26114"/>
      <w:bookmarkStart w:id="321" w:name="_Toc128310496"/>
      <w:bookmarkStart w:id="322" w:name="_Toc6820032"/>
      <w:bookmarkStart w:id="323" w:name="_Toc29561"/>
      <w:bookmarkStart w:id="324" w:name="_Toc139991743"/>
      <w:bookmarkStart w:id="325" w:name="_Toc18000"/>
      <w:bookmarkStart w:id="326" w:name="_Toc32030"/>
      <w:bookmarkStart w:id="327" w:name="_Toc20102"/>
      <w:bookmarkStart w:id="328" w:name="_Toc21642"/>
      <w:bookmarkStart w:id="329" w:name="_Toc3054"/>
      <w:bookmarkStart w:id="330" w:name="_Toc20782"/>
      <w:bookmarkStart w:id="331" w:name="_Toc160725911"/>
      <w:bookmarkEnd w:id="305"/>
      <w:r w:rsidRPr="00777BCD">
        <w:rPr>
          <w:rFonts w:ascii="Calibri" w:hAnsi="Calibri" w:cs="Calibri"/>
          <w:color w:val="000000" w:themeColor="text1"/>
          <w:sz w:val="30"/>
        </w:rPr>
        <w:lastRenderedPageBreak/>
        <w:t>第十三部分</w:t>
      </w:r>
      <w:r w:rsidRPr="00777BCD">
        <w:rPr>
          <w:rFonts w:ascii="Calibri" w:hAnsi="Calibri" w:cs="Calibri"/>
          <w:color w:val="000000" w:themeColor="text1"/>
          <w:sz w:val="30"/>
        </w:rPr>
        <w:t xml:space="preserve">  </w:t>
      </w:r>
      <w:r w:rsidRPr="00777BCD">
        <w:rPr>
          <w:rFonts w:ascii="Calibri" w:hAnsi="Calibri" w:cs="Calibri"/>
          <w:color w:val="000000" w:themeColor="text1"/>
          <w:sz w:val="30"/>
        </w:rPr>
        <w:t>基金</w:t>
      </w:r>
      <w:bookmarkEnd w:id="315"/>
      <w:bookmarkEnd w:id="316"/>
      <w:r w:rsidRPr="00777BCD">
        <w:rPr>
          <w:rFonts w:ascii="Calibri" w:hAnsi="Calibri" w:cs="Calibri"/>
          <w:color w:val="000000" w:themeColor="text1"/>
          <w:sz w:val="30"/>
        </w:rPr>
        <w:t>的财产</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38D159C" w14:textId="77777777" w:rsidR="007149DF" w:rsidRPr="00777BCD" w:rsidRDefault="007149DF">
      <w:pPr>
        <w:ind w:firstLine="480"/>
        <w:rPr>
          <w:rFonts w:ascii="Calibri" w:hAnsi="Calibri" w:cs="Calibri"/>
          <w:bCs/>
          <w:color w:val="000000" w:themeColor="text1"/>
          <w:sz w:val="24"/>
        </w:rPr>
      </w:pPr>
    </w:p>
    <w:p w14:paraId="5682A41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一、基金资产总值</w:t>
      </w:r>
    </w:p>
    <w:p w14:paraId="6CDCE1F6"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基金资产总值</w:t>
      </w:r>
      <w:bookmarkStart w:id="332" w:name="_Hlk160481861"/>
      <w:r w:rsidRPr="00777BCD">
        <w:rPr>
          <w:rFonts w:ascii="Calibri" w:hAnsi="Calibri" w:cs="Calibri"/>
          <w:bCs/>
          <w:color w:val="000000" w:themeColor="text1"/>
          <w:sz w:val="24"/>
        </w:rPr>
        <w:t>是指基金拥有的各类有价证券、银行存款本息和基金应收款项以及其他资产的价值总和。</w:t>
      </w:r>
      <w:bookmarkEnd w:id="332"/>
    </w:p>
    <w:p w14:paraId="70D586A3" w14:textId="77777777" w:rsidR="007149DF" w:rsidRPr="00777BCD" w:rsidRDefault="007149DF">
      <w:pPr>
        <w:ind w:firstLine="480"/>
        <w:rPr>
          <w:rFonts w:ascii="Calibri" w:hAnsi="Calibri" w:cs="Calibri"/>
          <w:bCs/>
          <w:color w:val="000000" w:themeColor="text1"/>
          <w:sz w:val="24"/>
        </w:rPr>
      </w:pPr>
    </w:p>
    <w:p w14:paraId="4A9B0730" w14:textId="77777777" w:rsidR="007149DF" w:rsidRPr="00777BCD" w:rsidRDefault="00284640">
      <w:pPr>
        <w:ind w:firstLine="480"/>
        <w:rPr>
          <w:rFonts w:ascii="Calibri" w:hAnsi="Calibri" w:cs="Calibri"/>
          <w:bCs/>
          <w:color w:val="000000" w:themeColor="text1"/>
          <w:sz w:val="24"/>
        </w:rPr>
      </w:pPr>
      <w:bookmarkStart w:id="333" w:name="_Hlk23248955"/>
      <w:r w:rsidRPr="00777BCD">
        <w:rPr>
          <w:rFonts w:ascii="Calibri" w:hAnsi="Calibri" w:cs="Calibri"/>
          <w:bCs/>
          <w:color w:val="000000" w:themeColor="text1"/>
          <w:sz w:val="24"/>
        </w:rPr>
        <w:t>二、基金资产净值</w:t>
      </w:r>
    </w:p>
    <w:p w14:paraId="386F8C89" w14:textId="77777777" w:rsidR="007149DF" w:rsidRPr="00777BCD" w:rsidRDefault="00284640">
      <w:pPr>
        <w:ind w:firstLine="480"/>
        <w:rPr>
          <w:rFonts w:ascii="Calibri" w:hAnsi="Calibri" w:cs="Calibri"/>
          <w:bCs/>
          <w:color w:val="000000" w:themeColor="text1"/>
          <w:sz w:val="24"/>
        </w:rPr>
      </w:pPr>
      <w:bookmarkStart w:id="334" w:name="_Hlk47894537"/>
      <w:r w:rsidRPr="00777BCD">
        <w:rPr>
          <w:rFonts w:ascii="Calibri" w:hAnsi="Calibri" w:cs="Calibri"/>
          <w:bCs/>
          <w:color w:val="000000" w:themeColor="text1"/>
          <w:sz w:val="24"/>
        </w:rPr>
        <w:t>基金资产净值是指基金资产总值减去基金负债后的价值。</w:t>
      </w:r>
      <w:bookmarkEnd w:id="333"/>
      <w:bookmarkEnd w:id="334"/>
    </w:p>
    <w:p w14:paraId="2A6F4447" w14:textId="77777777" w:rsidR="007149DF" w:rsidRPr="00777BCD" w:rsidRDefault="007149DF">
      <w:pPr>
        <w:ind w:firstLine="480"/>
        <w:rPr>
          <w:rFonts w:ascii="Calibri" w:hAnsi="Calibri" w:cs="Calibri"/>
          <w:bCs/>
          <w:color w:val="000000" w:themeColor="text1"/>
          <w:sz w:val="24"/>
        </w:rPr>
      </w:pPr>
    </w:p>
    <w:p w14:paraId="099B2FD6"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三、基金财产的账户</w:t>
      </w:r>
    </w:p>
    <w:p w14:paraId="2186E8A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托管人根据相关法律法规、规范性文件为本基金开立资金账户、证券账户以及投资所需的其他专用账户。开立的基金专用账户与基金管理人、基金托管人、基金销售机构和基金登记机构自有的财产账户以及其他基金财产账户相独立。</w:t>
      </w:r>
      <w:bookmarkStart w:id="335" w:name="_Hlt88841837"/>
      <w:bookmarkEnd w:id="335"/>
    </w:p>
    <w:p w14:paraId="4F9731B1" w14:textId="77777777" w:rsidR="007149DF" w:rsidRPr="00777BCD" w:rsidRDefault="007149DF">
      <w:pPr>
        <w:ind w:firstLine="420"/>
        <w:rPr>
          <w:rFonts w:ascii="Calibri" w:hAnsi="Calibri" w:cs="Calibri"/>
          <w:color w:val="000000" w:themeColor="text1"/>
        </w:rPr>
      </w:pPr>
    </w:p>
    <w:p w14:paraId="765A3EE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四、基金财产的保管和处分</w:t>
      </w:r>
      <w:bookmarkStart w:id="336" w:name="_Hlt88900062"/>
      <w:bookmarkEnd w:id="336"/>
    </w:p>
    <w:p w14:paraId="7F2BD11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本基金财产独立于基金管理人、基金托管人和基金销售机构的财产，并由基金托管人保管。基金管理人、基金托管人、基金登记机构和基金销售机构以其自有的财产承担其自身的法律责任，其债权人不得对本基金财产行使请求冻结、扣押或其他权利。除依法</w:t>
      </w:r>
      <w:proofErr w:type="gramStart"/>
      <w:r w:rsidRPr="00777BCD">
        <w:rPr>
          <w:rFonts w:ascii="Calibri" w:hAnsi="Calibri" w:cs="Calibri"/>
          <w:bCs/>
          <w:color w:val="000000" w:themeColor="text1"/>
          <w:sz w:val="24"/>
        </w:rPr>
        <w:t>律法规</w:t>
      </w:r>
      <w:proofErr w:type="gramEnd"/>
      <w:r w:rsidRPr="00777BCD">
        <w:rPr>
          <w:rFonts w:ascii="Calibri" w:hAnsi="Calibri" w:cs="Calibri"/>
          <w:bCs/>
          <w:color w:val="000000" w:themeColor="text1"/>
          <w:sz w:val="24"/>
        </w:rPr>
        <w:t>和《基金合同》的规定处分外，基金财产不得被处分。</w:t>
      </w:r>
    </w:p>
    <w:p w14:paraId="4F019A4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基金管理人、基金托管人因依法解散、被依法撤销或者被依法宣告破产等原因进行清算的，基金财产不属于其清算财产。基金管理人管理运作基金财产所产生的债权，不得与其固有资产产生的债务相互</w:t>
      </w:r>
      <w:proofErr w:type="gramStart"/>
      <w:r w:rsidRPr="00777BCD">
        <w:rPr>
          <w:rFonts w:ascii="Calibri" w:hAnsi="Calibri" w:cs="Calibri"/>
          <w:bCs/>
          <w:color w:val="000000" w:themeColor="text1"/>
          <w:sz w:val="24"/>
        </w:rPr>
        <w:t>抵销</w:t>
      </w:r>
      <w:proofErr w:type="gramEnd"/>
      <w:r w:rsidRPr="00777BCD">
        <w:rPr>
          <w:rFonts w:ascii="Calibri" w:hAnsi="Calibri" w:cs="Calibri"/>
          <w:bCs/>
          <w:color w:val="000000" w:themeColor="text1"/>
          <w:sz w:val="24"/>
        </w:rPr>
        <w:t>；基金管理人管理运作不同基金的基金财产所产生的债权债务不得相互</w:t>
      </w:r>
      <w:proofErr w:type="gramStart"/>
      <w:r w:rsidRPr="00777BCD">
        <w:rPr>
          <w:rFonts w:ascii="Calibri" w:hAnsi="Calibri" w:cs="Calibri"/>
          <w:bCs/>
          <w:color w:val="000000" w:themeColor="text1"/>
          <w:sz w:val="24"/>
        </w:rPr>
        <w:t>抵销</w:t>
      </w:r>
      <w:proofErr w:type="gramEnd"/>
      <w:r w:rsidRPr="00777BCD">
        <w:rPr>
          <w:rFonts w:ascii="Calibri" w:hAnsi="Calibri" w:cs="Calibri"/>
          <w:bCs/>
          <w:color w:val="000000" w:themeColor="text1"/>
          <w:sz w:val="24"/>
        </w:rPr>
        <w:t>。非因基金财产本身承担的债务，不得对基金财产强制执行。</w:t>
      </w:r>
    </w:p>
    <w:p w14:paraId="0B895D4F" w14:textId="77777777" w:rsidR="007149DF" w:rsidRPr="00777BCD" w:rsidRDefault="00284640">
      <w:pPr>
        <w:pStyle w:val="11"/>
        <w:spacing w:before="0" w:after="0"/>
        <w:ind w:firstLine="420"/>
        <w:jc w:val="center"/>
        <w:rPr>
          <w:rFonts w:ascii="Calibri" w:hAnsi="Calibri" w:cs="Calibri"/>
          <w:color w:val="000000" w:themeColor="text1"/>
          <w:sz w:val="30"/>
        </w:rPr>
      </w:pPr>
      <w:r w:rsidRPr="00777BCD">
        <w:rPr>
          <w:rFonts w:ascii="Calibri" w:hAnsi="Calibri" w:cs="Calibri"/>
          <w:b w:val="0"/>
          <w:bCs/>
          <w:color w:val="000000" w:themeColor="text1"/>
          <w:sz w:val="21"/>
        </w:rPr>
        <w:br w:type="page"/>
      </w:r>
      <w:bookmarkStart w:id="337" w:name="_Toc6820033"/>
      <w:bookmarkStart w:id="338" w:name="_Toc7802"/>
      <w:bookmarkStart w:id="339" w:name="_Toc27832"/>
      <w:bookmarkStart w:id="340" w:name="_Toc19714"/>
      <w:bookmarkStart w:id="341" w:name="_Toc871"/>
      <w:bookmarkStart w:id="342" w:name="_Toc17782"/>
      <w:bookmarkStart w:id="343" w:name="_Toc31917"/>
      <w:bookmarkStart w:id="344" w:name="_Toc160725912"/>
      <w:bookmarkStart w:id="345" w:name="_Toc139991744"/>
      <w:bookmarkStart w:id="346" w:name="_Toc141703894"/>
      <w:r w:rsidRPr="00777BCD">
        <w:rPr>
          <w:rFonts w:ascii="Calibri" w:hAnsi="Calibri" w:cs="Calibri"/>
          <w:color w:val="000000" w:themeColor="text1"/>
          <w:sz w:val="30"/>
        </w:rPr>
        <w:lastRenderedPageBreak/>
        <w:t>第十四部分</w:t>
      </w:r>
      <w:r w:rsidRPr="00777BCD">
        <w:rPr>
          <w:rFonts w:ascii="Calibri" w:hAnsi="Calibri" w:cs="Calibri"/>
          <w:color w:val="000000" w:themeColor="text1"/>
          <w:sz w:val="30"/>
        </w:rPr>
        <w:t xml:space="preserve">  </w:t>
      </w:r>
      <w:r w:rsidRPr="00777BCD">
        <w:rPr>
          <w:rFonts w:ascii="Calibri" w:hAnsi="Calibri" w:cs="Calibri"/>
          <w:color w:val="000000" w:themeColor="text1"/>
          <w:sz w:val="30"/>
        </w:rPr>
        <w:t>基金资产估值</w:t>
      </w:r>
      <w:bookmarkEnd w:id="337"/>
      <w:bookmarkEnd w:id="338"/>
      <w:bookmarkEnd w:id="339"/>
      <w:bookmarkEnd w:id="340"/>
      <w:bookmarkEnd w:id="341"/>
      <w:bookmarkEnd w:id="342"/>
      <w:bookmarkEnd w:id="343"/>
      <w:bookmarkEnd w:id="344"/>
    </w:p>
    <w:p w14:paraId="2FCD514E" w14:textId="77777777" w:rsidR="007149DF" w:rsidRPr="00777BCD" w:rsidRDefault="007149DF">
      <w:pPr>
        <w:ind w:firstLine="480"/>
        <w:rPr>
          <w:rFonts w:ascii="Calibri" w:hAnsi="Calibri" w:cs="Calibri"/>
          <w:bCs/>
          <w:color w:val="000000" w:themeColor="text1"/>
          <w:sz w:val="24"/>
        </w:rPr>
      </w:pPr>
    </w:p>
    <w:p w14:paraId="72B4DA40" w14:textId="77777777" w:rsidR="007149DF" w:rsidRPr="00777BCD" w:rsidRDefault="00284640">
      <w:pPr>
        <w:ind w:firstLine="480"/>
        <w:rPr>
          <w:rFonts w:ascii="Calibri" w:hAnsi="Calibri" w:cs="Calibri"/>
          <w:bCs/>
          <w:color w:val="000000" w:themeColor="text1"/>
          <w:sz w:val="24"/>
        </w:rPr>
      </w:pPr>
      <w:bookmarkStart w:id="347" w:name="_Toc141703895"/>
      <w:bookmarkStart w:id="348" w:name="_Toc32046"/>
      <w:bookmarkStart w:id="349" w:name="_Toc139991745"/>
      <w:bookmarkEnd w:id="345"/>
      <w:bookmarkEnd w:id="346"/>
      <w:r w:rsidRPr="00777BCD">
        <w:rPr>
          <w:rFonts w:ascii="Calibri" w:hAnsi="Calibri" w:cs="Calibri"/>
          <w:bCs/>
          <w:color w:val="000000" w:themeColor="text1"/>
          <w:sz w:val="24"/>
        </w:rPr>
        <w:t>一、估值日</w:t>
      </w:r>
    </w:p>
    <w:p w14:paraId="1F25BCF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本基金的估值日为本基金相关的证券、期货交易场所的交易日以及国家法律法规规定需要对外披露基金净值的</w:t>
      </w:r>
      <w:proofErr w:type="gramStart"/>
      <w:r w:rsidRPr="00777BCD">
        <w:rPr>
          <w:rFonts w:ascii="Calibri" w:hAnsi="Calibri" w:cs="Calibri"/>
          <w:bCs/>
          <w:color w:val="000000" w:themeColor="text1"/>
          <w:sz w:val="24"/>
        </w:rPr>
        <w:t>非交易</w:t>
      </w:r>
      <w:proofErr w:type="gramEnd"/>
      <w:r w:rsidRPr="00777BCD">
        <w:rPr>
          <w:rFonts w:ascii="Calibri" w:hAnsi="Calibri" w:cs="Calibri"/>
          <w:bCs/>
          <w:color w:val="000000" w:themeColor="text1"/>
          <w:sz w:val="24"/>
        </w:rPr>
        <w:t>日。</w:t>
      </w:r>
    </w:p>
    <w:p w14:paraId="05CE2E6A" w14:textId="77777777" w:rsidR="007149DF" w:rsidRPr="00777BCD" w:rsidRDefault="007149DF">
      <w:pPr>
        <w:ind w:firstLine="480"/>
        <w:rPr>
          <w:rFonts w:ascii="Calibri" w:hAnsi="Calibri" w:cs="Calibri"/>
          <w:bCs/>
          <w:color w:val="000000" w:themeColor="text1"/>
          <w:sz w:val="24"/>
        </w:rPr>
      </w:pPr>
    </w:p>
    <w:p w14:paraId="51D74936" w14:textId="77777777" w:rsidR="007149DF" w:rsidRPr="00777BCD" w:rsidRDefault="00284640">
      <w:pPr>
        <w:ind w:firstLine="480"/>
        <w:rPr>
          <w:rFonts w:ascii="Calibri" w:hAnsi="Calibri" w:cs="Calibri"/>
          <w:bCs/>
          <w:color w:val="000000" w:themeColor="text1"/>
          <w:sz w:val="24"/>
        </w:rPr>
      </w:pPr>
      <w:bookmarkStart w:id="350" w:name="_Hlk47894716"/>
      <w:r w:rsidRPr="00777BCD">
        <w:rPr>
          <w:rFonts w:ascii="Calibri" w:hAnsi="Calibri" w:cs="Calibri"/>
          <w:bCs/>
          <w:color w:val="000000" w:themeColor="text1"/>
          <w:sz w:val="24"/>
        </w:rPr>
        <w:t>二、估值对象</w:t>
      </w:r>
    </w:p>
    <w:p w14:paraId="4B20790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基金所拥有的股票、存托凭证、债券、资产支持证券、股指期货合约、银行存款本息、应收款项和其它投资等资产及负债。</w:t>
      </w:r>
      <w:bookmarkEnd w:id="350"/>
    </w:p>
    <w:p w14:paraId="37CEF3C8" w14:textId="77777777" w:rsidR="007149DF" w:rsidRPr="00777BCD" w:rsidRDefault="007149DF">
      <w:pPr>
        <w:ind w:firstLine="480"/>
        <w:rPr>
          <w:rFonts w:ascii="Calibri" w:hAnsi="Calibri" w:cs="Calibri"/>
          <w:bCs/>
          <w:color w:val="000000" w:themeColor="text1"/>
          <w:sz w:val="24"/>
        </w:rPr>
      </w:pPr>
    </w:p>
    <w:p w14:paraId="196B0006"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三、估值原则</w:t>
      </w:r>
    </w:p>
    <w:p w14:paraId="38EC9AC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基金管理人在确定相关金融资产和金融负债的公允价值时，应符合《企业会计准则》、监管部门有关规定。</w:t>
      </w:r>
    </w:p>
    <w:p w14:paraId="67FAB1C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一）对存在活跃市场且能够获取相同资产或负债报价的投资品种，在估值日有报价的，除会计准则规定的例外情况外，应将该报价不加调整地应用于该资产或负债的公允价值计量。估值日无报价且最近交易日后未发生影响公允价值计量的重大事件的，应采用最近交易日的报价确定公允价值。有充足证据表明估值日或最近交易日的报价不能真实反映公允价值的，应对报价进行调整，确定公允价值。</w:t>
      </w:r>
    </w:p>
    <w:p w14:paraId="17826E2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与上述投资品种相同，但具有不同特征的，应以相同资产或负债的公允价值为基础，并在估值技术中考虑不同特征因素的影响。特征是指对资产出售或使用的限制等，如果该限制是针对资产持有者的，那么在估值技术中不应将该限制作为特征考虑。此外，基金管理人不应考虑因其大量持有相关资产或负债所产生的溢价或折价。</w:t>
      </w:r>
    </w:p>
    <w:p w14:paraId="01C82EE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二）对不存在活跃市场的投资品种，应采用在当前情况下适用并且有足够可利用数据和其他信息支持的估值技术确定公允价值。采用估值技术确定公允价值时，应优先使用可观察输入值，只有在无法取得相关资产或负债可观察输入值或取得不切实可行的情况下，才可以使用不可观察输入值。</w:t>
      </w:r>
    </w:p>
    <w:p w14:paraId="77BCF76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（三）如经济环境发生重大变化或证券发行人发生影响证券价格的重大事件，使潜在估值调整对前一估值日的基金资产净值的影响在</w:t>
      </w:r>
      <w:r w:rsidRPr="00777BCD">
        <w:rPr>
          <w:rFonts w:ascii="Calibri" w:hAnsi="Calibri" w:cs="Calibri"/>
          <w:bCs/>
          <w:color w:val="000000" w:themeColor="text1"/>
          <w:sz w:val="24"/>
        </w:rPr>
        <w:t>0.25%</w:t>
      </w:r>
      <w:r w:rsidRPr="00777BCD">
        <w:rPr>
          <w:rFonts w:ascii="Calibri" w:hAnsi="Calibri" w:cs="Calibri"/>
          <w:bCs/>
          <w:color w:val="000000" w:themeColor="text1"/>
          <w:sz w:val="24"/>
        </w:rPr>
        <w:t>以上的，应对估值进行调整并确定公允价值。</w:t>
      </w:r>
    </w:p>
    <w:p w14:paraId="276B8123" w14:textId="77777777" w:rsidR="007149DF" w:rsidRPr="00777BCD" w:rsidRDefault="007149DF">
      <w:pPr>
        <w:ind w:firstLine="480"/>
        <w:rPr>
          <w:rFonts w:ascii="Calibri" w:hAnsi="Calibri" w:cs="Calibri"/>
          <w:bCs/>
          <w:color w:val="000000" w:themeColor="text1"/>
          <w:sz w:val="24"/>
        </w:rPr>
      </w:pPr>
    </w:p>
    <w:p w14:paraId="6245E2F8" w14:textId="77777777" w:rsidR="007149DF" w:rsidRPr="00777BCD" w:rsidRDefault="00284640">
      <w:pPr>
        <w:ind w:firstLine="480"/>
        <w:rPr>
          <w:rFonts w:ascii="Calibri" w:hAnsi="Calibri" w:cs="Calibri"/>
          <w:bCs/>
          <w:color w:val="000000" w:themeColor="text1"/>
          <w:sz w:val="24"/>
        </w:rPr>
      </w:pPr>
      <w:bookmarkStart w:id="351" w:name="_Hlk23248967"/>
      <w:bookmarkStart w:id="352" w:name="_Hlk142062425"/>
      <w:r w:rsidRPr="00777BCD">
        <w:rPr>
          <w:rFonts w:ascii="Calibri" w:hAnsi="Calibri" w:cs="Calibri"/>
          <w:bCs/>
          <w:color w:val="000000" w:themeColor="text1"/>
          <w:sz w:val="24"/>
        </w:rPr>
        <w:t>四、估值方法</w:t>
      </w:r>
    </w:p>
    <w:p w14:paraId="2E213A55" w14:textId="77777777" w:rsidR="007149DF" w:rsidRPr="00777BCD" w:rsidRDefault="00284640">
      <w:pPr>
        <w:ind w:firstLineChars="200" w:firstLine="480"/>
        <w:rPr>
          <w:rFonts w:ascii="Calibri" w:hAnsi="Calibri" w:cs="Calibri"/>
          <w:bCs/>
          <w:sz w:val="24"/>
          <w:szCs w:val="24"/>
        </w:rPr>
      </w:pPr>
      <w:r w:rsidRPr="00777BCD">
        <w:rPr>
          <w:rFonts w:ascii="Calibri" w:hAnsi="Calibri" w:cs="Calibri"/>
          <w:bCs/>
          <w:sz w:val="24"/>
          <w:szCs w:val="24"/>
        </w:rPr>
        <w:t>1</w:t>
      </w:r>
      <w:r w:rsidRPr="00777BCD">
        <w:rPr>
          <w:rFonts w:ascii="Calibri" w:hAnsi="Calibri" w:cs="Calibri"/>
          <w:bCs/>
          <w:sz w:val="24"/>
          <w:szCs w:val="24"/>
        </w:rPr>
        <w:t>、证券交易所上市的权益类证券的估值</w:t>
      </w:r>
    </w:p>
    <w:p w14:paraId="4BC79A7B" w14:textId="77777777" w:rsidR="007149DF" w:rsidRPr="00777BCD" w:rsidRDefault="00284640">
      <w:pPr>
        <w:ind w:firstLineChars="200" w:firstLine="480"/>
        <w:rPr>
          <w:rFonts w:ascii="Calibri" w:hAnsi="Calibri" w:cs="Calibri"/>
          <w:bCs/>
          <w:sz w:val="24"/>
          <w:szCs w:val="24"/>
        </w:rPr>
      </w:pPr>
      <w:r w:rsidRPr="00777BCD">
        <w:rPr>
          <w:rFonts w:ascii="Calibri" w:hAnsi="Calibri" w:cs="Calibri"/>
          <w:bCs/>
          <w:sz w:val="24"/>
          <w:szCs w:val="24"/>
        </w:rPr>
        <w:t>（</w:t>
      </w:r>
      <w:r w:rsidRPr="00777BCD">
        <w:rPr>
          <w:rFonts w:ascii="Calibri" w:hAnsi="Calibri" w:cs="Calibri"/>
          <w:bCs/>
          <w:sz w:val="24"/>
          <w:szCs w:val="24"/>
        </w:rPr>
        <w:t>1</w:t>
      </w:r>
      <w:r w:rsidRPr="00777BCD">
        <w:rPr>
          <w:rFonts w:ascii="Calibri" w:hAnsi="Calibri" w:cs="Calibri"/>
          <w:bCs/>
          <w:sz w:val="24"/>
          <w:szCs w:val="24"/>
        </w:rPr>
        <w:t>）交易所上市的权益类证券（包括股票等），以其估值日在证券交易所挂牌的市价（收盘价）估值；估值日无交易的，且最近交易日后</w:t>
      </w:r>
      <w:r w:rsidRPr="00777BCD">
        <w:rPr>
          <w:rFonts w:ascii="Calibri" w:hAnsi="Calibri" w:cs="Calibri"/>
          <w:bCs/>
          <w:sz w:val="24"/>
        </w:rPr>
        <w:t>经济环境未发生重大变化或证券发行机构</w:t>
      </w:r>
      <w:r w:rsidRPr="00777BCD">
        <w:rPr>
          <w:rFonts w:ascii="Calibri" w:hAnsi="Calibri" w:cs="Calibri"/>
          <w:sz w:val="24"/>
        </w:rPr>
        <w:t>未发生影响</w:t>
      </w:r>
      <w:r w:rsidRPr="00777BCD">
        <w:rPr>
          <w:rFonts w:ascii="Calibri" w:hAnsi="Calibri" w:cs="Calibri"/>
          <w:bCs/>
          <w:sz w:val="24"/>
        </w:rPr>
        <w:t>证券价格</w:t>
      </w:r>
      <w:r w:rsidRPr="00777BCD">
        <w:rPr>
          <w:rFonts w:ascii="Calibri" w:hAnsi="Calibri" w:cs="Calibri"/>
          <w:bCs/>
          <w:sz w:val="24"/>
          <w:szCs w:val="24"/>
        </w:rPr>
        <w:t>的重大事件的，以最近交易日的市价（收盘价）估值；如最近交易日后</w:t>
      </w:r>
      <w:r w:rsidRPr="00777BCD">
        <w:rPr>
          <w:rFonts w:ascii="Calibri" w:hAnsi="Calibri" w:cs="Calibri"/>
          <w:bCs/>
          <w:sz w:val="24"/>
        </w:rPr>
        <w:t>经济环境发生了重大变化或证券发行机构</w:t>
      </w:r>
      <w:r w:rsidRPr="00777BCD">
        <w:rPr>
          <w:rFonts w:ascii="Calibri" w:hAnsi="Calibri" w:cs="Calibri"/>
          <w:sz w:val="24"/>
        </w:rPr>
        <w:t>发生影响</w:t>
      </w:r>
      <w:r w:rsidRPr="00777BCD">
        <w:rPr>
          <w:rFonts w:ascii="Calibri" w:hAnsi="Calibri" w:cs="Calibri"/>
          <w:bCs/>
          <w:sz w:val="24"/>
        </w:rPr>
        <w:t>证券价格</w:t>
      </w:r>
      <w:r w:rsidRPr="00777BCD">
        <w:rPr>
          <w:rFonts w:ascii="Calibri" w:hAnsi="Calibri" w:cs="Calibri"/>
          <w:bCs/>
          <w:sz w:val="24"/>
          <w:szCs w:val="24"/>
        </w:rPr>
        <w:t>的重大事件的，可参考类似投资品种的现行市价及重大变化因素，调整最近交易市价，确定公允价格。</w:t>
      </w:r>
    </w:p>
    <w:p w14:paraId="437E4516" w14:textId="77777777" w:rsidR="007149DF" w:rsidRPr="00777BCD" w:rsidRDefault="00284640">
      <w:pPr>
        <w:ind w:firstLineChars="200" w:firstLine="480"/>
        <w:rPr>
          <w:rFonts w:ascii="Calibri" w:hAnsi="Calibri" w:cs="Calibri"/>
          <w:bCs/>
          <w:sz w:val="24"/>
          <w:szCs w:val="24"/>
        </w:rPr>
      </w:pPr>
      <w:r w:rsidRPr="00777BCD">
        <w:rPr>
          <w:rFonts w:ascii="Calibri" w:hAnsi="Calibri" w:cs="Calibri"/>
          <w:bCs/>
          <w:sz w:val="24"/>
          <w:szCs w:val="24"/>
        </w:rPr>
        <w:t>（</w:t>
      </w:r>
      <w:r w:rsidRPr="00777BCD">
        <w:rPr>
          <w:rFonts w:ascii="Calibri" w:hAnsi="Calibri" w:cs="Calibri"/>
          <w:bCs/>
          <w:sz w:val="24"/>
          <w:szCs w:val="24"/>
        </w:rPr>
        <w:t>2</w:t>
      </w:r>
      <w:r w:rsidRPr="00777BCD">
        <w:rPr>
          <w:rFonts w:ascii="Calibri" w:hAnsi="Calibri" w:cs="Calibri"/>
          <w:bCs/>
          <w:sz w:val="24"/>
          <w:szCs w:val="24"/>
        </w:rPr>
        <w:t>）交易所上市不存在活跃市场的权益类证券，采用估值技术确定公允价值。</w:t>
      </w:r>
    </w:p>
    <w:p w14:paraId="5E2D461D" w14:textId="77777777" w:rsidR="007149DF" w:rsidRPr="00777BCD" w:rsidRDefault="00284640">
      <w:pPr>
        <w:ind w:firstLineChars="200" w:firstLine="480"/>
        <w:rPr>
          <w:rFonts w:ascii="Calibri" w:hAnsi="Calibri" w:cs="Calibri"/>
          <w:bCs/>
          <w:sz w:val="24"/>
          <w:szCs w:val="24"/>
        </w:rPr>
      </w:pPr>
      <w:r w:rsidRPr="00777BCD">
        <w:rPr>
          <w:rFonts w:ascii="Calibri" w:hAnsi="Calibri" w:cs="Calibri"/>
          <w:bCs/>
          <w:sz w:val="24"/>
          <w:szCs w:val="24"/>
        </w:rPr>
        <w:t>2</w:t>
      </w:r>
      <w:r w:rsidRPr="00777BCD">
        <w:rPr>
          <w:rFonts w:ascii="Calibri" w:hAnsi="Calibri" w:cs="Calibri"/>
          <w:bCs/>
          <w:sz w:val="24"/>
          <w:szCs w:val="24"/>
        </w:rPr>
        <w:t>、处于未上市期间的权益类证券应区分如下情况处理：</w:t>
      </w:r>
    </w:p>
    <w:p w14:paraId="09E7C0AC" w14:textId="77777777" w:rsidR="007149DF" w:rsidRPr="00777BCD" w:rsidRDefault="00284640">
      <w:pPr>
        <w:ind w:firstLineChars="200" w:firstLine="480"/>
        <w:rPr>
          <w:rFonts w:ascii="Calibri" w:hAnsi="Calibri" w:cs="Calibri"/>
          <w:bCs/>
          <w:sz w:val="24"/>
          <w:szCs w:val="24"/>
        </w:rPr>
      </w:pPr>
      <w:r w:rsidRPr="00777BCD">
        <w:rPr>
          <w:rFonts w:ascii="Calibri" w:hAnsi="Calibri" w:cs="Calibri"/>
          <w:bCs/>
          <w:sz w:val="24"/>
          <w:szCs w:val="24"/>
        </w:rPr>
        <w:t>（</w:t>
      </w:r>
      <w:r w:rsidRPr="00777BCD">
        <w:rPr>
          <w:rFonts w:ascii="Calibri" w:hAnsi="Calibri" w:cs="Calibri"/>
          <w:bCs/>
          <w:sz w:val="24"/>
          <w:szCs w:val="24"/>
        </w:rPr>
        <w:t>1</w:t>
      </w:r>
      <w:r w:rsidRPr="00777BCD">
        <w:rPr>
          <w:rFonts w:ascii="Calibri" w:hAnsi="Calibri" w:cs="Calibri"/>
          <w:bCs/>
          <w:sz w:val="24"/>
          <w:szCs w:val="24"/>
        </w:rPr>
        <w:t>）送股、转增股、配股和公开增发的新股，按估值日在证券交易所挂牌的同一股票的估值方法估值；该日无交易的，以最近一日的市价（收盘价）估值。</w:t>
      </w:r>
    </w:p>
    <w:p w14:paraId="1AD73CCF" w14:textId="77777777" w:rsidR="007149DF" w:rsidRPr="00777BCD" w:rsidRDefault="00284640">
      <w:pPr>
        <w:ind w:firstLineChars="200" w:firstLine="480"/>
        <w:rPr>
          <w:rFonts w:ascii="Calibri" w:hAnsi="Calibri" w:cs="Calibri"/>
          <w:bCs/>
          <w:sz w:val="24"/>
          <w:szCs w:val="24"/>
        </w:rPr>
      </w:pPr>
      <w:r w:rsidRPr="00777BCD">
        <w:rPr>
          <w:rFonts w:ascii="Calibri" w:hAnsi="Calibri" w:cs="Calibri"/>
          <w:bCs/>
          <w:sz w:val="24"/>
          <w:szCs w:val="24"/>
        </w:rPr>
        <w:t>（</w:t>
      </w:r>
      <w:r w:rsidRPr="00777BCD">
        <w:rPr>
          <w:rFonts w:ascii="Calibri" w:hAnsi="Calibri" w:cs="Calibri"/>
          <w:bCs/>
          <w:sz w:val="24"/>
          <w:szCs w:val="24"/>
        </w:rPr>
        <w:t>2</w:t>
      </w:r>
      <w:r w:rsidRPr="00777BCD">
        <w:rPr>
          <w:rFonts w:ascii="Calibri" w:hAnsi="Calibri" w:cs="Calibri"/>
          <w:bCs/>
          <w:sz w:val="24"/>
          <w:szCs w:val="24"/>
        </w:rPr>
        <w:t>）首次公开发行未上市的股票，采用估值技术确定公允价值。</w:t>
      </w:r>
    </w:p>
    <w:p w14:paraId="4E449F20" w14:textId="77777777" w:rsidR="007149DF" w:rsidRPr="00777BCD" w:rsidRDefault="00284640">
      <w:pPr>
        <w:ind w:firstLineChars="200" w:firstLine="480"/>
        <w:rPr>
          <w:rFonts w:ascii="Calibri" w:hAnsi="Calibri" w:cs="Calibri"/>
          <w:bCs/>
          <w:sz w:val="24"/>
          <w:szCs w:val="24"/>
        </w:rPr>
      </w:pPr>
      <w:r w:rsidRPr="00777BCD">
        <w:rPr>
          <w:rFonts w:ascii="Calibri" w:hAnsi="Calibri" w:cs="Calibri"/>
          <w:bCs/>
          <w:sz w:val="24"/>
          <w:szCs w:val="24"/>
        </w:rPr>
        <w:t>（</w:t>
      </w:r>
      <w:r w:rsidRPr="00777BCD">
        <w:rPr>
          <w:rFonts w:ascii="Calibri" w:hAnsi="Calibri" w:cs="Calibri"/>
          <w:bCs/>
          <w:sz w:val="24"/>
          <w:szCs w:val="24"/>
        </w:rPr>
        <w:t>3</w:t>
      </w:r>
      <w:r w:rsidRPr="00777BCD">
        <w:rPr>
          <w:rFonts w:ascii="Calibri" w:hAnsi="Calibri" w:cs="Calibri"/>
          <w:bCs/>
          <w:sz w:val="24"/>
          <w:szCs w:val="24"/>
        </w:rPr>
        <w:t>）在发行时明确一定期限限售期的股票，包括但不限于非公开发行股票、首次公开发行股票时公司股东公开发售股份、通过大宗交易取得的带限售期的股票等，不包括停牌、新发行未上市、回购交易中的质押</w:t>
      </w:r>
      <w:proofErr w:type="gramStart"/>
      <w:r w:rsidRPr="00777BCD">
        <w:rPr>
          <w:rFonts w:ascii="Calibri" w:hAnsi="Calibri" w:cs="Calibri"/>
          <w:bCs/>
          <w:sz w:val="24"/>
          <w:szCs w:val="24"/>
        </w:rPr>
        <w:t>券</w:t>
      </w:r>
      <w:proofErr w:type="gramEnd"/>
      <w:r w:rsidRPr="00777BCD">
        <w:rPr>
          <w:rFonts w:ascii="Calibri" w:hAnsi="Calibri" w:cs="Calibri"/>
          <w:bCs/>
          <w:sz w:val="24"/>
          <w:szCs w:val="24"/>
        </w:rPr>
        <w:t>等流通受限股票，按监管机构或行业协会有关规定确定公允价值。</w:t>
      </w:r>
    </w:p>
    <w:p w14:paraId="399964DE" w14:textId="77777777" w:rsidR="007149DF" w:rsidRPr="00777BCD" w:rsidRDefault="00284640">
      <w:pPr>
        <w:ind w:firstLineChars="200" w:firstLine="480"/>
        <w:rPr>
          <w:rFonts w:ascii="Calibri" w:hAnsi="Calibri" w:cs="Calibri"/>
          <w:bCs/>
          <w:sz w:val="24"/>
          <w:szCs w:val="24"/>
        </w:rPr>
      </w:pPr>
      <w:r w:rsidRPr="00777BCD">
        <w:rPr>
          <w:rFonts w:ascii="Calibri" w:hAnsi="Calibri" w:cs="Calibri"/>
          <w:bCs/>
          <w:sz w:val="24"/>
          <w:szCs w:val="24"/>
        </w:rPr>
        <w:t>3</w:t>
      </w:r>
      <w:r w:rsidRPr="00777BCD">
        <w:rPr>
          <w:rFonts w:ascii="Calibri" w:hAnsi="Calibri" w:cs="Calibri"/>
          <w:bCs/>
          <w:sz w:val="24"/>
          <w:szCs w:val="24"/>
        </w:rPr>
        <w:t>、对于已上市或已挂牌转让的不含</w:t>
      </w:r>
      <w:proofErr w:type="gramStart"/>
      <w:r w:rsidRPr="00777BCD">
        <w:rPr>
          <w:rFonts w:ascii="Calibri" w:hAnsi="Calibri" w:cs="Calibri"/>
          <w:bCs/>
          <w:sz w:val="24"/>
          <w:szCs w:val="24"/>
        </w:rPr>
        <w:t>权固定</w:t>
      </w:r>
      <w:proofErr w:type="gramEnd"/>
      <w:r w:rsidRPr="00777BCD">
        <w:rPr>
          <w:rFonts w:ascii="Calibri" w:hAnsi="Calibri" w:cs="Calibri"/>
          <w:bCs/>
          <w:sz w:val="24"/>
          <w:szCs w:val="24"/>
        </w:rPr>
        <w:t>收益品种，选取第三方估值基准服务机构提供的相应品种当日的估值全价。</w:t>
      </w:r>
    </w:p>
    <w:p w14:paraId="4CBF751C" w14:textId="77777777" w:rsidR="007149DF" w:rsidRPr="00777BCD" w:rsidRDefault="00284640">
      <w:pPr>
        <w:ind w:firstLineChars="200" w:firstLine="480"/>
        <w:rPr>
          <w:rFonts w:ascii="Calibri" w:hAnsi="Calibri" w:cs="Calibri"/>
          <w:bCs/>
          <w:sz w:val="24"/>
          <w:szCs w:val="24"/>
        </w:rPr>
      </w:pPr>
      <w:r w:rsidRPr="00777BCD">
        <w:rPr>
          <w:rFonts w:ascii="Calibri" w:hAnsi="Calibri" w:cs="Calibri"/>
          <w:bCs/>
          <w:sz w:val="24"/>
          <w:szCs w:val="24"/>
        </w:rPr>
        <w:t>4</w:t>
      </w:r>
      <w:r w:rsidRPr="00777BCD">
        <w:rPr>
          <w:rFonts w:ascii="Calibri" w:hAnsi="Calibri" w:cs="Calibri"/>
          <w:bCs/>
          <w:sz w:val="24"/>
          <w:szCs w:val="24"/>
        </w:rPr>
        <w:t>、对于已上市或已挂牌转让的含</w:t>
      </w:r>
      <w:proofErr w:type="gramStart"/>
      <w:r w:rsidRPr="00777BCD">
        <w:rPr>
          <w:rFonts w:ascii="Calibri" w:hAnsi="Calibri" w:cs="Calibri"/>
          <w:bCs/>
          <w:sz w:val="24"/>
          <w:szCs w:val="24"/>
        </w:rPr>
        <w:t>权固定</w:t>
      </w:r>
      <w:proofErr w:type="gramEnd"/>
      <w:r w:rsidRPr="00777BCD">
        <w:rPr>
          <w:rFonts w:ascii="Calibri" w:hAnsi="Calibri" w:cs="Calibri"/>
          <w:bCs/>
          <w:sz w:val="24"/>
          <w:szCs w:val="24"/>
        </w:rPr>
        <w:t>收益品种，选取第三方估值基准服务机构提供的相应品种当日的唯一估值全价或推荐估值全价。</w:t>
      </w:r>
    </w:p>
    <w:p w14:paraId="67FC928E" w14:textId="77777777" w:rsidR="007149DF" w:rsidRPr="00777BCD" w:rsidRDefault="00284640">
      <w:pPr>
        <w:ind w:firstLineChars="200" w:firstLine="480"/>
        <w:rPr>
          <w:rFonts w:ascii="Calibri" w:hAnsi="Calibri" w:cs="Calibri"/>
          <w:bCs/>
          <w:sz w:val="24"/>
          <w:szCs w:val="24"/>
        </w:rPr>
      </w:pPr>
      <w:r w:rsidRPr="00777BCD">
        <w:rPr>
          <w:rFonts w:ascii="Calibri" w:hAnsi="Calibri" w:cs="Calibri"/>
          <w:bCs/>
          <w:sz w:val="24"/>
          <w:szCs w:val="24"/>
        </w:rPr>
        <w:t>对于含投资者回售权的固定收益品种，行使回售权的，在回售登记日至实际收款日期间选取第三方估值基准服务机构提供的相应品种的唯一估值全价或</w:t>
      </w:r>
      <w:r w:rsidRPr="00777BCD">
        <w:rPr>
          <w:rFonts w:ascii="Calibri" w:hAnsi="Calibri" w:cs="Calibri"/>
          <w:bCs/>
          <w:sz w:val="24"/>
          <w:szCs w:val="24"/>
        </w:rPr>
        <w:lastRenderedPageBreak/>
        <w:t>推荐估值全价，同时应充分考虑发行人的信用风险变化对公允价值的影响。回售登记期截止日（含当日）后未行使回售权的建议按照长待偿期所对应的价格进行估值。</w:t>
      </w:r>
    </w:p>
    <w:p w14:paraId="5F8F3431" w14:textId="77777777" w:rsidR="007149DF" w:rsidRPr="00777BCD" w:rsidRDefault="00284640">
      <w:pPr>
        <w:ind w:firstLineChars="200" w:firstLine="480"/>
        <w:rPr>
          <w:rFonts w:ascii="Calibri" w:hAnsi="Calibri" w:cs="Calibri"/>
          <w:bCs/>
          <w:sz w:val="24"/>
          <w:szCs w:val="24"/>
        </w:rPr>
      </w:pPr>
      <w:r w:rsidRPr="00777BCD">
        <w:rPr>
          <w:rFonts w:ascii="Calibri" w:hAnsi="Calibri" w:cs="Calibri"/>
          <w:bCs/>
          <w:sz w:val="24"/>
          <w:szCs w:val="24"/>
        </w:rPr>
        <w:t>5</w:t>
      </w:r>
      <w:r w:rsidRPr="00777BCD">
        <w:rPr>
          <w:rFonts w:ascii="Calibri" w:hAnsi="Calibri" w:cs="Calibri"/>
          <w:bCs/>
          <w:sz w:val="24"/>
          <w:szCs w:val="24"/>
        </w:rPr>
        <w:t>、对于在交易所市场上市交易的公开发行的可转换债券等有活跃市场的含转股权的债券，实行全价交易的债券选取估值日收盘价作为估值全价；实行净价交易的债券选取估值日收盘价并加计每百元税前应计利息作为估值全价。</w:t>
      </w:r>
    </w:p>
    <w:p w14:paraId="13D21724" w14:textId="77777777" w:rsidR="007149DF" w:rsidRPr="00777BCD" w:rsidRDefault="00284640">
      <w:pPr>
        <w:ind w:firstLineChars="200" w:firstLine="480"/>
        <w:rPr>
          <w:rFonts w:ascii="Calibri" w:hAnsi="Calibri" w:cs="Calibri"/>
          <w:bCs/>
          <w:sz w:val="24"/>
          <w:szCs w:val="24"/>
        </w:rPr>
      </w:pPr>
      <w:r w:rsidRPr="00777BCD">
        <w:rPr>
          <w:rFonts w:ascii="Calibri" w:hAnsi="Calibri" w:cs="Calibri"/>
          <w:bCs/>
          <w:sz w:val="24"/>
          <w:szCs w:val="24"/>
        </w:rPr>
        <w:t>6</w:t>
      </w:r>
      <w:r w:rsidRPr="00777BCD">
        <w:rPr>
          <w:rFonts w:ascii="Calibri" w:hAnsi="Calibri" w:cs="Calibri"/>
          <w:bCs/>
          <w:sz w:val="24"/>
          <w:szCs w:val="24"/>
        </w:rPr>
        <w:t>、对于未上市或未挂牌转让且不存在活跃市场的固定收益品种，应采用在当前情况下适用并且有足够可利用数据和其他信息支持的估值技术确定其公允价值。</w:t>
      </w:r>
    </w:p>
    <w:p w14:paraId="7DCE83A9" w14:textId="77777777" w:rsidR="007149DF" w:rsidRPr="00777BCD" w:rsidRDefault="00284640">
      <w:pPr>
        <w:pStyle w:val="a9"/>
        <w:ind w:firstLineChars="200" w:firstLine="480"/>
        <w:rPr>
          <w:rFonts w:ascii="Calibri" w:hAnsi="Calibri" w:cs="Calibri"/>
          <w:bCs/>
          <w:sz w:val="24"/>
          <w:szCs w:val="24"/>
        </w:rPr>
      </w:pPr>
      <w:r w:rsidRPr="00777BCD">
        <w:rPr>
          <w:rFonts w:ascii="Calibri" w:hAnsi="Calibri" w:cs="Calibri"/>
          <w:sz w:val="24"/>
          <w:lang w:bidi="ar"/>
        </w:rPr>
        <w:t>7</w:t>
      </w:r>
      <w:r w:rsidRPr="00777BCD">
        <w:rPr>
          <w:rFonts w:ascii="Calibri" w:hAnsi="Calibri" w:cs="Calibri"/>
          <w:sz w:val="24"/>
          <w:lang w:bidi="ar"/>
        </w:rPr>
        <w:t>、对于发行人已破产、发行人未能按时足额偿付本金或利息，或者有其它可靠信息表明本金或利息无法按时足额偿付的债券投资品种，第三方估值基准服务机构可在提供推荐价格的同时提供价格区间作为公允价值的参考范围以及公允价值存在重大不确定性的相关提示。基金管理人在与基金托管人协商一致后，可采用价格区间中的数据作为该债券投资品种的公允价值。</w:t>
      </w:r>
    </w:p>
    <w:p w14:paraId="769DE47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8</w:t>
      </w:r>
      <w:r w:rsidRPr="00777BCD">
        <w:rPr>
          <w:rFonts w:ascii="Calibri" w:hAnsi="Calibri" w:cs="Calibri"/>
          <w:bCs/>
          <w:color w:val="000000" w:themeColor="text1"/>
          <w:sz w:val="24"/>
        </w:rPr>
        <w:t>、同一证券同时在两个或两个以上市场交易的，按证券所处的市场分别估值。</w:t>
      </w:r>
    </w:p>
    <w:p w14:paraId="22520BF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9</w:t>
      </w:r>
      <w:r w:rsidRPr="00777BCD">
        <w:rPr>
          <w:rFonts w:ascii="Calibri" w:hAnsi="Calibri" w:cs="Calibri"/>
          <w:bCs/>
          <w:color w:val="000000" w:themeColor="text1"/>
          <w:sz w:val="24"/>
        </w:rPr>
        <w:t>、估值计算中涉及</w:t>
      </w:r>
      <w:bookmarkStart w:id="353" w:name="_Hlk160521857"/>
      <w:r w:rsidRPr="00777BCD">
        <w:rPr>
          <w:rFonts w:ascii="Calibri" w:hAnsi="Calibri" w:cs="Calibri"/>
          <w:bCs/>
          <w:color w:val="000000" w:themeColor="text1"/>
          <w:sz w:val="24"/>
        </w:rPr>
        <w:t>港币对人民币汇率的，应当以估值日中国人民银行或其授权机构公布的人民币与港币的中间价为准</w:t>
      </w:r>
      <w:bookmarkEnd w:id="353"/>
      <w:r w:rsidRPr="00777BCD">
        <w:rPr>
          <w:rFonts w:ascii="Calibri" w:hAnsi="Calibri" w:cs="Calibri"/>
          <w:bCs/>
          <w:color w:val="000000" w:themeColor="text1"/>
          <w:sz w:val="24"/>
        </w:rPr>
        <w:t>。</w:t>
      </w:r>
    </w:p>
    <w:p w14:paraId="40A0A8E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10</w:t>
      </w:r>
      <w:r w:rsidRPr="00777BCD">
        <w:rPr>
          <w:rFonts w:ascii="Calibri" w:hAnsi="Calibri" w:cs="Calibri"/>
          <w:bCs/>
          <w:color w:val="000000" w:themeColor="text1"/>
          <w:sz w:val="24"/>
        </w:rPr>
        <w:t>、持有的银行定期存款或通知存款以本金列示，根据存款协议列示的利息总额或约定利率</w:t>
      </w:r>
      <w:proofErr w:type="gramStart"/>
      <w:r w:rsidRPr="00777BCD">
        <w:rPr>
          <w:rFonts w:ascii="Calibri" w:hAnsi="Calibri" w:cs="Calibri"/>
          <w:bCs/>
          <w:color w:val="000000" w:themeColor="text1"/>
          <w:sz w:val="24"/>
        </w:rPr>
        <w:t>每自然</w:t>
      </w:r>
      <w:proofErr w:type="gramEnd"/>
      <w:r w:rsidRPr="00777BCD">
        <w:rPr>
          <w:rFonts w:ascii="Calibri" w:hAnsi="Calibri" w:cs="Calibri"/>
          <w:bCs/>
          <w:color w:val="000000" w:themeColor="text1"/>
          <w:sz w:val="24"/>
        </w:rPr>
        <w:t>日计提利息。</w:t>
      </w:r>
    </w:p>
    <w:p w14:paraId="6E7CF1B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11</w:t>
      </w:r>
      <w:r w:rsidRPr="00777BCD">
        <w:rPr>
          <w:rFonts w:ascii="Calibri" w:hAnsi="Calibri" w:cs="Calibri"/>
          <w:bCs/>
          <w:color w:val="000000" w:themeColor="text1"/>
          <w:sz w:val="24"/>
        </w:rPr>
        <w:t>、股指期货合约以估值当日结算价进行估值，估值当日无结算价的，且最近交易日后经济环境未发生重大变化的，采用最近交易日结算价估值。</w:t>
      </w:r>
    </w:p>
    <w:p w14:paraId="4A522272" w14:textId="77777777" w:rsidR="007149DF" w:rsidRPr="00777BCD" w:rsidRDefault="00284640">
      <w:pPr>
        <w:ind w:firstLine="480"/>
        <w:rPr>
          <w:rFonts w:ascii="Calibri" w:hAnsi="Calibri" w:cs="Calibri"/>
          <w:bCs/>
          <w:color w:val="000000" w:themeColor="text1"/>
          <w:sz w:val="24"/>
        </w:rPr>
      </w:pPr>
      <w:bookmarkStart w:id="354" w:name="_Hlk160454398"/>
      <w:r w:rsidRPr="00777BCD">
        <w:rPr>
          <w:rFonts w:ascii="Calibri" w:hAnsi="Calibri" w:cs="Calibri"/>
          <w:bCs/>
          <w:color w:val="000000" w:themeColor="text1"/>
          <w:sz w:val="24"/>
        </w:rPr>
        <w:t>12</w:t>
      </w:r>
      <w:r w:rsidRPr="00777BCD">
        <w:rPr>
          <w:rFonts w:ascii="Calibri" w:hAnsi="Calibri" w:cs="Calibri"/>
          <w:bCs/>
          <w:color w:val="000000" w:themeColor="text1"/>
          <w:sz w:val="24"/>
        </w:rPr>
        <w:t>、本基金投资存托凭证的估值核算，依照境内上市交易的股票执行。</w:t>
      </w:r>
    </w:p>
    <w:p w14:paraId="4C0039F8" w14:textId="77777777" w:rsidR="007149DF" w:rsidRPr="00777BCD" w:rsidRDefault="00284640">
      <w:pPr>
        <w:ind w:firstLine="480"/>
        <w:rPr>
          <w:rFonts w:ascii="Calibri" w:hAnsi="Calibri" w:cs="Calibri"/>
          <w:bCs/>
          <w:color w:val="000000" w:themeColor="text1"/>
          <w:sz w:val="24"/>
        </w:rPr>
      </w:pPr>
      <w:bookmarkStart w:id="355" w:name="_Hlk161151494"/>
      <w:r w:rsidRPr="00777BCD">
        <w:rPr>
          <w:rFonts w:ascii="Calibri" w:hAnsi="Calibri" w:cs="Calibri"/>
          <w:bCs/>
          <w:color w:val="000000" w:themeColor="text1"/>
          <w:sz w:val="24"/>
        </w:rPr>
        <w:t>13</w:t>
      </w:r>
      <w:r w:rsidRPr="00777BCD">
        <w:rPr>
          <w:rFonts w:ascii="Calibri" w:hAnsi="Calibri" w:cs="Calibri"/>
          <w:bCs/>
          <w:color w:val="000000" w:themeColor="text1"/>
          <w:sz w:val="24"/>
        </w:rPr>
        <w:t>、本基金参与融资业务的，按照相关法律法规、监管部门和行业协会的相关规定进行估值。</w:t>
      </w:r>
    </w:p>
    <w:p w14:paraId="3FBCAEAB" w14:textId="4034E5C9"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14</w:t>
      </w:r>
      <w:r w:rsidRPr="00777BCD">
        <w:rPr>
          <w:rFonts w:ascii="Calibri" w:hAnsi="Calibri" w:cs="Calibri"/>
          <w:bCs/>
          <w:color w:val="000000" w:themeColor="text1"/>
          <w:sz w:val="24"/>
        </w:rPr>
        <w:t>、如有确凿证据表明按上述方法进行估值不能客观反映其公允价值的，基金管理人可根据具体情况与基金托管人商定后，按最能反映公允价值的价格估值。</w:t>
      </w:r>
    </w:p>
    <w:p w14:paraId="4485AC37" w14:textId="486039BE" w:rsidR="007149DF" w:rsidRPr="00777BCD" w:rsidRDefault="00284640">
      <w:pPr>
        <w:ind w:firstLine="480"/>
        <w:rPr>
          <w:rFonts w:ascii="Calibri" w:hAnsi="Calibri" w:cs="Calibri"/>
          <w:bCs/>
          <w:color w:val="000000" w:themeColor="text1"/>
          <w:sz w:val="24"/>
        </w:rPr>
      </w:pPr>
      <w:r w:rsidRPr="00CA1424">
        <w:rPr>
          <w:rFonts w:ascii="Calibri" w:hAnsi="Calibri" w:cs="Calibri"/>
          <w:bCs/>
          <w:color w:val="000000" w:themeColor="text1"/>
          <w:sz w:val="24"/>
        </w:rPr>
        <w:lastRenderedPageBreak/>
        <w:t>15</w:t>
      </w:r>
      <w:r w:rsidRPr="00777BCD">
        <w:rPr>
          <w:rFonts w:ascii="Calibri" w:hAnsi="Calibri" w:cs="Calibri"/>
          <w:bCs/>
          <w:color w:val="000000" w:themeColor="text1"/>
          <w:sz w:val="24"/>
        </w:rPr>
        <w:t>、当发生大额申购或赎回情形时，基金管理人可以采用摆动定价机制，以确保基金估值的公平性。</w:t>
      </w:r>
    </w:p>
    <w:p w14:paraId="572C8881" w14:textId="2E94132E"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16</w:t>
      </w:r>
      <w:r w:rsidRPr="00777BCD">
        <w:rPr>
          <w:rFonts w:ascii="Calibri" w:hAnsi="Calibri" w:cs="Calibri"/>
          <w:bCs/>
          <w:color w:val="000000" w:themeColor="text1"/>
          <w:sz w:val="24"/>
        </w:rPr>
        <w:t>、税收：对于按照中国法律法规和基金投资境内外股票市场交易互联互通机制涉及的境外交易场所所在地的法律法规规定应交纳的各项税金，本基金将按权责发生制原则进行估值；对于因税收规定调整或其他原因导致基金实际交纳税金与估算的应交税金有差异的，基金将在相关税金调整日或实际支付日进行相应的估值调整。</w:t>
      </w:r>
    </w:p>
    <w:p w14:paraId="627DA47D" w14:textId="01B0876F"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17</w:t>
      </w:r>
      <w:r w:rsidRPr="00777BCD">
        <w:rPr>
          <w:rFonts w:ascii="Calibri" w:hAnsi="Calibri" w:cs="Calibri"/>
          <w:bCs/>
          <w:color w:val="000000" w:themeColor="text1"/>
          <w:sz w:val="24"/>
        </w:rPr>
        <w:t>、相关法律法规以及监管部门有强制规定的，从其规定。如有新增事项，按国家最新规定估值。</w:t>
      </w:r>
    </w:p>
    <w:bookmarkEnd w:id="354"/>
    <w:p w14:paraId="091C314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如基金管理人或基金托管人发现基金估值违反基金合同订明的估值方法、程序及相关法律法规的规定或者未能充分维护基金份额持有人利益时，应立即通知对方，共同查明原因，双方协商解决。</w:t>
      </w:r>
    </w:p>
    <w:p w14:paraId="199AE016" w14:textId="77777777" w:rsidR="007149DF" w:rsidRPr="00777BCD" w:rsidRDefault="00284640">
      <w:pPr>
        <w:ind w:firstLine="480"/>
        <w:rPr>
          <w:rFonts w:ascii="Calibri" w:hAnsi="Calibri" w:cs="Calibri"/>
          <w:bCs/>
          <w:color w:val="000000" w:themeColor="text1"/>
          <w:sz w:val="24"/>
        </w:rPr>
      </w:pPr>
      <w:bookmarkStart w:id="356" w:name="_Hlk47894573"/>
      <w:bookmarkEnd w:id="355"/>
      <w:r w:rsidRPr="00777BCD">
        <w:rPr>
          <w:rFonts w:ascii="Calibri" w:hAnsi="Calibri" w:cs="Calibri"/>
          <w:bCs/>
          <w:color w:val="000000" w:themeColor="text1"/>
          <w:sz w:val="24"/>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基金管理人向基金托管人出具加盖公章的书面说明后，按照基金管理人对基金净值信息的计算结果对外予以公布。</w:t>
      </w:r>
      <w:bookmarkEnd w:id="351"/>
      <w:bookmarkEnd w:id="356"/>
    </w:p>
    <w:bookmarkEnd w:id="352"/>
    <w:p w14:paraId="6593726C" w14:textId="77777777" w:rsidR="007149DF" w:rsidRPr="00777BCD" w:rsidRDefault="007149DF">
      <w:pPr>
        <w:ind w:firstLine="480"/>
        <w:rPr>
          <w:rFonts w:ascii="Calibri" w:hAnsi="Calibri" w:cs="Calibri"/>
          <w:bCs/>
          <w:color w:val="000000" w:themeColor="text1"/>
          <w:sz w:val="24"/>
        </w:rPr>
      </w:pPr>
    </w:p>
    <w:p w14:paraId="64998F8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五、估值程序</w:t>
      </w:r>
    </w:p>
    <w:p w14:paraId="7224C06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w:t>
      </w:r>
      <w:bookmarkStart w:id="357" w:name="_Hlk47894552"/>
      <w:r w:rsidRPr="00777BCD">
        <w:rPr>
          <w:rFonts w:ascii="Calibri" w:hAnsi="Calibri" w:cs="Calibri"/>
          <w:bCs/>
          <w:color w:val="000000" w:themeColor="text1"/>
          <w:sz w:val="24"/>
        </w:rPr>
        <w:t>各类基金份额净值是按照每个估值日闭市后，各类基金资产净值除以当日该类基金份额的余额数量计算，均精确到</w:t>
      </w:r>
      <w:r w:rsidRPr="00777BCD">
        <w:rPr>
          <w:rFonts w:ascii="Calibri" w:hAnsi="Calibri" w:cs="Calibri"/>
          <w:bCs/>
          <w:color w:val="000000" w:themeColor="text1"/>
          <w:sz w:val="24"/>
        </w:rPr>
        <w:t>0.0001</w:t>
      </w:r>
      <w:r w:rsidRPr="00777BCD">
        <w:rPr>
          <w:rFonts w:ascii="Calibri" w:hAnsi="Calibri" w:cs="Calibri"/>
          <w:bCs/>
          <w:color w:val="000000" w:themeColor="text1"/>
          <w:sz w:val="24"/>
        </w:rPr>
        <w:t>元，小数点后第</w:t>
      </w:r>
      <w:r w:rsidRPr="00777BCD">
        <w:rPr>
          <w:rFonts w:ascii="Calibri" w:hAnsi="Calibri" w:cs="Calibri"/>
          <w:bCs/>
          <w:color w:val="000000" w:themeColor="text1"/>
          <w:sz w:val="24"/>
        </w:rPr>
        <w:t>5</w:t>
      </w:r>
      <w:r w:rsidRPr="00777BCD">
        <w:rPr>
          <w:rFonts w:ascii="Calibri" w:hAnsi="Calibri" w:cs="Calibri"/>
          <w:bCs/>
          <w:color w:val="000000" w:themeColor="text1"/>
          <w:sz w:val="24"/>
        </w:rPr>
        <w:t>位四舍五入，由此产生的误差计入基金财产。基金管理人可以设立大额赎回情形下的净值精度应急调整机制。国家另有规定的，从其规定。</w:t>
      </w:r>
      <w:bookmarkEnd w:id="357"/>
    </w:p>
    <w:p w14:paraId="06F71C3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基金管理人于每个估值日计算基金资产净值及各类基金份额净值，并按规定公告。</w:t>
      </w:r>
    </w:p>
    <w:p w14:paraId="5103601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w:t>
      </w:r>
      <w:bookmarkStart w:id="358" w:name="_Hlk47894560"/>
      <w:r w:rsidRPr="00777BCD">
        <w:rPr>
          <w:rFonts w:ascii="Calibri" w:hAnsi="Calibri" w:cs="Calibri"/>
          <w:bCs/>
          <w:color w:val="000000" w:themeColor="text1"/>
          <w:sz w:val="24"/>
        </w:rPr>
        <w:t>基金管理人</w:t>
      </w:r>
      <w:proofErr w:type="gramStart"/>
      <w:r w:rsidRPr="00777BCD">
        <w:rPr>
          <w:rFonts w:ascii="Calibri" w:hAnsi="Calibri" w:cs="Calibri"/>
          <w:bCs/>
          <w:color w:val="000000" w:themeColor="text1"/>
          <w:sz w:val="24"/>
        </w:rPr>
        <w:t>应每个</w:t>
      </w:r>
      <w:proofErr w:type="gramEnd"/>
      <w:r w:rsidRPr="00777BCD">
        <w:rPr>
          <w:rFonts w:ascii="Calibri" w:hAnsi="Calibri" w:cs="Calibri"/>
          <w:bCs/>
          <w:color w:val="000000" w:themeColor="text1"/>
          <w:sz w:val="24"/>
        </w:rPr>
        <w:t>估值日对基金资产估值。但基金管理人根据法律法规或本基金合同的规定暂停估值时除外。</w:t>
      </w:r>
      <w:bookmarkEnd w:id="358"/>
      <w:r w:rsidRPr="00777BCD">
        <w:rPr>
          <w:rFonts w:ascii="Calibri" w:hAnsi="Calibri" w:cs="Calibri"/>
          <w:bCs/>
          <w:color w:val="000000" w:themeColor="text1"/>
          <w:sz w:val="24"/>
        </w:rPr>
        <w:t>基金管理人每个估值日对基金资产估值后，将各类基金份额净值结果发送基金托管人，经基金托管人复核无误后，由基金管理人按规定对外公布。</w:t>
      </w:r>
    </w:p>
    <w:p w14:paraId="098A764D" w14:textId="77777777" w:rsidR="007149DF" w:rsidRPr="00777BCD" w:rsidRDefault="007149DF">
      <w:pPr>
        <w:ind w:firstLine="480"/>
        <w:rPr>
          <w:rFonts w:ascii="Calibri" w:hAnsi="Calibri" w:cs="Calibri"/>
          <w:bCs/>
          <w:color w:val="000000" w:themeColor="text1"/>
          <w:sz w:val="24"/>
        </w:rPr>
      </w:pPr>
    </w:p>
    <w:p w14:paraId="1FE92BE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六、估值错误的处理</w:t>
      </w:r>
    </w:p>
    <w:p w14:paraId="4F473FF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基金管理人和基金托管人将采取必要、适当、合理的措施确保基金资产估值的准确性、及时性。当任一类基金份额净值小数点后</w:t>
      </w:r>
      <w:r w:rsidRPr="00777BCD">
        <w:rPr>
          <w:rFonts w:ascii="Calibri" w:hAnsi="Calibri" w:cs="Calibri"/>
          <w:bCs/>
          <w:color w:val="000000" w:themeColor="text1"/>
          <w:sz w:val="24"/>
        </w:rPr>
        <w:t>4</w:t>
      </w:r>
      <w:r w:rsidRPr="00777BCD">
        <w:rPr>
          <w:rFonts w:ascii="Calibri" w:hAnsi="Calibri" w:cs="Calibri"/>
          <w:bCs/>
          <w:color w:val="000000" w:themeColor="text1"/>
          <w:sz w:val="24"/>
        </w:rPr>
        <w:t>位以内</w:t>
      </w:r>
      <w:r w:rsidRPr="00777BCD">
        <w:rPr>
          <w:rFonts w:ascii="Calibri" w:hAnsi="Calibri" w:cs="Calibri"/>
          <w:bCs/>
          <w:color w:val="000000" w:themeColor="text1"/>
          <w:sz w:val="24"/>
        </w:rPr>
        <w:t>(</w:t>
      </w:r>
      <w:r w:rsidRPr="00777BCD">
        <w:rPr>
          <w:rFonts w:ascii="Calibri" w:hAnsi="Calibri" w:cs="Calibri"/>
          <w:bCs/>
          <w:color w:val="000000" w:themeColor="text1"/>
          <w:sz w:val="24"/>
        </w:rPr>
        <w:t>含第</w:t>
      </w:r>
      <w:r w:rsidRPr="00777BCD">
        <w:rPr>
          <w:rFonts w:ascii="Calibri" w:hAnsi="Calibri" w:cs="Calibri"/>
          <w:bCs/>
          <w:color w:val="000000" w:themeColor="text1"/>
          <w:sz w:val="24"/>
        </w:rPr>
        <w:t>4</w:t>
      </w:r>
      <w:r w:rsidRPr="00777BCD">
        <w:rPr>
          <w:rFonts w:ascii="Calibri" w:hAnsi="Calibri" w:cs="Calibri"/>
          <w:bCs/>
          <w:color w:val="000000" w:themeColor="text1"/>
          <w:sz w:val="24"/>
        </w:rPr>
        <w:t>位</w:t>
      </w:r>
      <w:r w:rsidRPr="00777BCD">
        <w:rPr>
          <w:rFonts w:ascii="Calibri" w:hAnsi="Calibri" w:cs="Calibri"/>
          <w:bCs/>
          <w:color w:val="000000" w:themeColor="text1"/>
          <w:sz w:val="24"/>
        </w:rPr>
        <w:t>)</w:t>
      </w:r>
      <w:r w:rsidRPr="00777BCD">
        <w:rPr>
          <w:rFonts w:ascii="Calibri" w:hAnsi="Calibri" w:cs="Calibri"/>
          <w:bCs/>
          <w:color w:val="000000" w:themeColor="text1"/>
          <w:sz w:val="24"/>
        </w:rPr>
        <w:t>发生估值错误时，视为该类基金份额净值错误。</w:t>
      </w:r>
    </w:p>
    <w:p w14:paraId="7B6F011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本基金合同的当事人应按照以下约定处理：</w:t>
      </w:r>
    </w:p>
    <w:p w14:paraId="6C8A897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、估值错误类型</w:t>
      </w:r>
    </w:p>
    <w:p w14:paraId="19C811C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本基金运作过程中，如果由于基金管理人或基金托管人、或登记机构、或销售机构、或投资人自身的过错造成估值错误，导致其他当事人遭受损失的，过错的责任人应当对由于该估值错误遭受损失当事人</w:t>
      </w:r>
      <w:r w:rsidRPr="00777BCD">
        <w:rPr>
          <w:rFonts w:ascii="Calibri" w:hAnsi="Calibri" w:cs="Calibri"/>
          <w:bCs/>
          <w:color w:val="000000" w:themeColor="text1"/>
          <w:sz w:val="24"/>
        </w:rPr>
        <w:t>(“</w:t>
      </w:r>
      <w:r w:rsidRPr="00777BCD">
        <w:rPr>
          <w:rFonts w:ascii="Calibri" w:hAnsi="Calibri" w:cs="Calibri"/>
          <w:bCs/>
          <w:color w:val="000000" w:themeColor="text1"/>
          <w:sz w:val="24"/>
        </w:rPr>
        <w:t>受损方</w:t>
      </w:r>
      <w:r w:rsidRPr="00777BCD">
        <w:rPr>
          <w:rFonts w:ascii="Calibri" w:hAnsi="Calibri" w:cs="Calibri"/>
          <w:bCs/>
          <w:color w:val="000000" w:themeColor="text1"/>
          <w:sz w:val="24"/>
        </w:rPr>
        <w:t>”)</w:t>
      </w:r>
      <w:r w:rsidRPr="00777BCD">
        <w:rPr>
          <w:rFonts w:ascii="Calibri" w:hAnsi="Calibri" w:cs="Calibri"/>
          <w:bCs/>
          <w:color w:val="000000" w:themeColor="text1"/>
          <w:sz w:val="24"/>
        </w:rPr>
        <w:t>的直接经济损失按下述</w:t>
      </w:r>
      <w:r w:rsidRPr="00777BCD">
        <w:rPr>
          <w:rFonts w:ascii="Calibri" w:hAnsi="Calibri" w:cs="Calibri"/>
          <w:bCs/>
          <w:color w:val="000000" w:themeColor="text1"/>
          <w:sz w:val="24"/>
        </w:rPr>
        <w:t>“</w:t>
      </w:r>
      <w:r w:rsidRPr="00777BCD">
        <w:rPr>
          <w:rFonts w:ascii="Calibri" w:hAnsi="Calibri" w:cs="Calibri"/>
          <w:bCs/>
          <w:color w:val="000000" w:themeColor="text1"/>
          <w:sz w:val="24"/>
        </w:rPr>
        <w:t>估值错误处理原则</w:t>
      </w:r>
      <w:r w:rsidRPr="00777BCD">
        <w:rPr>
          <w:rFonts w:ascii="Calibri" w:hAnsi="Calibri" w:cs="Calibri"/>
          <w:bCs/>
          <w:color w:val="000000" w:themeColor="text1"/>
          <w:sz w:val="24"/>
        </w:rPr>
        <w:t>”</w:t>
      </w:r>
      <w:r w:rsidRPr="00777BCD">
        <w:rPr>
          <w:rFonts w:ascii="Calibri" w:hAnsi="Calibri" w:cs="Calibri"/>
          <w:bCs/>
          <w:color w:val="000000" w:themeColor="text1"/>
          <w:sz w:val="24"/>
        </w:rPr>
        <w:t>给予赔偿，承担赔偿责任。</w:t>
      </w:r>
    </w:p>
    <w:p w14:paraId="2B5E51F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上述估值错误的主要类型包括但不限于：资料申报差错、数据传输差错、数据计算差错、系统故障差错、下达指令差错等。</w:t>
      </w:r>
    </w:p>
    <w:p w14:paraId="5C7B285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、估值错误处理原则</w:t>
      </w:r>
    </w:p>
    <w:p w14:paraId="7BC6EFC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w:t>
      </w:r>
      <w:r w:rsidRPr="00777BCD">
        <w:rPr>
          <w:rFonts w:ascii="Calibri" w:hAnsi="Calibri" w:cs="Calibri"/>
          <w:bCs/>
          <w:color w:val="000000" w:themeColor="text1"/>
          <w:sz w:val="24"/>
        </w:rPr>
        <w:t>）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14:paraId="19EADB7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2</w:t>
      </w:r>
      <w:r w:rsidRPr="00777BCD">
        <w:rPr>
          <w:rFonts w:ascii="Calibri" w:hAnsi="Calibri" w:cs="Calibri"/>
          <w:bCs/>
          <w:color w:val="000000" w:themeColor="text1"/>
          <w:sz w:val="24"/>
        </w:rPr>
        <w:t>）估值错误的责任方对有关当事人的直接损失负责，不对间接损失负责，并且仅对估值错误的有关直接当事人负责，不对第三方负责。</w:t>
      </w:r>
    </w:p>
    <w:p w14:paraId="61F293C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3</w:t>
      </w:r>
      <w:r w:rsidRPr="00777BCD">
        <w:rPr>
          <w:rFonts w:ascii="Calibri" w:hAnsi="Calibri" w:cs="Calibri"/>
          <w:bCs/>
          <w:color w:val="000000" w:themeColor="text1"/>
          <w:sz w:val="24"/>
        </w:rPr>
        <w:t>）因估值错误而获得不当得利的当事人负有及时返还不当得利的义务。但估值错误责任方仍应对估值错误负责。如果由于获得不当得利的当事人</w:t>
      </w:r>
      <w:proofErr w:type="gramStart"/>
      <w:r w:rsidRPr="00777BCD">
        <w:rPr>
          <w:rFonts w:ascii="Calibri" w:hAnsi="Calibri" w:cs="Calibri"/>
          <w:bCs/>
          <w:color w:val="000000" w:themeColor="text1"/>
          <w:sz w:val="24"/>
        </w:rPr>
        <w:t>不</w:t>
      </w:r>
      <w:proofErr w:type="gramEnd"/>
      <w:r w:rsidRPr="00777BCD">
        <w:rPr>
          <w:rFonts w:ascii="Calibri" w:hAnsi="Calibri" w:cs="Calibri"/>
          <w:bCs/>
          <w:color w:val="000000" w:themeColor="text1"/>
          <w:sz w:val="24"/>
        </w:rPr>
        <w:t>返还或不全部返还不当得利造成其他当事人的利益损失</w:t>
      </w:r>
      <w:r w:rsidRPr="00777BCD">
        <w:rPr>
          <w:rFonts w:ascii="Calibri" w:hAnsi="Calibri" w:cs="Calibri"/>
          <w:bCs/>
          <w:color w:val="000000" w:themeColor="text1"/>
          <w:sz w:val="24"/>
        </w:rPr>
        <w:t>(“</w:t>
      </w:r>
      <w:r w:rsidRPr="00777BCD">
        <w:rPr>
          <w:rFonts w:ascii="Calibri" w:hAnsi="Calibri" w:cs="Calibri"/>
          <w:bCs/>
          <w:color w:val="000000" w:themeColor="text1"/>
          <w:sz w:val="24"/>
        </w:rPr>
        <w:t>受损方</w:t>
      </w:r>
      <w:r w:rsidRPr="00777BCD">
        <w:rPr>
          <w:rFonts w:ascii="Calibri" w:hAnsi="Calibri" w:cs="Calibri"/>
          <w:bCs/>
          <w:color w:val="000000" w:themeColor="text1"/>
          <w:sz w:val="24"/>
        </w:rPr>
        <w:t>”)</w:t>
      </w:r>
      <w:r w:rsidRPr="00777BCD">
        <w:rPr>
          <w:rFonts w:ascii="Calibri" w:hAnsi="Calibri" w:cs="Calibri"/>
          <w:bCs/>
          <w:color w:val="000000" w:themeColor="text1"/>
          <w:sz w:val="24"/>
        </w:rPr>
        <w:t>，则估值错误责任方应赔偿受损方的损失，并在其支付的赔偿金额的范围内对获得不当得利的当事人享有要求交付不当得利的权利；如果获得不当得利的当事人已经将此部</w:t>
      </w:r>
      <w:r w:rsidRPr="00777BCD">
        <w:rPr>
          <w:rFonts w:ascii="Calibri" w:hAnsi="Calibri" w:cs="Calibri"/>
          <w:bCs/>
          <w:color w:val="000000" w:themeColor="text1"/>
          <w:sz w:val="24"/>
        </w:rPr>
        <w:lastRenderedPageBreak/>
        <w:t>分不当得利返还给受损方，则受损方应当将其已经获得的赔偿额加上已经获得的不当得利返还的总和超过其实际损失的差额部分支付给估值错误责任方。</w:t>
      </w:r>
    </w:p>
    <w:p w14:paraId="08F1C5EE" w14:textId="07B47EB2"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4</w:t>
      </w:r>
      <w:r w:rsidRPr="00777BCD">
        <w:rPr>
          <w:rFonts w:ascii="Calibri" w:hAnsi="Calibri" w:cs="Calibri"/>
          <w:bCs/>
          <w:color w:val="000000" w:themeColor="text1"/>
          <w:sz w:val="24"/>
        </w:rPr>
        <w:t>）估值错误调整采用尽量恢复至假设未发生估值错误的正确情形的方式。</w:t>
      </w:r>
    </w:p>
    <w:p w14:paraId="3E42E9E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、估值错误处理程序</w:t>
      </w:r>
    </w:p>
    <w:p w14:paraId="2814A78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估值错误被发现后，有关的当事人应当及时进行处理，处理的程序如下：</w:t>
      </w:r>
    </w:p>
    <w:p w14:paraId="3B6BA0A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w:t>
      </w:r>
      <w:r w:rsidRPr="00777BCD">
        <w:rPr>
          <w:rFonts w:ascii="Calibri" w:hAnsi="Calibri" w:cs="Calibri"/>
          <w:bCs/>
          <w:color w:val="000000" w:themeColor="text1"/>
          <w:sz w:val="24"/>
        </w:rPr>
        <w:t>）查明估值错误发生的原因，列明所有的当事人，并根据估值错误发生的原因确定估值错误的责任方；</w:t>
      </w:r>
    </w:p>
    <w:p w14:paraId="2AFE68B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2</w:t>
      </w:r>
      <w:r w:rsidRPr="00777BCD">
        <w:rPr>
          <w:rFonts w:ascii="Calibri" w:hAnsi="Calibri" w:cs="Calibri"/>
          <w:bCs/>
          <w:color w:val="000000" w:themeColor="text1"/>
          <w:sz w:val="24"/>
        </w:rPr>
        <w:t>）根据估值错误处理原则或当事人协商的方法对因估值错误造成的损失进行评估；</w:t>
      </w:r>
    </w:p>
    <w:p w14:paraId="7D0392E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3</w:t>
      </w:r>
      <w:r w:rsidRPr="00777BCD">
        <w:rPr>
          <w:rFonts w:ascii="Calibri" w:hAnsi="Calibri" w:cs="Calibri"/>
          <w:bCs/>
          <w:color w:val="000000" w:themeColor="text1"/>
          <w:sz w:val="24"/>
        </w:rPr>
        <w:t>）根据估值错误处理原则或当事人协商的方法由估值错误的责任方进行更正和赔偿损失；</w:t>
      </w:r>
    </w:p>
    <w:p w14:paraId="0D27E67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4</w:t>
      </w:r>
      <w:r w:rsidRPr="00777BCD">
        <w:rPr>
          <w:rFonts w:ascii="Calibri" w:hAnsi="Calibri" w:cs="Calibri"/>
          <w:bCs/>
          <w:color w:val="000000" w:themeColor="text1"/>
          <w:sz w:val="24"/>
        </w:rPr>
        <w:t>）根据估值错误处理的方法，需要修改基金登记机构交易数据的，由基金登记机构进行更正，并就估值错误的更正向有关当事人进行确认。</w:t>
      </w:r>
    </w:p>
    <w:p w14:paraId="4EC1136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、基金估值错误处理的方法如下：</w:t>
      </w:r>
    </w:p>
    <w:p w14:paraId="6012751D" w14:textId="603E1D8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w:t>
      </w:r>
      <w:r w:rsidRPr="00777BCD">
        <w:rPr>
          <w:rFonts w:ascii="Calibri" w:hAnsi="Calibri" w:cs="Calibri"/>
          <w:bCs/>
          <w:color w:val="000000" w:themeColor="text1"/>
          <w:sz w:val="24"/>
        </w:rPr>
        <w:t>）</w:t>
      </w:r>
      <w:r w:rsidR="00B409AE" w:rsidRPr="00777BCD">
        <w:rPr>
          <w:rFonts w:ascii="Calibri" w:hAnsi="Calibri" w:cs="Calibri"/>
          <w:bCs/>
          <w:color w:val="000000" w:themeColor="text1"/>
          <w:sz w:val="24"/>
        </w:rPr>
        <w:t>任一类</w:t>
      </w:r>
      <w:r w:rsidRPr="00777BCD">
        <w:rPr>
          <w:rFonts w:ascii="Calibri" w:hAnsi="Calibri" w:cs="Calibri"/>
          <w:bCs/>
          <w:color w:val="000000" w:themeColor="text1"/>
          <w:sz w:val="24"/>
        </w:rPr>
        <w:t>基金份额净值出现错误时，基金管理人应当立即予以纠正，通报基金托管人，并采取合理的措施防止损失进一步扩大。</w:t>
      </w:r>
    </w:p>
    <w:p w14:paraId="3F23CEC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2</w:t>
      </w:r>
      <w:r w:rsidRPr="00777BCD">
        <w:rPr>
          <w:rFonts w:ascii="Calibri" w:hAnsi="Calibri" w:cs="Calibri"/>
          <w:bCs/>
          <w:color w:val="000000" w:themeColor="text1"/>
          <w:sz w:val="24"/>
        </w:rPr>
        <w:t>）错误偏差达到该类基金份额净值的</w:t>
      </w:r>
      <w:r w:rsidRPr="00777BCD">
        <w:rPr>
          <w:rFonts w:ascii="Calibri" w:hAnsi="Calibri" w:cs="Calibri"/>
          <w:bCs/>
          <w:color w:val="000000" w:themeColor="text1"/>
          <w:sz w:val="24"/>
        </w:rPr>
        <w:t>0.25%</w:t>
      </w:r>
      <w:r w:rsidRPr="00777BCD">
        <w:rPr>
          <w:rFonts w:ascii="Calibri" w:hAnsi="Calibri" w:cs="Calibri"/>
          <w:bCs/>
          <w:color w:val="000000" w:themeColor="text1"/>
          <w:sz w:val="24"/>
        </w:rPr>
        <w:t>时，基金管理人应当通报基金托管人并报中国证监会备案；错误偏差达到该类基金份额净值的</w:t>
      </w:r>
      <w:r w:rsidRPr="00777BCD">
        <w:rPr>
          <w:rFonts w:ascii="Calibri" w:hAnsi="Calibri" w:cs="Calibri"/>
          <w:bCs/>
          <w:color w:val="000000" w:themeColor="text1"/>
          <w:sz w:val="24"/>
        </w:rPr>
        <w:t>0.5%</w:t>
      </w:r>
      <w:r w:rsidRPr="00777BCD">
        <w:rPr>
          <w:rFonts w:ascii="Calibri" w:hAnsi="Calibri" w:cs="Calibri"/>
          <w:bCs/>
          <w:color w:val="000000" w:themeColor="text1"/>
          <w:sz w:val="24"/>
        </w:rPr>
        <w:t>时，基金管理人应当公告，并报中国证监会备案。</w:t>
      </w:r>
    </w:p>
    <w:p w14:paraId="5BC14C36"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3</w:t>
      </w:r>
      <w:r w:rsidRPr="00777BCD">
        <w:rPr>
          <w:rFonts w:ascii="Calibri" w:hAnsi="Calibri" w:cs="Calibri"/>
          <w:bCs/>
          <w:color w:val="000000" w:themeColor="text1"/>
          <w:sz w:val="24"/>
        </w:rPr>
        <w:t>）前述内容如法律法规或监管机关另有规定的，从其规定处理。</w:t>
      </w:r>
      <w:r w:rsidRPr="00777BCD">
        <w:rPr>
          <w:rFonts w:ascii="Calibri" w:hAnsi="Calibri" w:cs="Calibri"/>
          <w:bCs/>
          <w:sz w:val="24"/>
        </w:rPr>
        <w:t>如果行业另有通行做法，基金管理人、基金托管人应本着平等和保护基金份额持有人利益的原则进行协商。</w:t>
      </w:r>
    </w:p>
    <w:p w14:paraId="2195A73C" w14:textId="77777777" w:rsidR="007149DF" w:rsidRPr="00777BCD" w:rsidRDefault="007149DF">
      <w:pPr>
        <w:ind w:firstLine="480"/>
        <w:rPr>
          <w:rFonts w:ascii="Calibri" w:hAnsi="Calibri" w:cs="Calibri"/>
          <w:bCs/>
          <w:color w:val="000000" w:themeColor="text1"/>
          <w:sz w:val="24"/>
        </w:rPr>
      </w:pPr>
    </w:p>
    <w:p w14:paraId="053D66B1" w14:textId="77777777" w:rsidR="007149DF" w:rsidRPr="00777BCD" w:rsidRDefault="00284640">
      <w:pPr>
        <w:ind w:firstLine="480"/>
        <w:rPr>
          <w:rFonts w:ascii="Calibri" w:hAnsi="Calibri" w:cs="Calibri"/>
          <w:bCs/>
          <w:color w:val="000000" w:themeColor="text1"/>
          <w:sz w:val="24"/>
        </w:rPr>
      </w:pPr>
      <w:bookmarkStart w:id="359" w:name="_Hlk47894829"/>
      <w:r w:rsidRPr="00777BCD">
        <w:rPr>
          <w:rFonts w:ascii="Calibri" w:hAnsi="Calibri" w:cs="Calibri"/>
          <w:bCs/>
          <w:color w:val="000000" w:themeColor="text1"/>
          <w:sz w:val="24"/>
        </w:rPr>
        <w:t>七、暂停估值的情形</w:t>
      </w:r>
    </w:p>
    <w:p w14:paraId="1F99492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、基金投资所涉及的证券</w:t>
      </w:r>
      <w:r w:rsidRPr="00777BCD">
        <w:rPr>
          <w:rFonts w:ascii="Calibri" w:hAnsi="Calibri" w:cs="Calibri"/>
          <w:color w:val="000000" w:themeColor="text1"/>
          <w:sz w:val="24"/>
        </w:rPr>
        <w:t>、期货</w:t>
      </w:r>
      <w:r w:rsidRPr="00777BCD">
        <w:rPr>
          <w:rFonts w:ascii="Calibri" w:hAnsi="Calibri" w:cs="Calibri"/>
          <w:bCs/>
          <w:color w:val="000000" w:themeColor="text1"/>
          <w:sz w:val="24"/>
        </w:rPr>
        <w:t>交易市场或外汇市场遇法定节假日或因其他原因暂停营业时；</w:t>
      </w:r>
    </w:p>
    <w:p w14:paraId="56972CA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、因不可抗力致使基金管理人、基金托管人无法准确评估基金资产价值时；</w:t>
      </w:r>
    </w:p>
    <w:p w14:paraId="0098452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3</w:t>
      </w:r>
      <w:r w:rsidRPr="00777BCD">
        <w:rPr>
          <w:rFonts w:ascii="Calibri" w:hAnsi="Calibri" w:cs="Calibri"/>
          <w:bCs/>
          <w:color w:val="000000" w:themeColor="text1"/>
          <w:sz w:val="24"/>
        </w:rPr>
        <w:t>、当特定资产占前一估值日基金资产净值</w:t>
      </w:r>
      <w:r w:rsidRPr="00777BCD">
        <w:rPr>
          <w:rFonts w:ascii="Calibri" w:hAnsi="Calibri" w:cs="Calibri"/>
          <w:bCs/>
          <w:color w:val="000000" w:themeColor="text1"/>
          <w:sz w:val="24"/>
        </w:rPr>
        <w:t>50%</w:t>
      </w:r>
      <w:r w:rsidRPr="00777BCD">
        <w:rPr>
          <w:rFonts w:ascii="Calibri" w:hAnsi="Calibri" w:cs="Calibri"/>
          <w:bCs/>
          <w:color w:val="000000" w:themeColor="text1"/>
          <w:sz w:val="24"/>
        </w:rPr>
        <w:t>以上的，经与基金托管人协商确认后，基金管理人应当暂停估值；</w:t>
      </w:r>
    </w:p>
    <w:p w14:paraId="6CA1BE2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、法律法规规定、中国证监会和基金合同认定的其它情形。</w:t>
      </w:r>
      <w:bookmarkEnd w:id="359"/>
    </w:p>
    <w:p w14:paraId="14081DCF" w14:textId="77777777" w:rsidR="007149DF" w:rsidRPr="00777BCD" w:rsidRDefault="007149DF">
      <w:pPr>
        <w:ind w:firstLine="480"/>
        <w:rPr>
          <w:rFonts w:ascii="Calibri" w:hAnsi="Calibri" w:cs="Calibri"/>
          <w:bCs/>
          <w:color w:val="000000" w:themeColor="text1"/>
          <w:sz w:val="24"/>
        </w:rPr>
      </w:pPr>
    </w:p>
    <w:p w14:paraId="166C4C2B" w14:textId="77777777" w:rsidR="007149DF" w:rsidRPr="00777BCD" w:rsidRDefault="00284640">
      <w:pPr>
        <w:ind w:firstLine="480"/>
        <w:rPr>
          <w:rFonts w:ascii="Calibri" w:hAnsi="Calibri" w:cs="Calibri"/>
          <w:bCs/>
          <w:color w:val="000000" w:themeColor="text1"/>
          <w:sz w:val="24"/>
        </w:rPr>
      </w:pPr>
      <w:bookmarkStart w:id="360" w:name="_Hlk47894750"/>
      <w:r w:rsidRPr="00777BCD">
        <w:rPr>
          <w:rFonts w:ascii="Calibri" w:hAnsi="Calibri" w:cs="Calibri"/>
          <w:bCs/>
          <w:color w:val="000000" w:themeColor="text1"/>
          <w:sz w:val="24"/>
        </w:rPr>
        <w:t>八、基金净值的确认</w:t>
      </w:r>
    </w:p>
    <w:p w14:paraId="53B2C96A" w14:textId="77777777" w:rsidR="007149DF" w:rsidRPr="00777BCD" w:rsidRDefault="00284640">
      <w:pPr>
        <w:ind w:firstLine="480"/>
        <w:rPr>
          <w:rFonts w:ascii="Calibri" w:hAnsi="Calibri" w:cs="Calibri"/>
          <w:bCs/>
          <w:color w:val="000000" w:themeColor="text1"/>
          <w:sz w:val="24"/>
        </w:rPr>
      </w:pPr>
      <w:bookmarkStart w:id="361" w:name="_Hlk47894583"/>
      <w:r w:rsidRPr="00777BCD">
        <w:rPr>
          <w:rFonts w:ascii="Calibri" w:hAnsi="Calibri" w:cs="Calibri"/>
          <w:bCs/>
          <w:color w:val="000000" w:themeColor="text1"/>
          <w:sz w:val="24"/>
        </w:rPr>
        <w:t>基金资产净值和各类基金份额净值由基金管理人负责计算，基金托管人负责进行复核。基金管理人应于每个估值日交易结束后计算当日的基金资产净值和各类基金份额净值并发送给基金托管人。基金托管人对净值计算结果复核确认后发送给基金管理人，由基金管理人按规定对基金净值信息予以公布。</w:t>
      </w:r>
      <w:bookmarkEnd w:id="361"/>
    </w:p>
    <w:p w14:paraId="0CE5BF67" w14:textId="77777777" w:rsidR="007149DF" w:rsidRPr="00777BCD" w:rsidRDefault="007149DF">
      <w:pPr>
        <w:ind w:firstLine="480"/>
        <w:rPr>
          <w:rFonts w:ascii="Calibri" w:hAnsi="Calibri" w:cs="Calibri"/>
          <w:bCs/>
          <w:color w:val="000000" w:themeColor="text1"/>
          <w:sz w:val="24"/>
        </w:rPr>
      </w:pPr>
    </w:p>
    <w:p w14:paraId="64EC885D" w14:textId="77777777" w:rsidR="007149DF" w:rsidRPr="00777BCD" w:rsidRDefault="00284640">
      <w:pPr>
        <w:ind w:firstLine="480"/>
        <w:rPr>
          <w:rFonts w:ascii="Calibri" w:hAnsi="Calibri" w:cs="Calibri"/>
          <w:bCs/>
          <w:color w:val="000000" w:themeColor="text1"/>
          <w:sz w:val="24"/>
        </w:rPr>
      </w:pPr>
      <w:bookmarkStart w:id="362" w:name="_Hlk47894742"/>
      <w:bookmarkEnd w:id="360"/>
      <w:r w:rsidRPr="00777BCD">
        <w:rPr>
          <w:rFonts w:ascii="Calibri" w:hAnsi="Calibri" w:cs="Calibri"/>
          <w:bCs/>
          <w:color w:val="000000" w:themeColor="text1"/>
          <w:sz w:val="24"/>
        </w:rPr>
        <w:t>九、特殊情况的处理</w:t>
      </w:r>
    </w:p>
    <w:p w14:paraId="61384F98" w14:textId="2E8D5DDD" w:rsidR="007149DF" w:rsidRPr="00777BCD" w:rsidRDefault="00284640">
      <w:pPr>
        <w:ind w:firstLine="480"/>
        <w:rPr>
          <w:rFonts w:ascii="Calibri" w:hAnsi="Calibri" w:cs="Calibri"/>
          <w:color w:val="000000" w:themeColor="text1"/>
          <w:sz w:val="24"/>
        </w:rPr>
      </w:pPr>
      <w:r w:rsidRPr="00777BCD">
        <w:rPr>
          <w:rFonts w:ascii="Calibri" w:hAnsi="Calibri" w:cs="Calibri"/>
          <w:color w:val="000000" w:themeColor="text1"/>
          <w:sz w:val="24"/>
        </w:rPr>
        <w:t>1</w:t>
      </w:r>
      <w:r w:rsidRPr="00777BCD">
        <w:rPr>
          <w:rFonts w:ascii="Calibri" w:hAnsi="Calibri" w:cs="Calibri"/>
          <w:color w:val="000000" w:themeColor="text1"/>
          <w:sz w:val="24"/>
        </w:rPr>
        <w:t>、基金管理人</w:t>
      </w:r>
      <w:r w:rsidRPr="00777BCD">
        <w:rPr>
          <w:rFonts w:ascii="Calibri" w:hAnsi="Calibri" w:cs="Calibri"/>
          <w:bCs/>
          <w:color w:val="000000" w:themeColor="text1"/>
          <w:sz w:val="24"/>
        </w:rPr>
        <w:t>、</w:t>
      </w:r>
      <w:r w:rsidRPr="00777BCD">
        <w:rPr>
          <w:rFonts w:ascii="Calibri" w:hAnsi="Calibri" w:cs="Calibri"/>
          <w:color w:val="000000" w:themeColor="text1"/>
          <w:sz w:val="24"/>
        </w:rPr>
        <w:t>基金托管人按估值方法的第</w:t>
      </w:r>
      <w:r w:rsidR="006C7552" w:rsidRPr="00777BCD">
        <w:rPr>
          <w:rFonts w:ascii="Calibri" w:hAnsi="Calibri" w:cs="Calibri"/>
          <w:color w:val="000000" w:themeColor="text1"/>
          <w:sz w:val="24"/>
        </w:rPr>
        <w:t>14</w:t>
      </w:r>
      <w:r w:rsidRPr="00777BCD">
        <w:rPr>
          <w:rFonts w:ascii="Calibri" w:hAnsi="Calibri" w:cs="Calibri"/>
          <w:color w:val="000000" w:themeColor="text1"/>
          <w:sz w:val="24"/>
        </w:rPr>
        <w:t>项进行估值时，所造成的误差不作为基金</w:t>
      </w:r>
      <w:r w:rsidRPr="00777BCD">
        <w:rPr>
          <w:rFonts w:ascii="Calibri" w:hAnsi="Calibri" w:cs="Calibri"/>
          <w:bCs/>
          <w:color w:val="000000" w:themeColor="text1"/>
          <w:sz w:val="24"/>
        </w:rPr>
        <w:t>资产估值</w:t>
      </w:r>
      <w:r w:rsidRPr="00777BCD">
        <w:rPr>
          <w:rFonts w:ascii="Calibri" w:hAnsi="Calibri" w:cs="Calibri"/>
          <w:color w:val="000000" w:themeColor="text1"/>
          <w:sz w:val="24"/>
        </w:rPr>
        <w:t>错误处理</w:t>
      </w:r>
      <w:r w:rsidRPr="00777BCD">
        <w:rPr>
          <w:rFonts w:ascii="Calibri" w:hAnsi="Calibri" w:cs="Calibri"/>
          <w:bCs/>
          <w:color w:val="000000" w:themeColor="text1"/>
          <w:sz w:val="24"/>
        </w:rPr>
        <w:t>。</w:t>
      </w:r>
    </w:p>
    <w:p w14:paraId="48526511" w14:textId="77777777" w:rsidR="007149DF" w:rsidRPr="00777BCD" w:rsidRDefault="00284640">
      <w:pPr>
        <w:ind w:firstLine="480"/>
        <w:rPr>
          <w:rFonts w:ascii="Calibri" w:hAnsi="Calibri" w:cs="Calibri"/>
          <w:color w:val="000000" w:themeColor="text1"/>
          <w:sz w:val="24"/>
        </w:rPr>
      </w:pPr>
      <w:r w:rsidRPr="00777BCD">
        <w:rPr>
          <w:rFonts w:ascii="Calibri" w:hAnsi="Calibri" w:cs="Calibri"/>
          <w:color w:val="000000" w:themeColor="text1"/>
          <w:sz w:val="24"/>
        </w:rPr>
        <w:t>2</w:t>
      </w:r>
      <w:r w:rsidRPr="00777BCD">
        <w:rPr>
          <w:rFonts w:ascii="Calibri" w:hAnsi="Calibri" w:cs="Calibri"/>
          <w:color w:val="000000" w:themeColor="text1"/>
          <w:sz w:val="24"/>
        </w:rPr>
        <w:t>、</w:t>
      </w:r>
      <w:bookmarkEnd w:id="362"/>
      <w:r w:rsidRPr="00777BCD">
        <w:rPr>
          <w:rFonts w:ascii="Calibri" w:hAnsi="Calibri" w:cs="Calibri"/>
          <w:color w:val="000000" w:themeColor="text1"/>
          <w:sz w:val="24"/>
        </w:rPr>
        <w:t>由于不可抗力，或证券</w:t>
      </w:r>
      <w:r w:rsidRPr="00777BCD">
        <w:rPr>
          <w:rFonts w:ascii="Calibri" w:hAnsi="Calibri" w:cs="Calibri"/>
          <w:color w:val="000000" w:themeColor="text1"/>
          <w:sz w:val="24"/>
        </w:rPr>
        <w:t>/</w:t>
      </w:r>
      <w:r w:rsidRPr="00777BCD">
        <w:rPr>
          <w:rFonts w:ascii="Calibri" w:hAnsi="Calibri" w:cs="Calibri"/>
          <w:color w:val="000000" w:themeColor="text1"/>
          <w:sz w:val="24"/>
        </w:rPr>
        <w:t>期货交易场所、登记结算机构及存款银行等第三方机构发送的数据错误，或国家会计政策变更、市场规则变更等</w:t>
      </w:r>
      <w:proofErr w:type="gramStart"/>
      <w:r w:rsidRPr="00777BCD">
        <w:rPr>
          <w:rFonts w:ascii="Calibri" w:hAnsi="Calibri" w:cs="Calibri"/>
          <w:color w:val="000000" w:themeColor="text1"/>
          <w:sz w:val="24"/>
        </w:rPr>
        <w:t>非基金</w:t>
      </w:r>
      <w:proofErr w:type="gramEnd"/>
      <w:r w:rsidRPr="00777BCD">
        <w:rPr>
          <w:rFonts w:ascii="Calibri" w:hAnsi="Calibri" w:cs="Calibri"/>
          <w:color w:val="000000" w:themeColor="text1"/>
          <w:sz w:val="24"/>
        </w:rPr>
        <w:t>管理人与基金托管人原因，基金管理人和基金托管人虽然已经采取必要、适当、合理的措施进行检查，但未能发现错误的，由此造成的基金资产估值错误，基金管理人和基金托管人免除赔偿责任。但基金管理人、基金托管人应当积极采取必要的措施消除或减轻由此造成的影响。</w:t>
      </w:r>
    </w:p>
    <w:p w14:paraId="1BFC17C4" w14:textId="77777777" w:rsidR="007149DF" w:rsidRPr="00777BCD" w:rsidRDefault="007149DF">
      <w:pPr>
        <w:ind w:firstLine="480"/>
        <w:rPr>
          <w:rFonts w:ascii="Calibri" w:hAnsi="Calibri" w:cs="Calibri"/>
          <w:color w:val="000000" w:themeColor="text1"/>
          <w:sz w:val="24"/>
        </w:rPr>
      </w:pPr>
    </w:p>
    <w:p w14:paraId="312884D5" w14:textId="77777777" w:rsidR="007149DF" w:rsidRPr="00777BCD" w:rsidRDefault="00284640">
      <w:pPr>
        <w:ind w:firstLine="480"/>
        <w:rPr>
          <w:rFonts w:ascii="Calibri" w:hAnsi="Calibri" w:cs="Calibri"/>
          <w:color w:val="000000" w:themeColor="text1"/>
          <w:sz w:val="24"/>
        </w:rPr>
      </w:pPr>
      <w:bookmarkStart w:id="363" w:name="_Hlk47894759"/>
      <w:r w:rsidRPr="00777BCD">
        <w:rPr>
          <w:rFonts w:ascii="Calibri" w:hAnsi="Calibri" w:cs="Calibri"/>
          <w:color w:val="000000" w:themeColor="text1"/>
          <w:sz w:val="24"/>
        </w:rPr>
        <w:t>十、实施</w:t>
      </w:r>
      <w:proofErr w:type="gramStart"/>
      <w:r w:rsidRPr="00777BCD">
        <w:rPr>
          <w:rFonts w:ascii="Calibri" w:hAnsi="Calibri" w:cs="Calibri"/>
          <w:color w:val="000000" w:themeColor="text1"/>
          <w:sz w:val="24"/>
        </w:rPr>
        <w:t>侧袋机制</w:t>
      </w:r>
      <w:proofErr w:type="gramEnd"/>
      <w:r w:rsidRPr="00777BCD">
        <w:rPr>
          <w:rFonts w:ascii="Calibri" w:hAnsi="Calibri" w:cs="Calibri"/>
          <w:color w:val="000000" w:themeColor="text1"/>
          <w:sz w:val="24"/>
        </w:rPr>
        <w:t>期间的基金资产估值</w:t>
      </w:r>
    </w:p>
    <w:p w14:paraId="7A7CB5EB" w14:textId="77777777" w:rsidR="007149DF" w:rsidRPr="00777BCD" w:rsidRDefault="00284640">
      <w:pPr>
        <w:ind w:firstLine="480"/>
        <w:rPr>
          <w:rFonts w:ascii="Calibri" w:hAnsi="Calibri" w:cs="Calibri"/>
          <w:color w:val="000000" w:themeColor="text1"/>
          <w:sz w:val="24"/>
        </w:rPr>
      </w:pPr>
      <w:r w:rsidRPr="00777BCD">
        <w:rPr>
          <w:rFonts w:ascii="Calibri" w:hAnsi="Calibri" w:cs="Calibri"/>
          <w:color w:val="000000" w:themeColor="text1"/>
          <w:sz w:val="24"/>
        </w:rPr>
        <w:t>本基金实施</w:t>
      </w:r>
      <w:proofErr w:type="gramStart"/>
      <w:r w:rsidRPr="00777BCD">
        <w:rPr>
          <w:rFonts w:ascii="Calibri" w:hAnsi="Calibri" w:cs="Calibri"/>
          <w:color w:val="000000" w:themeColor="text1"/>
          <w:sz w:val="24"/>
        </w:rPr>
        <w:t>侧袋机制</w:t>
      </w:r>
      <w:proofErr w:type="gramEnd"/>
      <w:r w:rsidRPr="00777BCD">
        <w:rPr>
          <w:rFonts w:ascii="Calibri" w:hAnsi="Calibri" w:cs="Calibri"/>
          <w:color w:val="000000" w:themeColor="text1"/>
          <w:sz w:val="24"/>
        </w:rPr>
        <w:t>的，应根据本部分的约定</w:t>
      </w:r>
      <w:proofErr w:type="gramStart"/>
      <w:r w:rsidRPr="00777BCD">
        <w:rPr>
          <w:rFonts w:ascii="Calibri" w:hAnsi="Calibri" w:cs="Calibri"/>
          <w:color w:val="000000" w:themeColor="text1"/>
          <w:sz w:val="24"/>
        </w:rPr>
        <w:t>对主袋账户</w:t>
      </w:r>
      <w:proofErr w:type="gramEnd"/>
      <w:r w:rsidRPr="00777BCD">
        <w:rPr>
          <w:rFonts w:ascii="Calibri" w:hAnsi="Calibri" w:cs="Calibri"/>
          <w:color w:val="000000" w:themeColor="text1"/>
          <w:sz w:val="24"/>
        </w:rPr>
        <w:t>资产进行估值并</w:t>
      </w:r>
      <w:proofErr w:type="gramStart"/>
      <w:r w:rsidRPr="00777BCD">
        <w:rPr>
          <w:rFonts w:ascii="Calibri" w:hAnsi="Calibri" w:cs="Calibri"/>
          <w:color w:val="000000" w:themeColor="text1"/>
          <w:sz w:val="24"/>
        </w:rPr>
        <w:t>披露主袋账户</w:t>
      </w:r>
      <w:proofErr w:type="gramEnd"/>
      <w:r w:rsidRPr="00777BCD">
        <w:rPr>
          <w:rFonts w:ascii="Calibri" w:hAnsi="Calibri" w:cs="Calibri"/>
          <w:color w:val="000000" w:themeColor="text1"/>
          <w:sz w:val="24"/>
        </w:rPr>
        <w:t>的基金净值信息，暂停</w:t>
      </w:r>
      <w:proofErr w:type="gramStart"/>
      <w:r w:rsidRPr="00777BCD">
        <w:rPr>
          <w:rFonts w:ascii="Calibri" w:hAnsi="Calibri" w:cs="Calibri"/>
          <w:color w:val="000000" w:themeColor="text1"/>
          <w:sz w:val="24"/>
        </w:rPr>
        <w:t>披露侧袋账户</w:t>
      </w:r>
      <w:proofErr w:type="gramEnd"/>
      <w:r w:rsidRPr="00777BCD">
        <w:rPr>
          <w:rFonts w:ascii="Calibri" w:hAnsi="Calibri" w:cs="Calibri"/>
          <w:color w:val="000000" w:themeColor="text1"/>
          <w:sz w:val="24"/>
        </w:rPr>
        <w:t>的基金份额净值。</w:t>
      </w:r>
      <w:bookmarkEnd w:id="363"/>
    </w:p>
    <w:p w14:paraId="1D5BF0B5" w14:textId="77777777" w:rsidR="007149DF" w:rsidRPr="00777BCD" w:rsidRDefault="00284640">
      <w:pPr>
        <w:pStyle w:val="11"/>
        <w:spacing w:before="0" w:after="0"/>
        <w:ind w:firstLine="600"/>
        <w:jc w:val="center"/>
        <w:rPr>
          <w:rFonts w:ascii="Calibri" w:hAnsi="Calibri" w:cs="Calibri"/>
          <w:color w:val="000000" w:themeColor="text1"/>
          <w:sz w:val="30"/>
        </w:rPr>
      </w:pPr>
      <w:r w:rsidRPr="00777BCD">
        <w:rPr>
          <w:rFonts w:ascii="Calibri" w:hAnsi="Calibri" w:cs="Calibri"/>
          <w:b w:val="0"/>
          <w:bCs/>
          <w:color w:val="000000" w:themeColor="text1"/>
          <w:sz w:val="30"/>
        </w:rPr>
        <w:br w:type="page"/>
      </w:r>
      <w:bookmarkStart w:id="364" w:name="_Toc19706"/>
      <w:bookmarkStart w:id="365" w:name="_Toc15779"/>
      <w:bookmarkStart w:id="366" w:name="_Toc32227"/>
      <w:bookmarkStart w:id="367" w:name="_Toc3365"/>
      <w:bookmarkStart w:id="368" w:name="_Toc19752"/>
      <w:bookmarkStart w:id="369" w:name="_Toc24601"/>
      <w:bookmarkStart w:id="370" w:name="_Toc12105"/>
      <w:bookmarkStart w:id="371" w:name="_Toc6820034"/>
      <w:bookmarkStart w:id="372" w:name="_Toc13987"/>
      <w:bookmarkStart w:id="373" w:name="_Toc32041"/>
      <w:bookmarkStart w:id="374" w:name="_Toc160725913"/>
      <w:bookmarkStart w:id="375" w:name="_Hlk23248922"/>
      <w:r w:rsidRPr="00777BCD">
        <w:rPr>
          <w:rFonts w:ascii="Calibri" w:hAnsi="Calibri" w:cs="Calibri"/>
          <w:color w:val="000000" w:themeColor="text1"/>
          <w:sz w:val="30"/>
        </w:rPr>
        <w:lastRenderedPageBreak/>
        <w:t>第十五部分</w:t>
      </w:r>
      <w:r w:rsidRPr="00777BCD">
        <w:rPr>
          <w:rFonts w:ascii="Calibri" w:hAnsi="Calibri" w:cs="Calibri"/>
          <w:color w:val="000000" w:themeColor="text1"/>
          <w:sz w:val="30"/>
        </w:rPr>
        <w:t xml:space="preserve">  </w:t>
      </w:r>
      <w:r w:rsidRPr="00777BCD">
        <w:rPr>
          <w:rFonts w:ascii="Calibri" w:hAnsi="Calibri" w:cs="Calibri"/>
          <w:color w:val="000000" w:themeColor="text1"/>
          <w:sz w:val="30"/>
        </w:rPr>
        <w:t>基金费用与税收</w:t>
      </w:r>
      <w:bookmarkEnd w:id="347"/>
      <w:bookmarkEnd w:id="348"/>
      <w:bookmarkEnd w:id="349"/>
      <w:bookmarkEnd w:id="364"/>
      <w:bookmarkEnd w:id="365"/>
      <w:bookmarkEnd w:id="366"/>
      <w:bookmarkEnd w:id="367"/>
      <w:bookmarkEnd w:id="368"/>
      <w:bookmarkEnd w:id="369"/>
      <w:bookmarkEnd w:id="370"/>
      <w:bookmarkEnd w:id="371"/>
      <w:bookmarkEnd w:id="372"/>
      <w:bookmarkEnd w:id="373"/>
      <w:bookmarkEnd w:id="374"/>
    </w:p>
    <w:p w14:paraId="6B2E1ECD" w14:textId="77777777" w:rsidR="007149DF" w:rsidRPr="00777BCD" w:rsidRDefault="007149DF">
      <w:pPr>
        <w:ind w:firstLine="480"/>
        <w:rPr>
          <w:rFonts w:ascii="Calibri" w:hAnsi="Calibri" w:cs="Calibri"/>
          <w:bCs/>
          <w:color w:val="000000" w:themeColor="text1"/>
          <w:sz w:val="24"/>
        </w:rPr>
      </w:pPr>
    </w:p>
    <w:p w14:paraId="6360908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一、基金费用的种类</w:t>
      </w:r>
    </w:p>
    <w:p w14:paraId="0A94DD1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、基金管理人的管理费；</w:t>
      </w:r>
    </w:p>
    <w:p w14:paraId="0BF36E1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、基金托管人的托管费；</w:t>
      </w:r>
    </w:p>
    <w:p w14:paraId="14D41A7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w:t>
      </w:r>
      <w:r w:rsidRPr="00777BCD">
        <w:rPr>
          <w:rFonts w:ascii="Calibri" w:hAnsi="Calibri" w:cs="Calibri"/>
          <w:bCs/>
          <w:color w:val="000000" w:themeColor="text1"/>
          <w:sz w:val="24"/>
        </w:rPr>
        <w:t>C</w:t>
      </w:r>
      <w:r w:rsidRPr="00777BCD">
        <w:rPr>
          <w:rFonts w:ascii="Calibri" w:hAnsi="Calibri" w:cs="Calibri"/>
          <w:bCs/>
          <w:color w:val="000000" w:themeColor="text1"/>
          <w:sz w:val="24"/>
        </w:rPr>
        <w:t>类基金份额的销售服务费；</w:t>
      </w:r>
    </w:p>
    <w:p w14:paraId="2807149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、除法律法规、中国证监会另有规定外，《基金合同》生效后与基金相关的信息披露费用；</w:t>
      </w:r>
    </w:p>
    <w:p w14:paraId="32AE3096"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5</w:t>
      </w:r>
      <w:r w:rsidRPr="00777BCD">
        <w:rPr>
          <w:rFonts w:ascii="Calibri" w:hAnsi="Calibri" w:cs="Calibri"/>
          <w:bCs/>
          <w:color w:val="000000" w:themeColor="text1"/>
          <w:sz w:val="24"/>
        </w:rPr>
        <w:t>、《基金合同》生效后与基金相关的会计师费、律师费、公证费、诉讼费和仲裁费；</w:t>
      </w:r>
    </w:p>
    <w:p w14:paraId="5F8ABFC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6</w:t>
      </w:r>
      <w:r w:rsidRPr="00777BCD">
        <w:rPr>
          <w:rFonts w:ascii="Calibri" w:hAnsi="Calibri" w:cs="Calibri"/>
          <w:bCs/>
          <w:color w:val="000000" w:themeColor="text1"/>
          <w:sz w:val="24"/>
        </w:rPr>
        <w:t>、基金份额持有人大会费用；</w:t>
      </w:r>
    </w:p>
    <w:p w14:paraId="68EB6A70" w14:textId="00262EDD"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7</w:t>
      </w:r>
      <w:r w:rsidRPr="00777BCD">
        <w:rPr>
          <w:rFonts w:ascii="Calibri" w:hAnsi="Calibri" w:cs="Calibri"/>
          <w:bCs/>
          <w:color w:val="000000" w:themeColor="text1"/>
          <w:sz w:val="24"/>
        </w:rPr>
        <w:t>、基金的证券</w:t>
      </w:r>
      <w:r w:rsidRPr="00777BCD">
        <w:rPr>
          <w:rFonts w:ascii="Calibri" w:hAnsi="Calibri" w:cs="Calibri"/>
          <w:color w:val="000000" w:themeColor="text1"/>
          <w:sz w:val="24"/>
        </w:rPr>
        <w:t>、期货</w:t>
      </w:r>
      <w:r w:rsidRPr="00777BCD">
        <w:rPr>
          <w:rFonts w:ascii="Calibri" w:hAnsi="Calibri" w:cs="Calibri"/>
          <w:bCs/>
          <w:color w:val="000000" w:themeColor="text1"/>
          <w:sz w:val="24"/>
        </w:rPr>
        <w:t>交易结算</w:t>
      </w:r>
      <w:r w:rsidR="0008121B" w:rsidRPr="00777BCD">
        <w:rPr>
          <w:rFonts w:ascii="Calibri" w:hAnsi="Calibri" w:cs="Calibri"/>
          <w:bCs/>
          <w:color w:val="000000" w:themeColor="text1"/>
          <w:sz w:val="24"/>
        </w:rPr>
        <w:t>等</w:t>
      </w:r>
      <w:r w:rsidRPr="00777BCD">
        <w:rPr>
          <w:rFonts w:ascii="Calibri" w:hAnsi="Calibri" w:cs="Calibri"/>
          <w:bCs/>
          <w:color w:val="000000" w:themeColor="text1"/>
          <w:sz w:val="24"/>
        </w:rPr>
        <w:t>费用；</w:t>
      </w:r>
    </w:p>
    <w:p w14:paraId="2A5F394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8</w:t>
      </w:r>
      <w:r w:rsidRPr="00777BCD">
        <w:rPr>
          <w:rFonts w:ascii="Calibri" w:hAnsi="Calibri" w:cs="Calibri"/>
          <w:bCs/>
          <w:color w:val="000000" w:themeColor="text1"/>
          <w:sz w:val="24"/>
        </w:rPr>
        <w:t>、基金的银行汇划费用；</w:t>
      </w:r>
    </w:p>
    <w:p w14:paraId="22255CE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9</w:t>
      </w:r>
      <w:r w:rsidRPr="00777BCD">
        <w:rPr>
          <w:rFonts w:ascii="Calibri" w:hAnsi="Calibri" w:cs="Calibri"/>
          <w:bCs/>
          <w:color w:val="000000" w:themeColor="text1"/>
          <w:sz w:val="24"/>
        </w:rPr>
        <w:t>、基金的相关账户的开户及维护费用；</w:t>
      </w:r>
    </w:p>
    <w:p w14:paraId="0E697996"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10</w:t>
      </w:r>
      <w:r w:rsidRPr="00777BCD">
        <w:rPr>
          <w:rFonts w:ascii="Calibri" w:hAnsi="Calibri" w:cs="Calibri"/>
          <w:bCs/>
          <w:color w:val="000000" w:themeColor="text1"/>
          <w:sz w:val="24"/>
        </w:rPr>
        <w:t>、因投资港股通标的股票而产生的各项合理费用；</w:t>
      </w:r>
    </w:p>
    <w:p w14:paraId="7F6A3266" w14:textId="7777777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11</w:t>
      </w:r>
      <w:r w:rsidRPr="00777BCD">
        <w:rPr>
          <w:rFonts w:ascii="Calibri" w:hAnsi="Calibri" w:cs="Calibri"/>
          <w:bCs/>
          <w:color w:val="000000" w:themeColor="text1"/>
          <w:sz w:val="24"/>
        </w:rPr>
        <w:t>、按照国家有关规定和《基金合同》约定，可以在基金财产中列支的其他费用。</w:t>
      </w:r>
    </w:p>
    <w:p w14:paraId="281C7B20" w14:textId="77777777" w:rsidR="007149DF" w:rsidRPr="00777BCD" w:rsidRDefault="007149DF">
      <w:pPr>
        <w:ind w:firstLine="480"/>
        <w:rPr>
          <w:rFonts w:ascii="Calibri" w:hAnsi="Calibri" w:cs="Calibri"/>
          <w:bCs/>
          <w:color w:val="000000" w:themeColor="text1"/>
          <w:sz w:val="24"/>
        </w:rPr>
      </w:pPr>
    </w:p>
    <w:p w14:paraId="67AC4F11" w14:textId="77777777" w:rsidR="007149DF" w:rsidRPr="00777BCD" w:rsidRDefault="00284640">
      <w:pPr>
        <w:ind w:firstLine="480"/>
        <w:rPr>
          <w:rFonts w:ascii="Calibri" w:hAnsi="Calibri" w:cs="Calibri"/>
          <w:bCs/>
          <w:color w:val="000000" w:themeColor="text1"/>
          <w:sz w:val="24"/>
        </w:rPr>
      </w:pPr>
      <w:bookmarkStart w:id="376" w:name="_Hlk47898755"/>
      <w:r w:rsidRPr="00777BCD">
        <w:rPr>
          <w:rFonts w:ascii="Calibri" w:hAnsi="Calibri" w:cs="Calibri"/>
          <w:bCs/>
          <w:color w:val="000000" w:themeColor="text1"/>
          <w:sz w:val="24"/>
        </w:rPr>
        <w:t>二、基金费用计提方法、计提标准和支付方式</w:t>
      </w:r>
    </w:p>
    <w:p w14:paraId="58623436" w14:textId="77777777" w:rsidR="007149DF" w:rsidRPr="00777BCD" w:rsidRDefault="00284640">
      <w:pPr>
        <w:ind w:firstLine="480"/>
        <w:rPr>
          <w:rFonts w:ascii="Calibri" w:hAnsi="Calibri" w:cs="Calibri"/>
          <w:bCs/>
          <w:color w:val="000000" w:themeColor="text1"/>
          <w:sz w:val="24"/>
        </w:rPr>
      </w:pPr>
      <w:bookmarkStart w:id="377" w:name="_Hlk22720506"/>
      <w:r w:rsidRPr="00777BCD">
        <w:rPr>
          <w:rFonts w:ascii="Calibri" w:hAnsi="Calibri" w:cs="Calibri"/>
          <w:bCs/>
          <w:color w:val="000000" w:themeColor="text1"/>
          <w:sz w:val="24"/>
        </w:rPr>
        <w:t>1</w:t>
      </w:r>
      <w:r w:rsidRPr="00777BCD">
        <w:rPr>
          <w:rFonts w:ascii="Calibri" w:hAnsi="Calibri" w:cs="Calibri"/>
          <w:bCs/>
          <w:color w:val="000000" w:themeColor="text1"/>
          <w:sz w:val="24"/>
        </w:rPr>
        <w:t>、基金管理人的管理费</w:t>
      </w:r>
      <w:r w:rsidRPr="00777BCD">
        <w:rPr>
          <w:rFonts w:ascii="Calibri" w:hAnsi="Calibri" w:cs="Calibri"/>
          <w:bCs/>
          <w:color w:val="000000" w:themeColor="text1"/>
          <w:sz w:val="24"/>
        </w:rPr>
        <w:t xml:space="preserve"> </w:t>
      </w:r>
    </w:p>
    <w:p w14:paraId="4A79F12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本基金的管理费按前一日基金资产净值的</w:t>
      </w:r>
      <w:r w:rsidRPr="00777BCD">
        <w:rPr>
          <w:rFonts w:ascii="Calibri" w:hAnsi="Calibri" w:cs="Calibri"/>
          <w:bCs/>
          <w:color w:val="000000" w:themeColor="text1"/>
          <w:sz w:val="24"/>
        </w:rPr>
        <w:t>1.20%</w:t>
      </w:r>
      <w:r w:rsidRPr="00777BCD">
        <w:rPr>
          <w:rFonts w:ascii="Calibri" w:hAnsi="Calibri" w:cs="Calibri"/>
          <w:bCs/>
          <w:color w:val="000000" w:themeColor="text1"/>
          <w:sz w:val="24"/>
        </w:rPr>
        <w:t>年费率计提。管理费的计算方法如下：</w:t>
      </w:r>
    </w:p>
    <w:p w14:paraId="43264B5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H</w:t>
      </w:r>
      <w:r w:rsidRPr="00777BCD">
        <w:rPr>
          <w:rFonts w:ascii="Calibri" w:hAnsi="Calibri" w:cs="Calibri"/>
          <w:bCs/>
          <w:color w:val="000000" w:themeColor="text1"/>
          <w:sz w:val="24"/>
        </w:rPr>
        <w:t>＝</w:t>
      </w:r>
      <w:r w:rsidRPr="00777BCD">
        <w:rPr>
          <w:rFonts w:ascii="Calibri" w:hAnsi="Calibri" w:cs="Calibri"/>
          <w:bCs/>
          <w:color w:val="000000" w:themeColor="text1"/>
          <w:sz w:val="24"/>
        </w:rPr>
        <w:t>E×1.20%÷</w:t>
      </w:r>
      <w:r w:rsidRPr="00777BCD">
        <w:rPr>
          <w:rFonts w:ascii="Calibri" w:hAnsi="Calibri" w:cs="Calibri"/>
          <w:bCs/>
          <w:color w:val="000000" w:themeColor="text1"/>
          <w:sz w:val="24"/>
        </w:rPr>
        <w:t>当年天数</w:t>
      </w:r>
    </w:p>
    <w:p w14:paraId="2F24924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H</w:t>
      </w:r>
      <w:r w:rsidRPr="00777BCD">
        <w:rPr>
          <w:rFonts w:ascii="Calibri" w:hAnsi="Calibri" w:cs="Calibri"/>
          <w:bCs/>
          <w:color w:val="000000" w:themeColor="text1"/>
          <w:sz w:val="24"/>
        </w:rPr>
        <w:t>为每日应计提的基金管理费</w:t>
      </w:r>
    </w:p>
    <w:p w14:paraId="290CB9E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E</w:t>
      </w:r>
      <w:r w:rsidRPr="00777BCD">
        <w:rPr>
          <w:rFonts w:ascii="Calibri" w:hAnsi="Calibri" w:cs="Calibri"/>
          <w:bCs/>
          <w:color w:val="000000" w:themeColor="text1"/>
          <w:sz w:val="24"/>
        </w:rPr>
        <w:t>为前一日的基金资产净值</w:t>
      </w:r>
    </w:p>
    <w:p w14:paraId="6844ECB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基金管理费每日计提，按月支付，由基金托管人根据与基金管理人核对一致的财务数据，自动在月初</w:t>
      </w:r>
      <w:r w:rsidRPr="00777BCD">
        <w:rPr>
          <w:rFonts w:ascii="Calibri" w:hAnsi="Calibri" w:cs="Calibri"/>
          <w:bCs/>
          <w:color w:val="000000" w:themeColor="text1"/>
          <w:sz w:val="24"/>
        </w:rPr>
        <w:t>5</w:t>
      </w:r>
      <w:proofErr w:type="gramStart"/>
      <w:r w:rsidRPr="00777BCD">
        <w:rPr>
          <w:rFonts w:ascii="Calibri" w:hAnsi="Calibri" w:cs="Calibri"/>
          <w:bCs/>
          <w:color w:val="000000" w:themeColor="text1"/>
          <w:sz w:val="24"/>
        </w:rPr>
        <w:t>个</w:t>
      </w:r>
      <w:proofErr w:type="gramEnd"/>
      <w:r w:rsidRPr="00777BCD">
        <w:rPr>
          <w:rFonts w:ascii="Calibri" w:hAnsi="Calibri" w:cs="Calibri"/>
          <w:bCs/>
          <w:color w:val="000000" w:themeColor="text1"/>
          <w:sz w:val="24"/>
        </w:rPr>
        <w:t>工作日内、按照指定的账户路径进行资金支付，基金管理人无需再出具资金划拨指令。若遇法定节假日、公休日等，支付</w:t>
      </w:r>
      <w:r w:rsidRPr="00777BCD">
        <w:rPr>
          <w:rFonts w:ascii="Calibri" w:hAnsi="Calibri" w:cs="Calibri"/>
          <w:bCs/>
          <w:color w:val="000000" w:themeColor="text1"/>
          <w:sz w:val="24"/>
        </w:rPr>
        <w:lastRenderedPageBreak/>
        <w:t>日期顺延。费用自动扣划后，基金管理人应进行核对，如发现数据不符，及时联系基金托管人协商解决。</w:t>
      </w:r>
    </w:p>
    <w:p w14:paraId="373B31B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、基金托管人的托管费</w:t>
      </w:r>
    </w:p>
    <w:p w14:paraId="74EEA9D1" w14:textId="6C4857E2"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本基金的托管费按前一日基金资产净值的</w:t>
      </w:r>
      <w:r w:rsidRPr="00777BCD">
        <w:rPr>
          <w:rFonts w:ascii="Calibri" w:hAnsi="Calibri" w:cs="Calibri"/>
          <w:bCs/>
          <w:color w:val="000000" w:themeColor="text1"/>
          <w:sz w:val="24"/>
        </w:rPr>
        <w:t>0.</w:t>
      </w:r>
      <w:r w:rsidR="00FD79B1" w:rsidRPr="00777BCD">
        <w:rPr>
          <w:rFonts w:ascii="Calibri" w:hAnsi="Calibri" w:cs="Calibri"/>
          <w:bCs/>
          <w:color w:val="000000" w:themeColor="text1"/>
          <w:sz w:val="24"/>
        </w:rPr>
        <w:t>20</w:t>
      </w:r>
      <w:r w:rsidRPr="00777BCD">
        <w:rPr>
          <w:rFonts w:ascii="Calibri" w:hAnsi="Calibri" w:cs="Calibri"/>
          <w:bCs/>
          <w:color w:val="000000" w:themeColor="text1"/>
          <w:sz w:val="24"/>
        </w:rPr>
        <w:t>%</w:t>
      </w:r>
      <w:r w:rsidRPr="00777BCD">
        <w:rPr>
          <w:rFonts w:ascii="Calibri" w:hAnsi="Calibri" w:cs="Calibri"/>
          <w:bCs/>
          <w:color w:val="000000" w:themeColor="text1"/>
          <w:sz w:val="24"/>
        </w:rPr>
        <w:t>的年费率计提。托管费的计算方法如下：</w:t>
      </w:r>
    </w:p>
    <w:p w14:paraId="02F5B88E" w14:textId="2E60598A"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H</w:t>
      </w:r>
      <w:r w:rsidRPr="00777BCD">
        <w:rPr>
          <w:rFonts w:ascii="Calibri" w:hAnsi="Calibri" w:cs="Calibri"/>
          <w:bCs/>
          <w:color w:val="000000" w:themeColor="text1"/>
          <w:sz w:val="24"/>
        </w:rPr>
        <w:t>＝</w:t>
      </w:r>
      <w:r w:rsidRPr="00777BCD">
        <w:rPr>
          <w:rFonts w:ascii="Calibri" w:hAnsi="Calibri" w:cs="Calibri"/>
          <w:bCs/>
          <w:color w:val="000000" w:themeColor="text1"/>
          <w:sz w:val="24"/>
        </w:rPr>
        <w:t>E×0.</w:t>
      </w:r>
      <w:r w:rsidR="00FD79B1" w:rsidRPr="00777BCD">
        <w:rPr>
          <w:rFonts w:ascii="Calibri" w:hAnsi="Calibri" w:cs="Calibri"/>
          <w:bCs/>
          <w:color w:val="000000" w:themeColor="text1"/>
          <w:sz w:val="24"/>
        </w:rPr>
        <w:t>20</w:t>
      </w:r>
      <w:r w:rsidRPr="00777BCD">
        <w:rPr>
          <w:rFonts w:ascii="Calibri" w:hAnsi="Calibri" w:cs="Calibri"/>
          <w:bCs/>
          <w:color w:val="000000" w:themeColor="text1"/>
          <w:sz w:val="24"/>
        </w:rPr>
        <w:t>%÷</w:t>
      </w:r>
      <w:r w:rsidRPr="00777BCD">
        <w:rPr>
          <w:rFonts w:ascii="Calibri" w:hAnsi="Calibri" w:cs="Calibri"/>
          <w:bCs/>
          <w:color w:val="000000" w:themeColor="text1"/>
          <w:sz w:val="24"/>
        </w:rPr>
        <w:t>当年天数</w:t>
      </w:r>
    </w:p>
    <w:p w14:paraId="27B5DC5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H</w:t>
      </w:r>
      <w:r w:rsidRPr="00777BCD">
        <w:rPr>
          <w:rFonts w:ascii="Calibri" w:hAnsi="Calibri" w:cs="Calibri"/>
          <w:bCs/>
          <w:color w:val="000000" w:themeColor="text1"/>
          <w:sz w:val="24"/>
        </w:rPr>
        <w:t>为每日应计提的基金托管费</w:t>
      </w:r>
    </w:p>
    <w:p w14:paraId="06D34E7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E</w:t>
      </w:r>
      <w:r w:rsidRPr="00777BCD">
        <w:rPr>
          <w:rFonts w:ascii="Calibri" w:hAnsi="Calibri" w:cs="Calibri"/>
          <w:bCs/>
          <w:color w:val="000000" w:themeColor="text1"/>
          <w:sz w:val="24"/>
        </w:rPr>
        <w:t>为前一日的基金资产净值</w:t>
      </w:r>
    </w:p>
    <w:p w14:paraId="737575E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基金托管费每日计提，按月支付，</w:t>
      </w:r>
      <w:bookmarkStart w:id="378" w:name="_Hlk103095244"/>
      <w:r w:rsidRPr="00777BCD">
        <w:rPr>
          <w:rFonts w:ascii="Calibri" w:hAnsi="Calibri" w:cs="Calibri"/>
          <w:bCs/>
          <w:color w:val="000000" w:themeColor="text1"/>
          <w:sz w:val="24"/>
        </w:rPr>
        <w:t>由基金托管人根据与基金管理人核对一致的财务数据，自动在月初</w:t>
      </w:r>
      <w:r w:rsidRPr="00777BCD">
        <w:rPr>
          <w:rFonts w:ascii="Calibri" w:hAnsi="Calibri" w:cs="Calibri"/>
          <w:bCs/>
          <w:color w:val="000000" w:themeColor="text1"/>
          <w:sz w:val="24"/>
        </w:rPr>
        <w:t>5</w:t>
      </w:r>
      <w:proofErr w:type="gramStart"/>
      <w:r w:rsidRPr="00777BCD">
        <w:rPr>
          <w:rFonts w:ascii="Calibri" w:hAnsi="Calibri" w:cs="Calibri"/>
          <w:bCs/>
          <w:color w:val="000000" w:themeColor="text1"/>
          <w:sz w:val="24"/>
        </w:rPr>
        <w:t>个</w:t>
      </w:r>
      <w:proofErr w:type="gramEnd"/>
      <w:r w:rsidRPr="00777BCD">
        <w:rPr>
          <w:rFonts w:ascii="Calibri" w:hAnsi="Calibri" w:cs="Calibri"/>
          <w:bCs/>
          <w:color w:val="000000" w:themeColor="text1"/>
          <w:sz w:val="24"/>
        </w:rPr>
        <w:t>工作日内、按照指定的账户路径进行资金支付，基金管理人无需再出具资金划拨指令。若遇法定节假日、公休日等，支付日期顺延。</w:t>
      </w:r>
      <w:bookmarkEnd w:id="377"/>
      <w:r w:rsidRPr="00777BCD">
        <w:rPr>
          <w:rFonts w:ascii="Calibri" w:hAnsi="Calibri" w:cs="Calibri"/>
          <w:bCs/>
          <w:color w:val="000000" w:themeColor="text1"/>
          <w:sz w:val="24"/>
        </w:rPr>
        <w:t>费用自动扣划后，基金管理人应进行核对，如发现数据不符，及时联系基金托管人协商解决。</w:t>
      </w:r>
      <w:bookmarkEnd w:id="378"/>
    </w:p>
    <w:p w14:paraId="7C382C5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、销售服务费</w:t>
      </w:r>
    </w:p>
    <w:p w14:paraId="120A5D0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本基金</w:t>
      </w:r>
      <w:r w:rsidRPr="00777BCD">
        <w:rPr>
          <w:rFonts w:ascii="Calibri" w:hAnsi="Calibri" w:cs="Calibri"/>
          <w:bCs/>
          <w:color w:val="000000" w:themeColor="text1"/>
          <w:sz w:val="24"/>
        </w:rPr>
        <w:t>A</w:t>
      </w:r>
      <w:r w:rsidRPr="00777BCD">
        <w:rPr>
          <w:rFonts w:ascii="Calibri" w:hAnsi="Calibri" w:cs="Calibri"/>
          <w:bCs/>
          <w:color w:val="000000" w:themeColor="text1"/>
          <w:sz w:val="24"/>
        </w:rPr>
        <w:t>类基金份额不收取销售服务费，</w:t>
      </w:r>
      <w:r w:rsidRPr="00777BCD">
        <w:rPr>
          <w:rFonts w:ascii="Calibri" w:hAnsi="Calibri" w:cs="Calibri"/>
          <w:bCs/>
          <w:color w:val="000000" w:themeColor="text1"/>
          <w:sz w:val="24"/>
        </w:rPr>
        <w:t>C</w:t>
      </w:r>
      <w:r w:rsidRPr="00777BCD">
        <w:rPr>
          <w:rFonts w:ascii="Calibri" w:hAnsi="Calibri" w:cs="Calibri"/>
          <w:bCs/>
          <w:color w:val="000000" w:themeColor="text1"/>
          <w:sz w:val="24"/>
        </w:rPr>
        <w:t>类基金份额的销售服务费按前一日</w:t>
      </w:r>
      <w:r w:rsidRPr="00777BCD">
        <w:rPr>
          <w:rFonts w:ascii="Calibri" w:hAnsi="Calibri" w:cs="Calibri"/>
          <w:bCs/>
          <w:color w:val="000000" w:themeColor="text1"/>
          <w:sz w:val="24"/>
        </w:rPr>
        <w:t>C</w:t>
      </w:r>
      <w:r w:rsidRPr="00777BCD">
        <w:rPr>
          <w:rFonts w:ascii="Calibri" w:hAnsi="Calibri" w:cs="Calibri"/>
          <w:bCs/>
          <w:color w:val="000000" w:themeColor="text1"/>
          <w:sz w:val="24"/>
        </w:rPr>
        <w:t>类基金份额的基金资产净值的</w:t>
      </w:r>
      <w:r w:rsidRPr="00777BCD">
        <w:rPr>
          <w:rFonts w:ascii="Calibri" w:hAnsi="Calibri" w:cs="Calibri"/>
          <w:bCs/>
          <w:color w:val="000000" w:themeColor="text1"/>
          <w:sz w:val="24"/>
        </w:rPr>
        <w:t>0.60%</w:t>
      </w:r>
      <w:r w:rsidRPr="00777BCD">
        <w:rPr>
          <w:rFonts w:ascii="Calibri" w:hAnsi="Calibri" w:cs="Calibri"/>
          <w:bCs/>
          <w:color w:val="000000" w:themeColor="text1"/>
          <w:sz w:val="24"/>
        </w:rPr>
        <w:t>年费率计提，计算方法如下：</w:t>
      </w:r>
    </w:p>
    <w:p w14:paraId="329F916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H</w:t>
      </w:r>
      <w:r w:rsidRPr="00777BCD">
        <w:rPr>
          <w:rFonts w:ascii="Calibri" w:hAnsi="Calibri" w:cs="Calibri"/>
          <w:bCs/>
          <w:color w:val="000000" w:themeColor="text1"/>
          <w:sz w:val="24"/>
        </w:rPr>
        <w:t>＝</w:t>
      </w:r>
      <w:r w:rsidRPr="00777BCD">
        <w:rPr>
          <w:rFonts w:ascii="Calibri" w:hAnsi="Calibri" w:cs="Calibri"/>
          <w:bCs/>
          <w:color w:val="000000" w:themeColor="text1"/>
          <w:sz w:val="24"/>
        </w:rPr>
        <w:t>E×0.60%÷</w:t>
      </w:r>
      <w:r w:rsidRPr="00777BCD">
        <w:rPr>
          <w:rFonts w:ascii="Calibri" w:hAnsi="Calibri" w:cs="Calibri"/>
          <w:bCs/>
          <w:color w:val="000000" w:themeColor="text1"/>
          <w:sz w:val="24"/>
        </w:rPr>
        <w:t>当年天数</w:t>
      </w:r>
    </w:p>
    <w:p w14:paraId="2E9A480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H</w:t>
      </w:r>
      <w:r w:rsidRPr="00777BCD">
        <w:rPr>
          <w:rFonts w:ascii="Calibri" w:hAnsi="Calibri" w:cs="Calibri"/>
          <w:bCs/>
          <w:color w:val="000000" w:themeColor="text1"/>
          <w:sz w:val="24"/>
        </w:rPr>
        <w:t>为</w:t>
      </w:r>
      <w:r w:rsidRPr="00777BCD">
        <w:rPr>
          <w:rFonts w:ascii="Calibri" w:hAnsi="Calibri" w:cs="Calibri"/>
          <w:bCs/>
          <w:color w:val="000000" w:themeColor="text1"/>
          <w:sz w:val="24"/>
        </w:rPr>
        <w:t>C</w:t>
      </w:r>
      <w:r w:rsidRPr="00777BCD">
        <w:rPr>
          <w:rFonts w:ascii="Calibri" w:hAnsi="Calibri" w:cs="Calibri"/>
          <w:bCs/>
          <w:color w:val="000000" w:themeColor="text1"/>
          <w:sz w:val="24"/>
        </w:rPr>
        <w:t>类基金份额每日应计提的销售服务费</w:t>
      </w:r>
    </w:p>
    <w:p w14:paraId="6FC9268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E</w:t>
      </w:r>
      <w:r w:rsidRPr="00777BCD">
        <w:rPr>
          <w:rFonts w:ascii="Calibri" w:hAnsi="Calibri" w:cs="Calibri"/>
          <w:bCs/>
          <w:color w:val="000000" w:themeColor="text1"/>
          <w:sz w:val="24"/>
        </w:rPr>
        <w:t>为</w:t>
      </w:r>
      <w:r w:rsidRPr="00777BCD">
        <w:rPr>
          <w:rFonts w:ascii="Calibri" w:hAnsi="Calibri" w:cs="Calibri"/>
          <w:bCs/>
          <w:color w:val="000000" w:themeColor="text1"/>
          <w:sz w:val="24"/>
        </w:rPr>
        <w:t>C</w:t>
      </w:r>
      <w:r w:rsidRPr="00777BCD">
        <w:rPr>
          <w:rFonts w:ascii="Calibri" w:hAnsi="Calibri" w:cs="Calibri"/>
          <w:bCs/>
          <w:color w:val="000000" w:themeColor="text1"/>
          <w:sz w:val="24"/>
        </w:rPr>
        <w:t>类基金份额前一日的基金资产净值</w:t>
      </w:r>
    </w:p>
    <w:p w14:paraId="12D8E769" w14:textId="4157C4D8"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C</w:t>
      </w:r>
      <w:r w:rsidRPr="00777BCD">
        <w:rPr>
          <w:rFonts w:ascii="Calibri" w:hAnsi="Calibri" w:cs="Calibri"/>
          <w:bCs/>
          <w:color w:val="000000" w:themeColor="text1"/>
          <w:sz w:val="24"/>
        </w:rPr>
        <w:t>类基金份额销售服务费每日计提，按月支付，由基金托管人根据与基金管理人核对一致的财务数据，自动在月初</w:t>
      </w:r>
      <w:r w:rsidRPr="00777BCD">
        <w:rPr>
          <w:rFonts w:ascii="Calibri" w:hAnsi="Calibri" w:cs="Calibri"/>
          <w:bCs/>
          <w:color w:val="000000" w:themeColor="text1"/>
          <w:sz w:val="24"/>
        </w:rPr>
        <w:t>5</w:t>
      </w:r>
      <w:proofErr w:type="gramStart"/>
      <w:r w:rsidRPr="00777BCD">
        <w:rPr>
          <w:rFonts w:ascii="Calibri" w:hAnsi="Calibri" w:cs="Calibri"/>
          <w:bCs/>
          <w:color w:val="000000" w:themeColor="text1"/>
          <w:sz w:val="24"/>
        </w:rPr>
        <w:t>个</w:t>
      </w:r>
      <w:proofErr w:type="gramEnd"/>
      <w:r w:rsidRPr="00777BCD">
        <w:rPr>
          <w:rFonts w:ascii="Calibri" w:hAnsi="Calibri" w:cs="Calibri"/>
          <w:bCs/>
          <w:color w:val="000000" w:themeColor="text1"/>
          <w:sz w:val="24"/>
        </w:rPr>
        <w:t>工作日内、按照指定的账户路径进行资金支付，基金管理人无需再出具资金划拨指令。若遇法定节假日、公休日等，支付日期顺延。费用自动扣划后，基金管理人应进行核对，如发现数据不符，及时联系基金托管人协商解决。</w:t>
      </w:r>
    </w:p>
    <w:p w14:paraId="2632681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、上述</w:t>
      </w:r>
      <w:r w:rsidRPr="00777BCD">
        <w:rPr>
          <w:rFonts w:ascii="Calibri" w:hAnsi="Calibri" w:cs="Calibri"/>
          <w:bCs/>
          <w:color w:val="000000" w:themeColor="text1"/>
          <w:sz w:val="24"/>
        </w:rPr>
        <w:t>“</w:t>
      </w:r>
      <w:r w:rsidRPr="00777BCD">
        <w:rPr>
          <w:rFonts w:ascii="Calibri" w:hAnsi="Calibri" w:cs="Calibri"/>
          <w:bCs/>
          <w:color w:val="000000" w:themeColor="text1"/>
          <w:sz w:val="24"/>
        </w:rPr>
        <w:t>一、基金费用的种类</w:t>
      </w:r>
      <w:r w:rsidRPr="00777BCD">
        <w:rPr>
          <w:rFonts w:ascii="Calibri" w:hAnsi="Calibri" w:cs="Calibri"/>
          <w:bCs/>
          <w:color w:val="000000" w:themeColor="text1"/>
          <w:sz w:val="24"/>
        </w:rPr>
        <w:t>”</w:t>
      </w:r>
      <w:r w:rsidRPr="00777BCD">
        <w:rPr>
          <w:rFonts w:ascii="Calibri" w:hAnsi="Calibri" w:cs="Calibri"/>
          <w:bCs/>
          <w:color w:val="000000" w:themeColor="text1"/>
          <w:sz w:val="24"/>
        </w:rPr>
        <w:t>中第</w:t>
      </w:r>
      <w:r w:rsidRPr="00777BCD">
        <w:rPr>
          <w:rFonts w:ascii="Calibri" w:hAnsi="Calibri" w:cs="Calibri"/>
          <w:bCs/>
          <w:color w:val="000000" w:themeColor="text1"/>
          <w:sz w:val="24"/>
        </w:rPr>
        <w:t>4-11</w:t>
      </w:r>
      <w:r w:rsidRPr="00777BCD">
        <w:rPr>
          <w:rFonts w:ascii="Calibri" w:hAnsi="Calibri" w:cs="Calibri"/>
          <w:bCs/>
          <w:color w:val="000000" w:themeColor="text1"/>
          <w:sz w:val="24"/>
        </w:rPr>
        <w:t>项费用，根据有关法律法规及相应协议规定，按费用实际支出金额列入当期费用，由基金托管人从基金财产中支付。</w:t>
      </w:r>
    </w:p>
    <w:p w14:paraId="76D0C027" w14:textId="77777777" w:rsidR="007149DF" w:rsidRPr="00777BCD" w:rsidRDefault="007149DF">
      <w:pPr>
        <w:ind w:firstLine="480"/>
        <w:rPr>
          <w:rFonts w:ascii="Calibri" w:hAnsi="Calibri" w:cs="Calibri"/>
          <w:bCs/>
          <w:color w:val="000000" w:themeColor="text1"/>
          <w:sz w:val="24"/>
        </w:rPr>
      </w:pPr>
    </w:p>
    <w:p w14:paraId="41688B0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三、不列入基金费用的项目</w:t>
      </w:r>
    </w:p>
    <w:p w14:paraId="62AA9D4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下列费用不列入基金费用：</w:t>
      </w:r>
    </w:p>
    <w:p w14:paraId="466091C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、基金管理人和基金托管人因未履行或未完全履行义务导致的费用支出或基金财产的损失；</w:t>
      </w:r>
    </w:p>
    <w:p w14:paraId="01C6134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、基金管理人和基金托管人处理与基金运作无关的事项发生的费用；</w:t>
      </w:r>
    </w:p>
    <w:p w14:paraId="26DD7DC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、《基金合同》生效前的相关费用；</w:t>
      </w:r>
    </w:p>
    <w:p w14:paraId="1A2F1AF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、其他根据相关法律法规及中国证监会的有关规定不得列入基金费用的项目。</w:t>
      </w:r>
      <w:bookmarkStart w:id="379" w:name="_Hlt88827255"/>
      <w:bookmarkEnd w:id="379"/>
    </w:p>
    <w:p w14:paraId="1C2AD7F1" w14:textId="77777777" w:rsidR="007149DF" w:rsidRPr="00777BCD" w:rsidRDefault="007149DF">
      <w:pPr>
        <w:ind w:firstLine="480"/>
        <w:rPr>
          <w:rFonts w:ascii="Calibri" w:hAnsi="Calibri" w:cs="Calibri"/>
          <w:bCs/>
          <w:color w:val="000000" w:themeColor="text1"/>
          <w:sz w:val="24"/>
        </w:rPr>
      </w:pPr>
    </w:p>
    <w:p w14:paraId="32AAFA5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四、实施</w:t>
      </w:r>
      <w:proofErr w:type="gramStart"/>
      <w:r w:rsidRPr="00777BCD">
        <w:rPr>
          <w:rFonts w:ascii="Calibri" w:hAnsi="Calibri" w:cs="Calibri"/>
          <w:bCs/>
          <w:color w:val="000000" w:themeColor="text1"/>
          <w:sz w:val="24"/>
        </w:rPr>
        <w:t>侧袋机制</w:t>
      </w:r>
      <w:proofErr w:type="gramEnd"/>
      <w:r w:rsidRPr="00777BCD">
        <w:rPr>
          <w:rFonts w:ascii="Calibri" w:hAnsi="Calibri" w:cs="Calibri"/>
          <w:bCs/>
          <w:color w:val="000000" w:themeColor="text1"/>
          <w:sz w:val="24"/>
        </w:rPr>
        <w:t>期间的基金费用</w:t>
      </w:r>
    </w:p>
    <w:p w14:paraId="6452A18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本基金实施</w:t>
      </w:r>
      <w:proofErr w:type="gramStart"/>
      <w:r w:rsidRPr="00777BCD">
        <w:rPr>
          <w:rFonts w:ascii="Calibri" w:hAnsi="Calibri" w:cs="Calibri"/>
          <w:bCs/>
          <w:color w:val="000000" w:themeColor="text1"/>
          <w:sz w:val="24"/>
        </w:rPr>
        <w:t>侧袋机制</w:t>
      </w:r>
      <w:proofErr w:type="gramEnd"/>
      <w:r w:rsidRPr="00777BCD">
        <w:rPr>
          <w:rFonts w:ascii="Calibri" w:hAnsi="Calibri" w:cs="Calibri"/>
          <w:bCs/>
          <w:color w:val="000000" w:themeColor="text1"/>
          <w:sz w:val="24"/>
        </w:rPr>
        <w:t>的，</w:t>
      </w:r>
      <w:proofErr w:type="gramStart"/>
      <w:r w:rsidRPr="00777BCD">
        <w:rPr>
          <w:rFonts w:ascii="Calibri" w:hAnsi="Calibri" w:cs="Calibri"/>
          <w:bCs/>
          <w:color w:val="000000" w:themeColor="text1"/>
          <w:sz w:val="24"/>
        </w:rPr>
        <w:t>与侧袋账户</w:t>
      </w:r>
      <w:proofErr w:type="gramEnd"/>
      <w:r w:rsidRPr="00777BCD">
        <w:rPr>
          <w:rFonts w:ascii="Calibri" w:hAnsi="Calibri" w:cs="Calibri"/>
          <w:bCs/>
          <w:color w:val="000000" w:themeColor="text1"/>
          <w:sz w:val="24"/>
        </w:rPr>
        <w:t>有关的费用可以</w:t>
      </w:r>
      <w:proofErr w:type="gramStart"/>
      <w:r w:rsidRPr="00777BCD">
        <w:rPr>
          <w:rFonts w:ascii="Calibri" w:hAnsi="Calibri" w:cs="Calibri"/>
          <w:bCs/>
          <w:color w:val="000000" w:themeColor="text1"/>
          <w:sz w:val="24"/>
        </w:rPr>
        <w:t>从侧袋账户</w:t>
      </w:r>
      <w:proofErr w:type="gramEnd"/>
      <w:r w:rsidRPr="00777BCD">
        <w:rPr>
          <w:rFonts w:ascii="Calibri" w:hAnsi="Calibri" w:cs="Calibri"/>
          <w:bCs/>
          <w:color w:val="000000" w:themeColor="text1"/>
          <w:sz w:val="24"/>
        </w:rPr>
        <w:t>中列支，但应</w:t>
      </w:r>
      <w:proofErr w:type="gramStart"/>
      <w:r w:rsidRPr="00777BCD">
        <w:rPr>
          <w:rFonts w:ascii="Calibri" w:hAnsi="Calibri" w:cs="Calibri"/>
          <w:bCs/>
          <w:color w:val="000000" w:themeColor="text1"/>
          <w:sz w:val="24"/>
        </w:rPr>
        <w:t>待侧袋</w:t>
      </w:r>
      <w:proofErr w:type="gramEnd"/>
      <w:r w:rsidRPr="00777BCD">
        <w:rPr>
          <w:rFonts w:ascii="Calibri" w:hAnsi="Calibri" w:cs="Calibri"/>
          <w:bCs/>
          <w:color w:val="000000" w:themeColor="text1"/>
          <w:sz w:val="24"/>
        </w:rPr>
        <w:t>账户资产变现后方可列支，有关费用可酌情收取或减免，但不得收取管理费，详见招募说明书或相关公告的规定。</w:t>
      </w:r>
      <w:bookmarkEnd w:id="376"/>
    </w:p>
    <w:p w14:paraId="510B0A7C" w14:textId="77777777" w:rsidR="007149DF" w:rsidRPr="00777BCD" w:rsidRDefault="007149DF">
      <w:pPr>
        <w:ind w:firstLine="480"/>
        <w:rPr>
          <w:rFonts w:ascii="Calibri" w:hAnsi="Calibri" w:cs="Calibri"/>
          <w:bCs/>
          <w:color w:val="000000" w:themeColor="text1"/>
          <w:sz w:val="24"/>
        </w:rPr>
      </w:pPr>
    </w:p>
    <w:p w14:paraId="2F9E267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五、基金税收</w:t>
      </w:r>
    </w:p>
    <w:p w14:paraId="613680E4" w14:textId="77777777" w:rsidR="007149DF" w:rsidRPr="00777BCD" w:rsidRDefault="00284640">
      <w:pPr>
        <w:ind w:firstLine="480"/>
        <w:rPr>
          <w:rFonts w:ascii="Calibri" w:hAnsi="Calibri" w:cs="Calibri"/>
          <w:bCs/>
          <w:color w:val="000000" w:themeColor="text1"/>
          <w:sz w:val="24"/>
          <w:szCs w:val="21"/>
        </w:rPr>
      </w:pPr>
      <w:r w:rsidRPr="00777BCD">
        <w:rPr>
          <w:rFonts w:ascii="Calibri" w:hAnsi="Calibri" w:cs="Calibri"/>
          <w:bCs/>
          <w:color w:val="000000" w:themeColor="text1"/>
          <w:sz w:val="24"/>
        </w:rPr>
        <w:t>本基金运作过程中涉及的各纳税主体，其纳税义务按国家税收法律、法规执行。</w:t>
      </w:r>
      <w:r w:rsidRPr="00777BCD">
        <w:rPr>
          <w:rFonts w:ascii="Calibri" w:hAnsi="Calibri" w:cs="Calibri"/>
          <w:bCs/>
          <w:color w:val="000000" w:themeColor="text1"/>
          <w:sz w:val="24"/>
          <w:szCs w:val="21"/>
        </w:rPr>
        <w:t>基金财产投资的相关税收，由基金份额持有人承担，基金管理人或者其他扣缴义务人按照国家有关税收征收的规定代扣代缴。</w:t>
      </w:r>
    </w:p>
    <w:p w14:paraId="02FB869F" w14:textId="77777777" w:rsidR="007149DF" w:rsidRPr="00777BCD" w:rsidRDefault="007149DF">
      <w:pPr>
        <w:ind w:firstLine="480"/>
        <w:rPr>
          <w:rFonts w:ascii="Calibri" w:hAnsi="Calibri" w:cs="Calibri"/>
          <w:bCs/>
          <w:color w:val="000000" w:themeColor="text1"/>
          <w:sz w:val="24"/>
        </w:rPr>
      </w:pPr>
    </w:p>
    <w:p w14:paraId="0668226F" w14:textId="77777777" w:rsidR="007149DF" w:rsidRPr="00777BCD" w:rsidRDefault="00284640">
      <w:pPr>
        <w:pStyle w:val="11"/>
        <w:spacing w:before="0" w:after="0"/>
        <w:ind w:firstLine="600"/>
        <w:jc w:val="center"/>
        <w:rPr>
          <w:rFonts w:ascii="Calibri" w:hAnsi="Calibri" w:cs="Calibri"/>
          <w:color w:val="000000" w:themeColor="text1"/>
          <w:sz w:val="30"/>
        </w:rPr>
      </w:pPr>
      <w:bookmarkStart w:id="380" w:name="_Toc92662707"/>
      <w:bookmarkStart w:id="381" w:name="_Toc93226149"/>
      <w:bookmarkStart w:id="382" w:name="_Toc141703896"/>
      <w:bookmarkStart w:id="383" w:name="_Toc22552"/>
      <w:bookmarkStart w:id="384" w:name="_Toc128310499"/>
      <w:bookmarkStart w:id="385" w:name="_Toc139991746"/>
      <w:r w:rsidRPr="00777BCD">
        <w:rPr>
          <w:rFonts w:ascii="Calibri" w:hAnsi="Calibri" w:cs="Calibri"/>
          <w:b w:val="0"/>
          <w:bCs/>
          <w:color w:val="000000" w:themeColor="text1"/>
          <w:sz w:val="30"/>
        </w:rPr>
        <w:br w:type="page"/>
      </w:r>
      <w:bookmarkStart w:id="386" w:name="_Toc3656"/>
      <w:bookmarkStart w:id="387" w:name="_Toc1617"/>
      <w:bookmarkStart w:id="388" w:name="_Toc20052"/>
      <w:bookmarkStart w:id="389" w:name="_Toc15525"/>
      <w:bookmarkStart w:id="390" w:name="_Toc6820035"/>
      <w:bookmarkStart w:id="391" w:name="_Toc12761"/>
      <w:bookmarkStart w:id="392" w:name="_Toc25883"/>
      <w:bookmarkStart w:id="393" w:name="_Toc21829"/>
      <w:bookmarkStart w:id="394" w:name="_Toc178"/>
      <w:bookmarkStart w:id="395" w:name="_Toc19558"/>
      <w:bookmarkStart w:id="396" w:name="_Toc160725914"/>
      <w:bookmarkStart w:id="397" w:name="_Hlk23248915"/>
      <w:bookmarkEnd w:id="375"/>
      <w:r w:rsidRPr="00777BCD">
        <w:rPr>
          <w:rFonts w:ascii="Calibri" w:hAnsi="Calibri" w:cs="Calibri"/>
          <w:color w:val="000000" w:themeColor="text1"/>
          <w:sz w:val="30"/>
        </w:rPr>
        <w:lastRenderedPageBreak/>
        <w:t>第十六部分</w:t>
      </w:r>
      <w:r w:rsidRPr="00777BCD">
        <w:rPr>
          <w:rFonts w:ascii="Calibri" w:hAnsi="Calibri" w:cs="Calibri"/>
          <w:color w:val="000000" w:themeColor="text1"/>
          <w:sz w:val="30"/>
        </w:rPr>
        <w:t xml:space="preserve">  </w:t>
      </w:r>
      <w:r w:rsidRPr="00777BCD">
        <w:rPr>
          <w:rFonts w:ascii="Calibri" w:hAnsi="Calibri" w:cs="Calibri"/>
          <w:color w:val="000000" w:themeColor="text1"/>
          <w:sz w:val="30"/>
        </w:rPr>
        <w:t>基金</w:t>
      </w:r>
      <w:bookmarkEnd w:id="380"/>
      <w:bookmarkEnd w:id="381"/>
      <w:r w:rsidRPr="00777BCD">
        <w:rPr>
          <w:rFonts w:ascii="Calibri" w:hAnsi="Calibri" w:cs="Calibri"/>
          <w:color w:val="000000" w:themeColor="text1"/>
          <w:sz w:val="30"/>
        </w:rPr>
        <w:t>的收益与分配</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63FDB74B" w14:textId="77777777" w:rsidR="007149DF" w:rsidRPr="00777BCD" w:rsidRDefault="007149DF">
      <w:pPr>
        <w:ind w:firstLine="420"/>
        <w:rPr>
          <w:rFonts w:ascii="Calibri" w:hAnsi="Calibri" w:cs="Calibri"/>
          <w:bCs/>
          <w:color w:val="000000" w:themeColor="text1"/>
        </w:rPr>
      </w:pPr>
    </w:p>
    <w:p w14:paraId="176DA735" w14:textId="77777777" w:rsidR="007149DF" w:rsidRPr="00777BCD" w:rsidRDefault="00284640">
      <w:pPr>
        <w:ind w:firstLine="540"/>
        <w:rPr>
          <w:rFonts w:ascii="Calibri" w:hAnsi="Calibri" w:cs="Calibri"/>
          <w:bCs/>
          <w:color w:val="000000" w:themeColor="text1"/>
          <w:sz w:val="24"/>
        </w:rPr>
      </w:pPr>
      <w:bookmarkStart w:id="398" w:name="_Hlk6491248"/>
      <w:r w:rsidRPr="00777BCD">
        <w:rPr>
          <w:rFonts w:ascii="Calibri" w:hAnsi="Calibri" w:cs="Calibri"/>
          <w:bCs/>
          <w:color w:val="000000" w:themeColor="text1"/>
          <w:sz w:val="24"/>
        </w:rPr>
        <w:t>一、基金利润的构成</w:t>
      </w:r>
    </w:p>
    <w:p w14:paraId="64B4672E" w14:textId="77777777" w:rsidR="007149DF" w:rsidRPr="00777BCD" w:rsidRDefault="00284640">
      <w:pPr>
        <w:ind w:firstLine="540"/>
        <w:rPr>
          <w:rFonts w:ascii="Calibri" w:hAnsi="Calibri" w:cs="Calibri"/>
          <w:bCs/>
          <w:color w:val="000000" w:themeColor="text1"/>
          <w:sz w:val="24"/>
        </w:rPr>
      </w:pPr>
      <w:r w:rsidRPr="00777BCD">
        <w:rPr>
          <w:rFonts w:ascii="Calibri" w:hAnsi="Calibri" w:cs="Calibri"/>
          <w:bCs/>
          <w:color w:val="000000" w:themeColor="text1"/>
          <w:sz w:val="24"/>
        </w:rPr>
        <w:t>基金利润指基金利息收入、投资收益、公允价值变动收益和其他收入扣除相关费用后的余额，基金已实现收益指基金利润减去公允价值变动收益后的余额。</w:t>
      </w:r>
    </w:p>
    <w:p w14:paraId="77E74220" w14:textId="77777777" w:rsidR="007149DF" w:rsidRPr="00777BCD" w:rsidRDefault="007149DF">
      <w:pPr>
        <w:ind w:firstLine="540"/>
        <w:rPr>
          <w:rFonts w:ascii="Calibri" w:hAnsi="Calibri" w:cs="Calibri"/>
          <w:bCs/>
          <w:color w:val="000000" w:themeColor="text1"/>
          <w:sz w:val="24"/>
        </w:rPr>
      </w:pPr>
    </w:p>
    <w:p w14:paraId="7DE0AD79" w14:textId="77777777" w:rsidR="007149DF" w:rsidRPr="00777BCD" w:rsidRDefault="00284640">
      <w:pPr>
        <w:ind w:firstLine="540"/>
        <w:rPr>
          <w:rFonts w:ascii="Calibri" w:hAnsi="Calibri" w:cs="Calibri"/>
          <w:bCs/>
          <w:color w:val="000000" w:themeColor="text1"/>
          <w:sz w:val="24"/>
        </w:rPr>
      </w:pPr>
      <w:r w:rsidRPr="00777BCD">
        <w:rPr>
          <w:rFonts w:ascii="Calibri" w:hAnsi="Calibri" w:cs="Calibri"/>
          <w:bCs/>
          <w:color w:val="000000" w:themeColor="text1"/>
          <w:sz w:val="24"/>
        </w:rPr>
        <w:t>二、基金可供分配利润</w:t>
      </w:r>
    </w:p>
    <w:p w14:paraId="2F6BF1DF" w14:textId="630C0371" w:rsidR="007149DF" w:rsidRPr="00777BCD" w:rsidRDefault="00284640">
      <w:pPr>
        <w:ind w:firstLine="540"/>
        <w:rPr>
          <w:rFonts w:ascii="Calibri" w:hAnsi="Calibri" w:cs="Calibri"/>
          <w:bCs/>
          <w:color w:val="000000" w:themeColor="text1"/>
          <w:sz w:val="24"/>
        </w:rPr>
      </w:pPr>
      <w:r w:rsidRPr="00777BCD">
        <w:rPr>
          <w:rFonts w:ascii="Calibri" w:hAnsi="Calibri" w:cs="Calibri"/>
          <w:bCs/>
          <w:color w:val="000000" w:themeColor="text1"/>
          <w:sz w:val="24"/>
        </w:rPr>
        <w:t>基金可供分配利润指截至收益分配基准日基金未分配利润与未分配利润中已实现收益的孰低数。</w:t>
      </w:r>
    </w:p>
    <w:p w14:paraId="5B2AB5AD" w14:textId="77777777" w:rsidR="007149DF" w:rsidRPr="00777BCD" w:rsidRDefault="007149DF">
      <w:pPr>
        <w:ind w:firstLine="540"/>
        <w:rPr>
          <w:rFonts w:ascii="Calibri" w:hAnsi="Calibri" w:cs="Calibri"/>
          <w:bCs/>
          <w:color w:val="000000" w:themeColor="text1"/>
          <w:sz w:val="24"/>
        </w:rPr>
      </w:pPr>
    </w:p>
    <w:p w14:paraId="10889A7F" w14:textId="77777777" w:rsidR="007149DF" w:rsidRPr="00777BCD" w:rsidRDefault="00284640">
      <w:pPr>
        <w:ind w:firstLine="540"/>
        <w:rPr>
          <w:rFonts w:ascii="Calibri" w:hAnsi="Calibri" w:cs="Calibri"/>
          <w:bCs/>
          <w:color w:val="000000" w:themeColor="text1"/>
          <w:sz w:val="24"/>
        </w:rPr>
      </w:pPr>
      <w:bookmarkStart w:id="399" w:name="_Hlk47895198"/>
      <w:r w:rsidRPr="00777BCD">
        <w:rPr>
          <w:rFonts w:ascii="Calibri" w:hAnsi="Calibri" w:cs="Calibri"/>
          <w:bCs/>
          <w:color w:val="000000" w:themeColor="text1"/>
          <w:sz w:val="24"/>
        </w:rPr>
        <w:t>三、基金收益分配原则</w:t>
      </w:r>
    </w:p>
    <w:p w14:paraId="639BBC26" w14:textId="77777777" w:rsidR="007149DF" w:rsidRPr="00777BCD" w:rsidRDefault="00284640">
      <w:pPr>
        <w:ind w:firstLine="54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、在符合有关基金分红条件的前提下，本基金可进行收益分配，具体分红方案</w:t>
      </w:r>
      <w:proofErr w:type="gramStart"/>
      <w:r w:rsidRPr="00777BCD">
        <w:rPr>
          <w:rFonts w:ascii="Calibri" w:hAnsi="Calibri" w:cs="Calibri"/>
          <w:bCs/>
          <w:color w:val="000000" w:themeColor="text1"/>
          <w:sz w:val="24"/>
        </w:rPr>
        <w:t>见基金</w:t>
      </w:r>
      <w:proofErr w:type="gramEnd"/>
      <w:r w:rsidRPr="00777BCD">
        <w:rPr>
          <w:rFonts w:ascii="Calibri" w:hAnsi="Calibri" w:cs="Calibri"/>
          <w:bCs/>
          <w:color w:val="000000" w:themeColor="text1"/>
          <w:sz w:val="24"/>
        </w:rPr>
        <w:t>管理人根据基金运作情况届时不定期发布的相关分红公告；若《基金合同》生效不满</w:t>
      </w:r>
      <w:r w:rsidRPr="00777BCD">
        <w:rPr>
          <w:rFonts w:ascii="Calibri" w:hAnsi="Calibri" w:cs="Calibri"/>
          <w:bCs/>
          <w:color w:val="000000" w:themeColor="text1"/>
          <w:sz w:val="24"/>
        </w:rPr>
        <w:t>3</w:t>
      </w:r>
      <w:r w:rsidRPr="00777BCD">
        <w:rPr>
          <w:rFonts w:ascii="Calibri" w:hAnsi="Calibri" w:cs="Calibri"/>
          <w:bCs/>
          <w:color w:val="000000" w:themeColor="text1"/>
          <w:sz w:val="24"/>
        </w:rPr>
        <w:t>个月可不进行收益分配；</w:t>
      </w:r>
    </w:p>
    <w:p w14:paraId="688DD89E" w14:textId="575227B3" w:rsidR="007149DF" w:rsidRPr="00777BCD" w:rsidRDefault="00284640">
      <w:pPr>
        <w:ind w:firstLine="54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、本基金收益分配方式分两种：现金分红与红利再投资，投资者可选择现金红利或将现金红利自动转为相应类别的基金份额进行再投资；若投资者不选择，本基金默认的收益分配方式是现金分红；</w:t>
      </w:r>
    </w:p>
    <w:p w14:paraId="24BC04EF" w14:textId="77777777" w:rsidR="007149DF" w:rsidRPr="00777BCD" w:rsidRDefault="00284640">
      <w:pPr>
        <w:ind w:firstLine="54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、基金收益分配后各类基金份额净值不能低于面值，即基金收益分配基准日的各类基金份额净值减去每单位该类基金份额收益分配金额后不能低于面值；</w:t>
      </w:r>
    </w:p>
    <w:p w14:paraId="5C160F00" w14:textId="5F2777C5" w:rsidR="007149DF" w:rsidRPr="00777BCD" w:rsidRDefault="00284640">
      <w:pPr>
        <w:ind w:firstLine="540"/>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w:t>
      </w:r>
      <w:r w:rsidRPr="00777BCD">
        <w:rPr>
          <w:rFonts w:ascii="Calibri" w:hAnsi="Calibri" w:cs="Calibri"/>
          <w:bCs/>
          <w:color w:val="000000" w:themeColor="text1"/>
          <w:sz w:val="24"/>
          <w:szCs w:val="24"/>
        </w:rPr>
        <w:t>由于本基金各类基金份额的费用不同，各基金份额类别对应的</w:t>
      </w:r>
      <w:bookmarkStart w:id="400" w:name="_Hlk161151937"/>
      <w:r w:rsidR="00803E49" w:rsidRPr="00777BCD">
        <w:rPr>
          <w:rFonts w:ascii="Calibri" w:hAnsi="Calibri" w:cs="Calibri"/>
          <w:bCs/>
          <w:color w:val="000000" w:themeColor="text1"/>
          <w:sz w:val="24"/>
          <w:szCs w:val="24"/>
        </w:rPr>
        <w:t>可供分配利润</w:t>
      </w:r>
      <w:bookmarkEnd w:id="400"/>
      <w:r w:rsidRPr="00777BCD">
        <w:rPr>
          <w:rFonts w:ascii="Calibri" w:hAnsi="Calibri" w:cs="Calibri"/>
          <w:bCs/>
          <w:color w:val="000000" w:themeColor="text1"/>
          <w:sz w:val="24"/>
          <w:szCs w:val="24"/>
        </w:rPr>
        <w:t>将有所不同，本基金同一类别的每一基金份额享有同等分配权；</w:t>
      </w:r>
    </w:p>
    <w:p w14:paraId="554A6C75" w14:textId="77777777" w:rsidR="007149DF" w:rsidRPr="00777BCD" w:rsidRDefault="00284640">
      <w:pPr>
        <w:ind w:firstLine="540"/>
        <w:rPr>
          <w:rFonts w:ascii="Calibri" w:hAnsi="Calibri" w:cs="Calibri"/>
          <w:bCs/>
          <w:color w:val="000000" w:themeColor="text1"/>
          <w:sz w:val="24"/>
        </w:rPr>
      </w:pPr>
      <w:r w:rsidRPr="00777BCD">
        <w:rPr>
          <w:rFonts w:ascii="Calibri" w:hAnsi="Calibri" w:cs="Calibri"/>
          <w:bCs/>
          <w:color w:val="000000" w:themeColor="text1"/>
          <w:sz w:val="24"/>
        </w:rPr>
        <w:t>5</w:t>
      </w:r>
      <w:r w:rsidRPr="00777BCD">
        <w:rPr>
          <w:rFonts w:ascii="Calibri" w:hAnsi="Calibri" w:cs="Calibri"/>
          <w:bCs/>
          <w:color w:val="000000" w:themeColor="text1"/>
          <w:sz w:val="24"/>
        </w:rPr>
        <w:t>、法律法规或监管机关另有规定的，从其规定。</w:t>
      </w:r>
    </w:p>
    <w:p w14:paraId="232FAF34" w14:textId="5BCD5D3E" w:rsidR="007149DF" w:rsidRPr="00777BCD" w:rsidRDefault="00284640">
      <w:pPr>
        <w:ind w:firstLine="540"/>
        <w:rPr>
          <w:rFonts w:ascii="Calibri" w:hAnsi="Calibri" w:cs="Calibri"/>
          <w:bCs/>
          <w:color w:val="000000" w:themeColor="text1"/>
          <w:sz w:val="24"/>
        </w:rPr>
      </w:pPr>
      <w:r w:rsidRPr="00777BCD">
        <w:rPr>
          <w:rFonts w:ascii="Calibri" w:hAnsi="Calibri" w:cs="Calibri"/>
          <w:bCs/>
          <w:color w:val="000000" w:themeColor="text1"/>
          <w:sz w:val="24"/>
        </w:rPr>
        <w:t>在符合法律法规及基金合同约定，并对基金份额持有人利益无实质性不利影响的前提下，基金管理人经与基金托管人协商一致后可对基金收益分配原则和支付方式进行调整，不需召开基金份额持有人大会。</w:t>
      </w:r>
    </w:p>
    <w:p w14:paraId="77612A8A" w14:textId="77777777" w:rsidR="007149DF" w:rsidRPr="00777BCD" w:rsidRDefault="007149DF">
      <w:pPr>
        <w:ind w:firstLine="540"/>
        <w:rPr>
          <w:rFonts w:ascii="Calibri" w:hAnsi="Calibri" w:cs="Calibri"/>
          <w:bCs/>
          <w:color w:val="000000" w:themeColor="text1"/>
          <w:sz w:val="24"/>
        </w:rPr>
      </w:pPr>
    </w:p>
    <w:p w14:paraId="65A9E95D" w14:textId="77777777" w:rsidR="007149DF" w:rsidRPr="00777BCD" w:rsidRDefault="00284640">
      <w:pPr>
        <w:ind w:firstLine="540"/>
        <w:rPr>
          <w:rFonts w:ascii="Calibri" w:hAnsi="Calibri" w:cs="Calibri"/>
          <w:bCs/>
          <w:color w:val="000000" w:themeColor="text1"/>
          <w:sz w:val="24"/>
        </w:rPr>
      </w:pPr>
      <w:r w:rsidRPr="00777BCD">
        <w:rPr>
          <w:rFonts w:ascii="Calibri" w:hAnsi="Calibri" w:cs="Calibri"/>
          <w:bCs/>
          <w:color w:val="000000" w:themeColor="text1"/>
          <w:sz w:val="24"/>
        </w:rPr>
        <w:t>四、收益分配方案</w:t>
      </w:r>
    </w:p>
    <w:p w14:paraId="426A9117" w14:textId="082AB097" w:rsidR="007149DF" w:rsidRPr="00777BCD" w:rsidRDefault="00284640">
      <w:pPr>
        <w:ind w:firstLine="540"/>
        <w:rPr>
          <w:rFonts w:ascii="Calibri" w:hAnsi="Calibri" w:cs="Calibri"/>
          <w:bCs/>
          <w:color w:val="000000" w:themeColor="text1"/>
          <w:sz w:val="24"/>
        </w:rPr>
      </w:pPr>
      <w:r w:rsidRPr="00777BCD">
        <w:rPr>
          <w:rFonts w:ascii="Calibri" w:hAnsi="Calibri" w:cs="Calibri"/>
          <w:bCs/>
          <w:color w:val="000000" w:themeColor="text1"/>
          <w:sz w:val="24"/>
        </w:rPr>
        <w:lastRenderedPageBreak/>
        <w:t>基金收益分配方案中应载明截</w:t>
      </w:r>
      <w:r w:rsidRPr="00777BCD">
        <w:rPr>
          <w:rFonts w:ascii="Calibri" w:hAnsi="Calibri" w:cs="Calibri"/>
          <w:bCs/>
          <w:sz w:val="24"/>
          <w:szCs w:val="24"/>
        </w:rPr>
        <w:t>至</w:t>
      </w:r>
      <w:r w:rsidRPr="00777BCD">
        <w:rPr>
          <w:rFonts w:ascii="Calibri" w:hAnsi="Calibri" w:cs="Calibri"/>
          <w:bCs/>
          <w:color w:val="000000" w:themeColor="text1"/>
          <w:sz w:val="24"/>
        </w:rPr>
        <w:t>收益分配基准日的可供分配利润、基金收益分配对象、分配时间、分配数额及比例、分配方式等内容。由于不同基金份额类别对应的</w:t>
      </w:r>
      <w:r w:rsidR="00F303F6" w:rsidRPr="00777BCD">
        <w:rPr>
          <w:rFonts w:ascii="Calibri" w:hAnsi="Calibri" w:cs="Calibri"/>
          <w:bCs/>
          <w:color w:val="000000" w:themeColor="text1"/>
          <w:sz w:val="24"/>
        </w:rPr>
        <w:t>可供分配利润</w:t>
      </w:r>
      <w:r w:rsidRPr="00777BCD">
        <w:rPr>
          <w:rFonts w:ascii="Calibri" w:hAnsi="Calibri" w:cs="Calibri"/>
          <w:bCs/>
          <w:color w:val="000000" w:themeColor="text1"/>
          <w:sz w:val="24"/>
        </w:rPr>
        <w:t>不同，基金管理人可相应制定不同的收益分配方案。</w:t>
      </w:r>
    </w:p>
    <w:p w14:paraId="0D4D064F" w14:textId="77777777" w:rsidR="007149DF" w:rsidRPr="00777BCD" w:rsidRDefault="007149DF">
      <w:pPr>
        <w:ind w:firstLine="540"/>
        <w:rPr>
          <w:rFonts w:ascii="Calibri" w:hAnsi="Calibri" w:cs="Calibri"/>
          <w:bCs/>
          <w:color w:val="000000" w:themeColor="text1"/>
          <w:sz w:val="24"/>
        </w:rPr>
      </w:pPr>
    </w:p>
    <w:p w14:paraId="5EF7CE34" w14:textId="77777777" w:rsidR="007149DF" w:rsidRPr="00777BCD" w:rsidRDefault="00284640">
      <w:pPr>
        <w:ind w:firstLine="540"/>
        <w:rPr>
          <w:rFonts w:ascii="Calibri" w:hAnsi="Calibri" w:cs="Calibri"/>
          <w:bCs/>
          <w:color w:val="000000" w:themeColor="text1"/>
          <w:sz w:val="24"/>
        </w:rPr>
      </w:pPr>
      <w:r w:rsidRPr="00777BCD">
        <w:rPr>
          <w:rFonts w:ascii="Calibri" w:hAnsi="Calibri" w:cs="Calibri"/>
          <w:bCs/>
          <w:color w:val="000000" w:themeColor="text1"/>
          <w:sz w:val="24"/>
        </w:rPr>
        <w:t>五、收益分配方案的确定、公告与实施</w:t>
      </w:r>
    </w:p>
    <w:p w14:paraId="63AE81FF" w14:textId="77777777" w:rsidR="007149DF" w:rsidRPr="00777BCD" w:rsidRDefault="00284640">
      <w:pPr>
        <w:ind w:firstLine="540"/>
        <w:rPr>
          <w:rFonts w:ascii="Calibri" w:hAnsi="Calibri" w:cs="Calibri"/>
          <w:bCs/>
          <w:color w:val="000000" w:themeColor="text1"/>
          <w:sz w:val="24"/>
        </w:rPr>
      </w:pPr>
      <w:r w:rsidRPr="00777BCD">
        <w:rPr>
          <w:rFonts w:ascii="Calibri" w:hAnsi="Calibri" w:cs="Calibri"/>
          <w:bCs/>
          <w:color w:val="000000" w:themeColor="text1"/>
          <w:sz w:val="24"/>
        </w:rPr>
        <w:t>本基金收益分配方案由基金管理人拟定，并由基金托管人复核，在</w:t>
      </w:r>
      <w:r w:rsidRPr="00777BCD">
        <w:rPr>
          <w:rFonts w:ascii="Calibri" w:hAnsi="Calibri" w:cs="Calibri"/>
          <w:bCs/>
          <w:color w:val="000000" w:themeColor="text1"/>
          <w:sz w:val="24"/>
        </w:rPr>
        <w:t>2</w:t>
      </w:r>
      <w:r w:rsidRPr="00777BCD">
        <w:rPr>
          <w:rFonts w:ascii="Calibri" w:hAnsi="Calibri" w:cs="Calibri"/>
          <w:bCs/>
          <w:color w:val="000000" w:themeColor="text1"/>
          <w:sz w:val="24"/>
        </w:rPr>
        <w:t>日内在规定媒介公告。</w:t>
      </w:r>
    </w:p>
    <w:p w14:paraId="38BDFD10" w14:textId="77777777" w:rsidR="007149DF" w:rsidRPr="00777BCD" w:rsidRDefault="007149DF">
      <w:pPr>
        <w:ind w:firstLine="540"/>
        <w:rPr>
          <w:rFonts w:ascii="Calibri" w:hAnsi="Calibri" w:cs="Calibri"/>
          <w:bCs/>
          <w:color w:val="000000" w:themeColor="text1"/>
          <w:sz w:val="24"/>
        </w:rPr>
      </w:pPr>
    </w:p>
    <w:p w14:paraId="6BA21817" w14:textId="77777777" w:rsidR="007149DF" w:rsidRPr="00777BCD" w:rsidRDefault="00284640">
      <w:pPr>
        <w:ind w:firstLine="540"/>
        <w:rPr>
          <w:rFonts w:ascii="Calibri" w:hAnsi="Calibri" w:cs="Calibri"/>
          <w:bCs/>
          <w:color w:val="000000" w:themeColor="text1"/>
          <w:sz w:val="24"/>
        </w:rPr>
      </w:pPr>
      <w:r w:rsidRPr="00777BCD">
        <w:rPr>
          <w:rFonts w:ascii="Calibri" w:hAnsi="Calibri" w:cs="Calibri"/>
          <w:bCs/>
          <w:color w:val="000000" w:themeColor="text1"/>
          <w:sz w:val="24"/>
        </w:rPr>
        <w:t>六、基金收益分配中发生的费用</w:t>
      </w:r>
    </w:p>
    <w:p w14:paraId="44831CEC" w14:textId="77777777" w:rsidR="007149DF" w:rsidRPr="00777BCD" w:rsidRDefault="00284640">
      <w:pPr>
        <w:ind w:firstLine="540"/>
        <w:rPr>
          <w:rFonts w:ascii="Calibri" w:hAnsi="Calibri" w:cs="Calibri"/>
          <w:bCs/>
          <w:color w:val="000000" w:themeColor="text1"/>
          <w:sz w:val="24"/>
        </w:rPr>
      </w:pPr>
      <w:r w:rsidRPr="00777BCD">
        <w:rPr>
          <w:rFonts w:ascii="Calibri" w:hAnsi="Calibri" w:cs="Calibri"/>
          <w:bCs/>
          <w:color w:val="000000" w:themeColor="text1"/>
          <w:sz w:val="24"/>
        </w:rPr>
        <w:t>基金收益分配时所发生的银行转账或其他手续费用由投资者自行承担。当投资者的现金红利小于一定金额，不足以支付银行转账或其他手续费用时，基金登记机构可将基金份额持有人的现金红利自动转为相应类别的基金份额。红利再投资的计算方法，依照《业务规则》执行。</w:t>
      </w:r>
    </w:p>
    <w:p w14:paraId="74F9593B" w14:textId="77777777" w:rsidR="007149DF" w:rsidRPr="00777BCD" w:rsidRDefault="007149DF">
      <w:pPr>
        <w:ind w:firstLine="540"/>
        <w:rPr>
          <w:rFonts w:ascii="Calibri" w:hAnsi="Calibri" w:cs="Calibri"/>
          <w:bCs/>
          <w:color w:val="000000" w:themeColor="text1"/>
          <w:sz w:val="24"/>
        </w:rPr>
      </w:pPr>
    </w:p>
    <w:p w14:paraId="1CE121EC" w14:textId="77777777" w:rsidR="007149DF" w:rsidRPr="00777BCD" w:rsidRDefault="00284640">
      <w:pPr>
        <w:ind w:firstLine="540"/>
        <w:rPr>
          <w:rFonts w:ascii="Calibri" w:hAnsi="Calibri" w:cs="Calibri"/>
          <w:bCs/>
          <w:color w:val="000000" w:themeColor="text1"/>
          <w:sz w:val="24"/>
        </w:rPr>
      </w:pPr>
      <w:r w:rsidRPr="00777BCD">
        <w:rPr>
          <w:rFonts w:ascii="Calibri" w:hAnsi="Calibri" w:cs="Calibri"/>
          <w:bCs/>
          <w:color w:val="000000" w:themeColor="text1"/>
          <w:sz w:val="24"/>
        </w:rPr>
        <w:t>七、实施</w:t>
      </w:r>
      <w:proofErr w:type="gramStart"/>
      <w:r w:rsidRPr="00777BCD">
        <w:rPr>
          <w:rFonts w:ascii="Calibri" w:hAnsi="Calibri" w:cs="Calibri"/>
          <w:bCs/>
          <w:color w:val="000000" w:themeColor="text1"/>
          <w:sz w:val="24"/>
        </w:rPr>
        <w:t>侧袋机制</w:t>
      </w:r>
      <w:proofErr w:type="gramEnd"/>
      <w:r w:rsidRPr="00777BCD">
        <w:rPr>
          <w:rFonts w:ascii="Calibri" w:hAnsi="Calibri" w:cs="Calibri"/>
          <w:bCs/>
          <w:color w:val="000000" w:themeColor="text1"/>
          <w:sz w:val="24"/>
        </w:rPr>
        <w:t>期间的收益分配</w:t>
      </w:r>
    </w:p>
    <w:p w14:paraId="03DF2D62" w14:textId="77777777" w:rsidR="007149DF" w:rsidRPr="00777BCD" w:rsidRDefault="00284640">
      <w:pPr>
        <w:ind w:firstLine="540"/>
        <w:rPr>
          <w:rFonts w:ascii="Calibri" w:hAnsi="Calibri" w:cs="Calibri"/>
          <w:bCs/>
          <w:color w:val="000000" w:themeColor="text1"/>
          <w:sz w:val="24"/>
        </w:rPr>
      </w:pPr>
      <w:r w:rsidRPr="00777BCD">
        <w:rPr>
          <w:rFonts w:ascii="Calibri" w:hAnsi="Calibri" w:cs="Calibri"/>
          <w:bCs/>
          <w:color w:val="000000" w:themeColor="text1"/>
          <w:sz w:val="24"/>
        </w:rPr>
        <w:t>本基金实施</w:t>
      </w:r>
      <w:proofErr w:type="gramStart"/>
      <w:r w:rsidRPr="00777BCD">
        <w:rPr>
          <w:rFonts w:ascii="Calibri" w:hAnsi="Calibri" w:cs="Calibri"/>
          <w:bCs/>
          <w:color w:val="000000" w:themeColor="text1"/>
          <w:sz w:val="24"/>
        </w:rPr>
        <w:t>侧袋机制</w:t>
      </w:r>
      <w:proofErr w:type="gramEnd"/>
      <w:r w:rsidRPr="00777BCD">
        <w:rPr>
          <w:rFonts w:ascii="Calibri" w:hAnsi="Calibri" w:cs="Calibri"/>
          <w:bCs/>
          <w:color w:val="000000" w:themeColor="text1"/>
          <w:sz w:val="24"/>
        </w:rPr>
        <w:t>的，</w:t>
      </w:r>
      <w:proofErr w:type="gramStart"/>
      <w:r w:rsidRPr="00777BCD">
        <w:rPr>
          <w:rFonts w:ascii="Calibri" w:hAnsi="Calibri" w:cs="Calibri"/>
          <w:bCs/>
          <w:color w:val="000000" w:themeColor="text1"/>
          <w:sz w:val="24"/>
        </w:rPr>
        <w:t>侧袋账户</w:t>
      </w:r>
      <w:proofErr w:type="gramEnd"/>
      <w:r w:rsidRPr="00777BCD">
        <w:rPr>
          <w:rFonts w:ascii="Calibri" w:hAnsi="Calibri" w:cs="Calibri"/>
          <w:bCs/>
          <w:color w:val="000000" w:themeColor="text1"/>
          <w:sz w:val="24"/>
        </w:rPr>
        <w:t>不进行收益分配，详见招募说明书的规定。</w:t>
      </w:r>
      <w:bookmarkEnd w:id="398"/>
    </w:p>
    <w:p w14:paraId="23DCC97E" w14:textId="77777777" w:rsidR="007149DF" w:rsidRPr="00777BCD" w:rsidRDefault="00284640">
      <w:pPr>
        <w:pStyle w:val="11"/>
        <w:spacing w:before="0" w:after="0"/>
        <w:ind w:firstLine="420"/>
        <w:jc w:val="center"/>
        <w:rPr>
          <w:rFonts w:ascii="Calibri" w:hAnsi="Calibri" w:cs="Calibri"/>
          <w:color w:val="000000" w:themeColor="text1"/>
          <w:sz w:val="30"/>
        </w:rPr>
      </w:pPr>
      <w:r w:rsidRPr="00777BCD">
        <w:rPr>
          <w:rFonts w:ascii="Calibri" w:hAnsi="Calibri" w:cs="Calibri"/>
          <w:b w:val="0"/>
          <w:bCs/>
          <w:color w:val="000000" w:themeColor="text1"/>
          <w:sz w:val="21"/>
        </w:rPr>
        <w:br w:type="page"/>
      </w:r>
      <w:bookmarkStart w:id="401" w:name="_Toc93226150"/>
      <w:bookmarkStart w:id="402" w:name="_Toc92662708"/>
      <w:bookmarkStart w:id="403" w:name="_Toc17499"/>
      <w:bookmarkStart w:id="404" w:name="_Toc21206"/>
      <w:bookmarkStart w:id="405" w:name="_Toc18007"/>
      <w:bookmarkStart w:id="406" w:name="_Toc13255"/>
      <w:bookmarkStart w:id="407" w:name="_Toc23859"/>
      <w:bookmarkStart w:id="408" w:name="_Toc141703897"/>
      <w:bookmarkStart w:id="409" w:name="_Toc28961"/>
      <w:bookmarkStart w:id="410" w:name="_Toc128310500"/>
      <w:bookmarkStart w:id="411" w:name="_Toc139991747"/>
      <w:bookmarkStart w:id="412" w:name="_Toc1043"/>
      <w:bookmarkStart w:id="413" w:name="_Toc31736"/>
      <w:bookmarkStart w:id="414" w:name="_Toc6820036"/>
      <w:bookmarkStart w:id="415" w:name="_Toc10894"/>
      <w:bookmarkStart w:id="416" w:name="_Toc29695"/>
      <w:bookmarkStart w:id="417" w:name="_Toc160725915"/>
      <w:bookmarkEnd w:id="397"/>
      <w:bookmarkEnd w:id="399"/>
      <w:r w:rsidRPr="00777BCD">
        <w:rPr>
          <w:rFonts w:ascii="Calibri" w:hAnsi="Calibri" w:cs="Calibri"/>
          <w:color w:val="000000" w:themeColor="text1"/>
          <w:sz w:val="30"/>
        </w:rPr>
        <w:lastRenderedPageBreak/>
        <w:t>第十七部分</w:t>
      </w:r>
      <w:r w:rsidRPr="00777BCD">
        <w:rPr>
          <w:rFonts w:ascii="Calibri" w:hAnsi="Calibri" w:cs="Calibri"/>
          <w:color w:val="000000" w:themeColor="text1"/>
          <w:sz w:val="30"/>
        </w:rPr>
        <w:t xml:space="preserve">  </w:t>
      </w:r>
      <w:r w:rsidRPr="00777BCD">
        <w:rPr>
          <w:rFonts w:ascii="Calibri" w:hAnsi="Calibri" w:cs="Calibri"/>
          <w:color w:val="000000" w:themeColor="text1"/>
          <w:sz w:val="30"/>
        </w:rPr>
        <w:t>基金</w:t>
      </w:r>
      <w:bookmarkEnd w:id="401"/>
      <w:bookmarkEnd w:id="402"/>
      <w:r w:rsidRPr="00777BCD">
        <w:rPr>
          <w:rFonts w:ascii="Calibri" w:hAnsi="Calibri" w:cs="Calibri"/>
          <w:color w:val="000000" w:themeColor="text1"/>
          <w:sz w:val="30"/>
        </w:rPr>
        <w:t>的会计与审计</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682AA5C9" w14:textId="77777777" w:rsidR="007149DF" w:rsidRPr="00777BCD" w:rsidRDefault="007149DF">
      <w:pPr>
        <w:ind w:firstLine="480"/>
        <w:rPr>
          <w:rFonts w:ascii="Calibri" w:hAnsi="Calibri" w:cs="Calibri"/>
          <w:bCs/>
          <w:color w:val="000000" w:themeColor="text1"/>
          <w:sz w:val="24"/>
        </w:rPr>
      </w:pPr>
    </w:p>
    <w:p w14:paraId="4727070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一、基金会计政策</w:t>
      </w:r>
    </w:p>
    <w:p w14:paraId="3F449C4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、基金管理人为本基金的基金会计责任方；</w:t>
      </w:r>
    </w:p>
    <w:p w14:paraId="462C7E13" w14:textId="2BCAB6A9"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、基金的会计年度为公历年度的</w:t>
      </w:r>
      <w:r w:rsidRPr="00777BCD">
        <w:rPr>
          <w:rFonts w:ascii="Calibri" w:hAnsi="Calibri" w:cs="Calibri"/>
          <w:bCs/>
          <w:color w:val="000000" w:themeColor="text1"/>
          <w:sz w:val="24"/>
        </w:rPr>
        <w:t>1</w:t>
      </w:r>
      <w:r w:rsidRPr="00777BCD">
        <w:rPr>
          <w:rFonts w:ascii="Calibri" w:hAnsi="Calibri" w:cs="Calibri"/>
          <w:bCs/>
          <w:color w:val="000000" w:themeColor="text1"/>
          <w:sz w:val="24"/>
        </w:rPr>
        <w:t>月</w:t>
      </w:r>
      <w:r w:rsidRPr="00777BCD">
        <w:rPr>
          <w:rFonts w:ascii="Calibri" w:hAnsi="Calibri" w:cs="Calibri"/>
          <w:bCs/>
          <w:color w:val="000000" w:themeColor="text1"/>
          <w:sz w:val="24"/>
        </w:rPr>
        <w:t>1</w:t>
      </w:r>
      <w:r w:rsidRPr="00777BCD">
        <w:rPr>
          <w:rFonts w:ascii="Calibri" w:hAnsi="Calibri" w:cs="Calibri"/>
          <w:bCs/>
          <w:color w:val="000000" w:themeColor="text1"/>
          <w:sz w:val="24"/>
        </w:rPr>
        <w:t>日至</w:t>
      </w:r>
      <w:r w:rsidRPr="00777BCD">
        <w:rPr>
          <w:rFonts w:ascii="Calibri" w:hAnsi="Calibri" w:cs="Calibri"/>
          <w:bCs/>
          <w:color w:val="000000" w:themeColor="text1"/>
          <w:sz w:val="24"/>
        </w:rPr>
        <w:t>12</w:t>
      </w:r>
      <w:r w:rsidRPr="00777BCD">
        <w:rPr>
          <w:rFonts w:ascii="Calibri" w:hAnsi="Calibri" w:cs="Calibri"/>
          <w:bCs/>
          <w:color w:val="000000" w:themeColor="text1"/>
          <w:sz w:val="24"/>
        </w:rPr>
        <w:t>月</w:t>
      </w:r>
      <w:r w:rsidRPr="00777BCD">
        <w:rPr>
          <w:rFonts w:ascii="Calibri" w:hAnsi="Calibri" w:cs="Calibri"/>
          <w:bCs/>
          <w:color w:val="000000" w:themeColor="text1"/>
          <w:sz w:val="24"/>
        </w:rPr>
        <w:t>31</w:t>
      </w:r>
      <w:r w:rsidRPr="00777BCD">
        <w:rPr>
          <w:rFonts w:ascii="Calibri" w:hAnsi="Calibri" w:cs="Calibri"/>
          <w:bCs/>
          <w:color w:val="000000" w:themeColor="text1"/>
          <w:sz w:val="24"/>
        </w:rPr>
        <w:t>日；基金首次募集的会计年度按如下原则：如果《基金合同》生效少于</w:t>
      </w:r>
      <w:r w:rsidRPr="00777BCD">
        <w:rPr>
          <w:rFonts w:ascii="Calibri" w:hAnsi="Calibri" w:cs="Calibri"/>
          <w:bCs/>
          <w:color w:val="000000" w:themeColor="text1"/>
          <w:sz w:val="24"/>
        </w:rPr>
        <w:t>2</w:t>
      </w:r>
      <w:r w:rsidRPr="00777BCD">
        <w:rPr>
          <w:rFonts w:ascii="Calibri" w:hAnsi="Calibri" w:cs="Calibri"/>
          <w:bCs/>
          <w:color w:val="000000" w:themeColor="text1"/>
          <w:sz w:val="24"/>
        </w:rPr>
        <w:t>个月，可以并入下一个会计年度</w:t>
      </w:r>
      <w:r w:rsidR="00236458" w:rsidRPr="00777BCD">
        <w:rPr>
          <w:rFonts w:ascii="Calibri" w:hAnsi="Calibri" w:cs="Calibri"/>
          <w:bCs/>
          <w:color w:val="000000" w:themeColor="text1"/>
          <w:sz w:val="24"/>
        </w:rPr>
        <w:t>披露</w:t>
      </w:r>
      <w:r w:rsidRPr="00777BCD">
        <w:rPr>
          <w:rFonts w:ascii="Calibri" w:hAnsi="Calibri" w:cs="Calibri"/>
          <w:bCs/>
          <w:color w:val="000000" w:themeColor="text1"/>
          <w:sz w:val="24"/>
        </w:rPr>
        <w:t>；</w:t>
      </w:r>
    </w:p>
    <w:p w14:paraId="33ED8BC6"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、基金核算以人民币为记账本位币，以人民币元为记账单位；</w:t>
      </w:r>
    </w:p>
    <w:p w14:paraId="3B1801D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、会计制度执行国家有关会计制度；</w:t>
      </w:r>
    </w:p>
    <w:p w14:paraId="230BB04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5</w:t>
      </w:r>
      <w:r w:rsidRPr="00777BCD">
        <w:rPr>
          <w:rFonts w:ascii="Calibri" w:hAnsi="Calibri" w:cs="Calibri"/>
          <w:bCs/>
          <w:color w:val="000000" w:themeColor="text1"/>
          <w:sz w:val="24"/>
        </w:rPr>
        <w:t>、本基金独立建账、独立核算；</w:t>
      </w:r>
    </w:p>
    <w:p w14:paraId="12769AD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6</w:t>
      </w:r>
      <w:r w:rsidRPr="00777BCD">
        <w:rPr>
          <w:rFonts w:ascii="Calibri" w:hAnsi="Calibri" w:cs="Calibri"/>
          <w:bCs/>
          <w:color w:val="000000" w:themeColor="text1"/>
          <w:sz w:val="24"/>
        </w:rPr>
        <w:t>、基金管理人及基金托管人各自保留完整的会计账目、凭证并进行日常的会计核算，按照有关规定编制基金会计报表；</w:t>
      </w:r>
    </w:p>
    <w:p w14:paraId="6B1E038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7</w:t>
      </w:r>
      <w:r w:rsidRPr="00777BCD">
        <w:rPr>
          <w:rFonts w:ascii="Calibri" w:hAnsi="Calibri" w:cs="Calibri"/>
          <w:bCs/>
          <w:color w:val="000000" w:themeColor="text1"/>
          <w:sz w:val="24"/>
        </w:rPr>
        <w:t>、基金托管人每月与基金管理人就基金的会计核算、报表编制等进行核对并以书面方式确认。</w:t>
      </w:r>
    </w:p>
    <w:p w14:paraId="797AA723" w14:textId="77777777" w:rsidR="007149DF" w:rsidRPr="00777BCD" w:rsidRDefault="007149DF">
      <w:pPr>
        <w:ind w:firstLine="480"/>
        <w:rPr>
          <w:rFonts w:ascii="Calibri" w:hAnsi="Calibri" w:cs="Calibri"/>
          <w:bCs/>
          <w:color w:val="000000" w:themeColor="text1"/>
          <w:sz w:val="24"/>
        </w:rPr>
      </w:pPr>
    </w:p>
    <w:p w14:paraId="716ADA0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二、基金的年度审计</w:t>
      </w:r>
    </w:p>
    <w:p w14:paraId="2B3B498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、基金管理人聘请与基金管理人、基金托管人相互独立的符合《中华人民共和国证券法》规定的会计师事务所及其注册会计师对本基金的年度财务报表进行审计。</w:t>
      </w:r>
    </w:p>
    <w:p w14:paraId="1C80E48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、会计师事务所更换经办注册会计师，应事先征得基金管理人同意。</w:t>
      </w:r>
    </w:p>
    <w:p w14:paraId="17CB43F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w:t>
      </w:r>
      <w:bookmarkStart w:id="418" w:name="_Hlt4221115"/>
      <w:bookmarkEnd w:id="418"/>
      <w:r w:rsidRPr="00777BCD">
        <w:rPr>
          <w:rFonts w:ascii="Calibri" w:hAnsi="Calibri" w:cs="Calibri"/>
          <w:bCs/>
          <w:color w:val="000000" w:themeColor="text1"/>
          <w:sz w:val="24"/>
        </w:rPr>
        <w:t>基金管理人认为有充足理由更换会计师事务所，须通报基金托管人。更换会计师事务所需按照《信息披露办法》的有关规定在规定媒介公告。</w:t>
      </w:r>
    </w:p>
    <w:p w14:paraId="6BFB346B" w14:textId="77777777" w:rsidR="007149DF" w:rsidRPr="00777BCD" w:rsidRDefault="00284640">
      <w:pPr>
        <w:pStyle w:val="11"/>
        <w:spacing w:before="0" w:after="0"/>
        <w:ind w:firstLine="480"/>
        <w:jc w:val="center"/>
        <w:rPr>
          <w:rFonts w:ascii="Calibri" w:hAnsi="Calibri" w:cs="Calibri"/>
          <w:color w:val="000000" w:themeColor="text1"/>
          <w:sz w:val="30"/>
        </w:rPr>
      </w:pPr>
      <w:r w:rsidRPr="00777BCD">
        <w:rPr>
          <w:rFonts w:ascii="Calibri" w:hAnsi="Calibri" w:cs="Calibri"/>
          <w:b w:val="0"/>
          <w:bCs/>
          <w:color w:val="000000" w:themeColor="text1"/>
        </w:rPr>
        <w:br w:type="page"/>
      </w:r>
      <w:bookmarkStart w:id="419" w:name="_Toc93226151"/>
      <w:bookmarkStart w:id="420" w:name="_Toc92662709"/>
      <w:bookmarkStart w:id="421" w:name="_Toc1173"/>
      <w:bookmarkStart w:id="422" w:name="_Toc193"/>
      <w:bookmarkStart w:id="423" w:name="_Toc141703898"/>
      <w:bookmarkStart w:id="424" w:name="_Toc6820037"/>
      <w:bookmarkStart w:id="425" w:name="_Toc12028"/>
      <w:bookmarkStart w:id="426" w:name="_Toc139991748"/>
      <w:bookmarkStart w:id="427" w:name="_Toc29289"/>
      <w:bookmarkStart w:id="428" w:name="_Toc11049"/>
      <w:bookmarkStart w:id="429" w:name="_Toc31866"/>
      <w:bookmarkStart w:id="430" w:name="_Toc128310501"/>
      <w:bookmarkStart w:id="431" w:name="_Toc1421"/>
      <w:bookmarkStart w:id="432" w:name="_Toc11802"/>
      <w:bookmarkStart w:id="433" w:name="_Toc3056"/>
      <w:bookmarkStart w:id="434" w:name="_Toc8512"/>
      <w:bookmarkStart w:id="435" w:name="_Toc160725916"/>
      <w:r w:rsidRPr="00777BCD">
        <w:rPr>
          <w:rFonts w:ascii="Calibri" w:hAnsi="Calibri" w:cs="Calibri"/>
          <w:color w:val="000000" w:themeColor="text1"/>
          <w:sz w:val="30"/>
        </w:rPr>
        <w:lastRenderedPageBreak/>
        <w:t>第十八部分</w:t>
      </w:r>
      <w:r w:rsidRPr="00777BCD">
        <w:rPr>
          <w:rFonts w:ascii="Calibri" w:hAnsi="Calibri" w:cs="Calibri"/>
          <w:color w:val="000000" w:themeColor="text1"/>
          <w:sz w:val="30"/>
        </w:rPr>
        <w:t xml:space="preserve">  </w:t>
      </w:r>
      <w:r w:rsidRPr="00777BCD">
        <w:rPr>
          <w:rFonts w:ascii="Calibri" w:hAnsi="Calibri" w:cs="Calibri"/>
          <w:color w:val="000000" w:themeColor="text1"/>
          <w:sz w:val="30"/>
        </w:rPr>
        <w:t>基金</w:t>
      </w:r>
      <w:bookmarkEnd w:id="419"/>
      <w:bookmarkEnd w:id="420"/>
      <w:r w:rsidRPr="00777BCD">
        <w:rPr>
          <w:rFonts w:ascii="Calibri" w:hAnsi="Calibri" w:cs="Calibri"/>
          <w:color w:val="000000" w:themeColor="text1"/>
          <w:sz w:val="30"/>
        </w:rPr>
        <w:t>的信息披露</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1F16D6F9" w14:textId="77777777" w:rsidR="007149DF" w:rsidRPr="00777BCD" w:rsidRDefault="007149DF">
      <w:pPr>
        <w:ind w:firstLine="480"/>
        <w:rPr>
          <w:rFonts w:ascii="Calibri" w:hAnsi="Calibri" w:cs="Calibri"/>
          <w:bCs/>
          <w:color w:val="000000" w:themeColor="text1"/>
          <w:sz w:val="24"/>
        </w:rPr>
      </w:pPr>
    </w:p>
    <w:p w14:paraId="4A41C9B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一、本基金的信息披露应符合《基金法》、《运作办法》、《信息披露办法》、《流动性风险管理规定》、《基金合同》及其他有关规定。相关法律法规关于信息披露的规定发生变化时，本基金从其最新规定。</w:t>
      </w:r>
    </w:p>
    <w:p w14:paraId="58E4B20C" w14:textId="77777777" w:rsidR="007149DF" w:rsidRPr="00777BCD" w:rsidRDefault="007149DF">
      <w:pPr>
        <w:ind w:firstLine="480"/>
        <w:rPr>
          <w:rFonts w:ascii="Calibri" w:hAnsi="Calibri" w:cs="Calibri"/>
          <w:bCs/>
          <w:color w:val="000000" w:themeColor="text1"/>
          <w:sz w:val="24"/>
        </w:rPr>
      </w:pPr>
    </w:p>
    <w:p w14:paraId="588F492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二、信息披露义务人</w:t>
      </w:r>
    </w:p>
    <w:p w14:paraId="0BF6525C" w14:textId="3355296E"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本基金信息披露义务人包括基金管理人、基金托管人、召集基金份额持有人大会的基金份额持有人</w:t>
      </w:r>
      <w:r w:rsidR="00D94CE2" w:rsidRPr="00777BCD">
        <w:rPr>
          <w:rFonts w:ascii="Calibri" w:hAnsi="Calibri" w:cs="Calibri"/>
          <w:bCs/>
          <w:color w:val="000000" w:themeColor="text1"/>
          <w:sz w:val="24"/>
        </w:rPr>
        <w:t>及其日常机构（如有）</w:t>
      </w:r>
      <w:r w:rsidRPr="00777BCD">
        <w:rPr>
          <w:rFonts w:ascii="Calibri" w:hAnsi="Calibri" w:cs="Calibri"/>
          <w:bCs/>
          <w:color w:val="000000" w:themeColor="text1"/>
          <w:sz w:val="24"/>
        </w:rPr>
        <w:t>等法律法规和中国证监会规定的自然人、法人和非法人组织。</w:t>
      </w:r>
    </w:p>
    <w:p w14:paraId="03C24A3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本基金信息披露义务人以保护基金份额持有人利益为根本出发点，按照法律法规和中国证监会的规定披露基金信息，并保证所披露信息的真实性、准确性、完整性、及时性、简明性和易得性。</w:t>
      </w:r>
    </w:p>
    <w:p w14:paraId="4FA5318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本基金信息披露义务人应当在中国证监会规定时间内，将应予披露的基金信息通过中国证监会规定媒介披露，并保证基金投资者能够按照《基金合同》约定的时间和方式查阅或者复制公开披露的信息资料。</w:t>
      </w:r>
    </w:p>
    <w:p w14:paraId="0F6A38A7" w14:textId="77777777" w:rsidR="007149DF" w:rsidRPr="00777BCD" w:rsidRDefault="007149DF">
      <w:pPr>
        <w:ind w:firstLine="480"/>
        <w:rPr>
          <w:rFonts w:ascii="Calibri" w:hAnsi="Calibri" w:cs="Calibri"/>
          <w:bCs/>
          <w:color w:val="000000" w:themeColor="text1"/>
          <w:sz w:val="24"/>
        </w:rPr>
      </w:pPr>
    </w:p>
    <w:p w14:paraId="790C170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三、本基金信息披露义务人承诺公开披露的基金信息，不得有下列行为：</w:t>
      </w:r>
    </w:p>
    <w:p w14:paraId="5FDBBEB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、虚假记载、误导性陈述或者重大遗漏；</w:t>
      </w:r>
    </w:p>
    <w:p w14:paraId="0C2FFFE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、对证券投资业绩进行预测；</w:t>
      </w:r>
    </w:p>
    <w:p w14:paraId="2878BB6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、违规承诺收益或者承担损失；</w:t>
      </w:r>
    </w:p>
    <w:p w14:paraId="3AB91AC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、诋毁其他基金管理人、基金托管人或者基金销售机构；</w:t>
      </w:r>
    </w:p>
    <w:p w14:paraId="6A453A6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5</w:t>
      </w:r>
      <w:r w:rsidRPr="00777BCD">
        <w:rPr>
          <w:rFonts w:ascii="Calibri" w:hAnsi="Calibri" w:cs="Calibri"/>
          <w:bCs/>
          <w:color w:val="000000" w:themeColor="text1"/>
          <w:sz w:val="24"/>
        </w:rPr>
        <w:t>、登载任何自然人、法人和非法人组织的祝贺性、恭维性或推荐性文字；</w:t>
      </w:r>
    </w:p>
    <w:p w14:paraId="7CDD7F4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6</w:t>
      </w:r>
      <w:r w:rsidRPr="00777BCD">
        <w:rPr>
          <w:rFonts w:ascii="Calibri" w:hAnsi="Calibri" w:cs="Calibri"/>
          <w:bCs/>
          <w:color w:val="000000" w:themeColor="text1"/>
          <w:sz w:val="24"/>
        </w:rPr>
        <w:t>、中国证监会禁止的其他行为。</w:t>
      </w:r>
    </w:p>
    <w:p w14:paraId="58684059" w14:textId="77777777" w:rsidR="007149DF" w:rsidRPr="00777BCD" w:rsidRDefault="007149DF">
      <w:pPr>
        <w:ind w:firstLine="480"/>
        <w:rPr>
          <w:rFonts w:ascii="Calibri" w:hAnsi="Calibri" w:cs="Calibri"/>
          <w:bCs/>
          <w:color w:val="000000" w:themeColor="text1"/>
          <w:sz w:val="24"/>
        </w:rPr>
      </w:pPr>
    </w:p>
    <w:p w14:paraId="32797ED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四、本基金公开披露的信息应采用中文文本。如同时采用外文文本的，基金信息披露义务人应保证不同文本的内容一致。不同文本之间发生歧义的，以中文文本为准。</w:t>
      </w:r>
    </w:p>
    <w:p w14:paraId="7A04804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本基金公开披露的信息采用阿拉伯数字；除特别说明外，货币单位为人民币元。</w:t>
      </w:r>
    </w:p>
    <w:p w14:paraId="19BB2DFE" w14:textId="77777777" w:rsidR="007149DF" w:rsidRPr="00777BCD" w:rsidRDefault="007149DF">
      <w:pPr>
        <w:ind w:firstLine="480"/>
        <w:rPr>
          <w:rFonts w:ascii="Calibri" w:hAnsi="Calibri" w:cs="Calibri"/>
          <w:bCs/>
          <w:color w:val="000000" w:themeColor="text1"/>
          <w:sz w:val="24"/>
        </w:rPr>
      </w:pPr>
    </w:p>
    <w:p w14:paraId="3CE0344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五、公开披露的基金信息</w:t>
      </w:r>
    </w:p>
    <w:p w14:paraId="00425AD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公开披露的基金信息包括：</w:t>
      </w:r>
    </w:p>
    <w:p w14:paraId="0CA2C14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（一）基金招募说明书、</w:t>
      </w:r>
      <w:bookmarkStart w:id="436" w:name="_Hlk22573565"/>
      <w:r w:rsidRPr="00777BCD">
        <w:rPr>
          <w:rFonts w:ascii="Calibri" w:hAnsi="Calibri" w:cs="Calibri"/>
          <w:bCs/>
          <w:color w:val="000000" w:themeColor="text1"/>
          <w:sz w:val="24"/>
        </w:rPr>
        <w:t>基金产品资料概要、</w:t>
      </w:r>
      <w:bookmarkEnd w:id="436"/>
      <w:r w:rsidRPr="00777BCD">
        <w:rPr>
          <w:rFonts w:ascii="Calibri" w:hAnsi="Calibri" w:cs="Calibri"/>
          <w:bCs/>
          <w:color w:val="000000" w:themeColor="text1"/>
          <w:sz w:val="24"/>
        </w:rPr>
        <w:t>《基金合同》、基金托管协议、基金份额发售公告</w:t>
      </w:r>
    </w:p>
    <w:p w14:paraId="5ADE2B0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、《基金合同》是界定《基金合同》当事人的各项权利、义务关系，明确基金份额持有人大会召开的规则及具体程序，说明基金产品的特性等涉及基金投资者重大利益的事项的法律文件。</w:t>
      </w:r>
    </w:p>
    <w:p w14:paraId="18253FB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、基金招募说明书应当最大限度地披露影响基金投资者决策的全部事项，说明基金认购、申购和赎回安排、基金投资、基金产品特性、风险揭示、信息披露及基金份额持有人服务等内容。</w:t>
      </w:r>
    </w:p>
    <w:p w14:paraId="68092E8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基金产品资料概要是基金招募说明书的摘要文件，用于向投资者提供简明的基金概要信息。基金管理人应当依照法律法规和中国证监会的规定编制、披露与更新基金产品资料概要。</w:t>
      </w:r>
    </w:p>
    <w:p w14:paraId="434B115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基金合同生效后，基金招募说明书、基金产品资料概要的信息发生重大变更的，基金管理人应当在三个工作日内，更新基金招募说明书和基金产品资料概要，并登载在规定网站上</w:t>
      </w:r>
      <w:bookmarkStart w:id="437" w:name="_Hlk22573397"/>
      <w:r w:rsidRPr="00777BCD">
        <w:rPr>
          <w:rFonts w:ascii="Calibri" w:hAnsi="Calibri" w:cs="Calibri"/>
          <w:bCs/>
          <w:color w:val="000000" w:themeColor="text1"/>
          <w:sz w:val="24"/>
        </w:rPr>
        <w:t>，其中基金产品资料概要还应当登载在基金销售机构网站或营业网点</w:t>
      </w:r>
      <w:bookmarkEnd w:id="437"/>
      <w:r w:rsidRPr="00777BCD">
        <w:rPr>
          <w:rFonts w:ascii="Calibri" w:hAnsi="Calibri" w:cs="Calibri"/>
          <w:bCs/>
          <w:color w:val="000000" w:themeColor="text1"/>
          <w:sz w:val="24"/>
        </w:rPr>
        <w:t>；除重大变更事项之外，基金招募说明书、基金产品资料概要其他信息发生变更的，基金管理人至少每年更新一次。基金终止运作的，基金管理人不再更新基金招募说明书和基金产品资料概要。</w:t>
      </w:r>
    </w:p>
    <w:p w14:paraId="31E4183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、基金托管协议是界定基金托管人和基金管理人在基金财产保管及基金运作监督等活动中的权利、义务关系的法律文件。</w:t>
      </w:r>
    </w:p>
    <w:p w14:paraId="1681838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、基金管理人应当就基金份额发售的具体事宜编制基金份额发售公告。</w:t>
      </w:r>
    </w:p>
    <w:p w14:paraId="01A0409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基金募集申请经中国证监会注册后，基金管理人应当在基金份额发售的</w:t>
      </w:r>
      <w:r w:rsidRPr="00777BCD">
        <w:rPr>
          <w:rFonts w:ascii="Calibri" w:hAnsi="Calibri" w:cs="Calibri"/>
          <w:bCs/>
          <w:color w:val="000000" w:themeColor="text1"/>
          <w:sz w:val="24"/>
        </w:rPr>
        <w:t>3</w:t>
      </w:r>
      <w:r w:rsidRPr="00777BCD">
        <w:rPr>
          <w:rFonts w:ascii="Calibri" w:hAnsi="Calibri" w:cs="Calibri"/>
          <w:bCs/>
          <w:color w:val="000000" w:themeColor="text1"/>
          <w:sz w:val="24"/>
        </w:rPr>
        <w:t>日前，将基金份额发售公告、基金招募说明书提示性公告和基金合同提示性公告登载在规定报刊上，将基金份额发售公告、基金招募说明书、基金产品资料概要、基金合同和基金托管协议登载在规定网站上，其中基金产品资料概要还</w:t>
      </w:r>
      <w:r w:rsidRPr="00777BCD">
        <w:rPr>
          <w:rFonts w:ascii="Calibri" w:hAnsi="Calibri" w:cs="Calibri"/>
          <w:bCs/>
          <w:color w:val="000000" w:themeColor="text1"/>
          <w:sz w:val="24"/>
        </w:rPr>
        <w:lastRenderedPageBreak/>
        <w:t>应当登载在基金销售机构网站或营业网点；基金托管人应当同时将《基金合同》、基金托管协议登载在规定网站上。</w:t>
      </w:r>
    </w:p>
    <w:p w14:paraId="7BDBAE0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（二）</w:t>
      </w:r>
      <w:bookmarkStart w:id="438" w:name="_Hlk22573606"/>
      <w:r w:rsidRPr="00777BCD">
        <w:rPr>
          <w:rFonts w:ascii="Calibri" w:hAnsi="Calibri" w:cs="Calibri"/>
          <w:bCs/>
          <w:color w:val="000000" w:themeColor="text1"/>
          <w:sz w:val="24"/>
        </w:rPr>
        <w:t>《基金合同》生效公告</w:t>
      </w:r>
      <w:bookmarkEnd w:id="438"/>
    </w:p>
    <w:p w14:paraId="35B16C4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基金管理人应当在收到中国证监会确认文件的次日在规定媒介上登载《基金合同》生效公告。</w:t>
      </w:r>
    </w:p>
    <w:p w14:paraId="7294150B" w14:textId="77777777" w:rsidR="007149DF" w:rsidRPr="00777BCD" w:rsidRDefault="00284640">
      <w:pPr>
        <w:ind w:firstLineChars="200" w:firstLine="480"/>
        <w:rPr>
          <w:rFonts w:ascii="Calibri" w:hAnsi="Calibri" w:cs="Calibri"/>
          <w:bCs/>
          <w:color w:val="000000" w:themeColor="text1"/>
          <w:sz w:val="24"/>
        </w:rPr>
      </w:pPr>
      <w:r w:rsidRPr="00777BCD">
        <w:rPr>
          <w:rFonts w:ascii="Calibri" w:hAnsi="Calibri" w:cs="Calibri"/>
          <w:bCs/>
          <w:sz w:val="24"/>
        </w:rPr>
        <w:t>基金合同生效公告中将说明基金募集情况及基金管理人、基金管理人高级管理人员、基金经理等人员以及基金管理</w:t>
      </w:r>
      <w:proofErr w:type="gramStart"/>
      <w:r w:rsidRPr="00777BCD">
        <w:rPr>
          <w:rFonts w:ascii="Calibri" w:hAnsi="Calibri" w:cs="Calibri"/>
          <w:bCs/>
          <w:sz w:val="24"/>
        </w:rPr>
        <w:t>人股东</w:t>
      </w:r>
      <w:proofErr w:type="gramEnd"/>
      <w:r w:rsidRPr="00777BCD">
        <w:rPr>
          <w:rFonts w:ascii="Calibri" w:hAnsi="Calibri" w:cs="Calibri"/>
          <w:bCs/>
          <w:sz w:val="24"/>
        </w:rPr>
        <w:t>作为发起资金提供方持有的基金份额、承诺持有的期限等情况。</w:t>
      </w:r>
    </w:p>
    <w:p w14:paraId="35F82FBF" w14:textId="77777777" w:rsidR="007149DF" w:rsidRPr="00777BCD" w:rsidRDefault="00284640">
      <w:pPr>
        <w:ind w:firstLine="480"/>
        <w:rPr>
          <w:rFonts w:ascii="Calibri" w:hAnsi="Calibri" w:cs="Calibri"/>
          <w:bCs/>
          <w:color w:val="000000" w:themeColor="text1"/>
          <w:sz w:val="24"/>
        </w:rPr>
      </w:pPr>
      <w:bookmarkStart w:id="439" w:name="_Hlk23248981"/>
      <w:r w:rsidRPr="00777BCD">
        <w:rPr>
          <w:rFonts w:ascii="Calibri" w:hAnsi="Calibri" w:cs="Calibri"/>
          <w:bCs/>
          <w:color w:val="000000" w:themeColor="text1"/>
          <w:sz w:val="24"/>
        </w:rPr>
        <w:t>（三）</w:t>
      </w:r>
      <w:bookmarkStart w:id="440" w:name="_Hlk22573702"/>
      <w:r w:rsidRPr="00777BCD">
        <w:rPr>
          <w:rFonts w:ascii="Calibri" w:hAnsi="Calibri" w:cs="Calibri"/>
          <w:bCs/>
          <w:color w:val="000000" w:themeColor="text1"/>
          <w:sz w:val="24"/>
        </w:rPr>
        <w:t>基金净值信息</w:t>
      </w:r>
      <w:bookmarkEnd w:id="440"/>
    </w:p>
    <w:p w14:paraId="0D4C89D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《基金合同》生效后，在开始办理基金份额申购或者赎回前，基金管理人应当至少每周在规定网站披露一次各类基金份额净值和各类基金份额累计净值。</w:t>
      </w:r>
    </w:p>
    <w:p w14:paraId="4C5062E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在开始办理基金份额申购或者赎回后，基金管理人应当在不晚于每个开放日的次日，通过规定网站、基金销售机构网站或者营业网点披露开放日的各类基金份额净值和各类基金份额累计净值。</w:t>
      </w:r>
    </w:p>
    <w:p w14:paraId="42EE3BE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基金管理人应当在不晚于半年度和年度最后一日的次日，在规定网站披露半年度和年度最后一日的各类基金份额净值和各类基金份额累计净值。</w:t>
      </w:r>
      <w:bookmarkEnd w:id="439"/>
    </w:p>
    <w:p w14:paraId="487D423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（四）</w:t>
      </w:r>
      <w:bookmarkStart w:id="441" w:name="_Hlk22573712"/>
      <w:r w:rsidRPr="00777BCD">
        <w:rPr>
          <w:rFonts w:ascii="Calibri" w:hAnsi="Calibri" w:cs="Calibri"/>
          <w:bCs/>
          <w:color w:val="000000" w:themeColor="text1"/>
          <w:sz w:val="24"/>
        </w:rPr>
        <w:t>基金份额申购、赎回价格</w:t>
      </w:r>
      <w:bookmarkEnd w:id="441"/>
    </w:p>
    <w:p w14:paraId="0863343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管理人应当在《基金合同》、招募说明书等信息披露文件上载明各类基金份额申购、赎回价格的计算方式及有关申购、赎回费率，并保证投资者能够在基金销售机构网站或者营业网点查阅或者复制前述信息资料。</w:t>
      </w:r>
    </w:p>
    <w:p w14:paraId="60D801B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（五）基金定期报告，</w:t>
      </w:r>
      <w:bookmarkStart w:id="442" w:name="_Hlk47621277"/>
      <w:r w:rsidRPr="00777BCD">
        <w:rPr>
          <w:rFonts w:ascii="Calibri" w:hAnsi="Calibri" w:cs="Calibri"/>
          <w:bCs/>
          <w:color w:val="000000" w:themeColor="text1"/>
          <w:sz w:val="24"/>
        </w:rPr>
        <w:t>包括基金年度报告、基金中期报告和基金季度报告</w:t>
      </w:r>
      <w:bookmarkEnd w:id="442"/>
    </w:p>
    <w:p w14:paraId="59C5D4F7" w14:textId="68C5332C"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基金管理人应当在每年结束之日起三个月内，编制完成基金年度报告，将年度报告登载</w:t>
      </w:r>
      <w:r w:rsidR="004B70E8" w:rsidRPr="00777BCD">
        <w:rPr>
          <w:rFonts w:ascii="Calibri" w:hAnsi="Calibri" w:cs="Calibri"/>
          <w:bCs/>
          <w:color w:val="000000" w:themeColor="text1"/>
          <w:sz w:val="24"/>
        </w:rPr>
        <w:t>在</w:t>
      </w:r>
      <w:r w:rsidRPr="00777BCD">
        <w:rPr>
          <w:rFonts w:ascii="Calibri" w:hAnsi="Calibri" w:cs="Calibri"/>
          <w:bCs/>
          <w:color w:val="000000" w:themeColor="text1"/>
          <w:sz w:val="24"/>
        </w:rPr>
        <w:t>规定网站上，并将年度报告提示性公告登载在规定报刊上。基金年度报告中的财务会计报告应当经过符合《中华人民共和国证券法》规定的会计师事务所审计。</w:t>
      </w:r>
    </w:p>
    <w:p w14:paraId="1587F6A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基金管理人应当在上半年结束之日起两个月内，编制完成基金中期报告，将中期报告登载在规定网站上，并将中期报告提示性公告登载在规定报刊上。</w:t>
      </w:r>
    </w:p>
    <w:p w14:paraId="1C0D2B5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基金管理人应当在季度结束之日起</w:t>
      </w:r>
      <w:r w:rsidRPr="00777BCD">
        <w:rPr>
          <w:rFonts w:ascii="Calibri" w:hAnsi="Calibri" w:cs="Calibri"/>
          <w:bCs/>
          <w:color w:val="000000" w:themeColor="text1"/>
          <w:sz w:val="24"/>
        </w:rPr>
        <w:t>15</w:t>
      </w:r>
      <w:r w:rsidRPr="00777BCD">
        <w:rPr>
          <w:rFonts w:ascii="Calibri" w:hAnsi="Calibri" w:cs="Calibri"/>
          <w:bCs/>
          <w:color w:val="000000" w:themeColor="text1"/>
          <w:sz w:val="24"/>
        </w:rPr>
        <w:t>个工作日内，编制完成基金季度报告，将季度报告登载在规定网站上，并将季度报告提示性公告登载在规定报刊上。</w:t>
      </w:r>
    </w:p>
    <w:p w14:paraId="4045ADC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《基金合同》生效不足</w:t>
      </w:r>
      <w:r w:rsidRPr="00777BCD">
        <w:rPr>
          <w:rFonts w:ascii="Calibri" w:hAnsi="Calibri" w:cs="Calibri"/>
          <w:bCs/>
          <w:color w:val="000000" w:themeColor="text1"/>
          <w:sz w:val="24"/>
        </w:rPr>
        <w:t>2</w:t>
      </w:r>
      <w:r w:rsidRPr="00777BCD">
        <w:rPr>
          <w:rFonts w:ascii="Calibri" w:hAnsi="Calibri" w:cs="Calibri"/>
          <w:bCs/>
          <w:color w:val="000000" w:themeColor="text1"/>
          <w:sz w:val="24"/>
        </w:rPr>
        <w:t>个月的，基金管理人可以不编制当期季度报告、中期报告或者年度报告。</w:t>
      </w:r>
    </w:p>
    <w:p w14:paraId="4C28BC6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如报告期内出现单一投资者持有基金份额达到或超过基金总份额</w:t>
      </w:r>
      <w:r w:rsidRPr="00777BCD">
        <w:rPr>
          <w:rFonts w:ascii="Calibri" w:hAnsi="Calibri" w:cs="Calibri"/>
          <w:bCs/>
          <w:color w:val="000000" w:themeColor="text1"/>
          <w:sz w:val="24"/>
        </w:rPr>
        <w:t>20%</w:t>
      </w:r>
      <w:r w:rsidRPr="00777BCD">
        <w:rPr>
          <w:rFonts w:ascii="Calibri" w:hAnsi="Calibri" w:cs="Calibri"/>
          <w:bCs/>
          <w:color w:val="000000" w:themeColor="text1"/>
          <w:sz w:val="24"/>
        </w:rPr>
        <w:t>的情形，为保障其他投资者的权益，基金管理人至少应当在定期报告</w:t>
      </w:r>
      <w:r w:rsidRPr="00777BCD">
        <w:rPr>
          <w:rFonts w:ascii="Calibri" w:hAnsi="Calibri" w:cs="Calibri"/>
          <w:bCs/>
          <w:color w:val="000000" w:themeColor="text1"/>
          <w:sz w:val="24"/>
        </w:rPr>
        <w:t>“</w:t>
      </w:r>
      <w:r w:rsidRPr="00777BCD">
        <w:rPr>
          <w:rFonts w:ascii="Calibri" w:hAnsi="Calibri" w:cs="Calibri"/>
          <w:bCs/>
          <w:color w:val="000000" w:themeColor="text1"/>
          <w:sz w:val="24"/>
        </w:rPr>
        <w:t>影响投资者决策的其他重要信息</w:t>
      </w:r>
      <w:r w:rsidRPr="00777BCD">
        <w:rPr>
          <w:rFonts w:ascii="Calibri" w:hAnsi="Calibri" w:cs="Calibri"/>
          <w:bCs/>
          <w:color w:val="000000" w:themeColor="text1"/>
          <w:sz w:val="24"/>
        </w:rPr>
        <w:t>”</w:t>
      </w:r>
      <w:r w:rsidRPr="00777BCD">
        <w:rPr>
          <w:rFonts w:ascii="Calibri" w:hAnsi="Calibri" w:cs="Calibri"/>
          <w:bCs/>
          <w:color w:val="000000" w:themeColor="text1"/>
          <w:sz w:val="24"/>
        </w:rPr>
        <w:t>项下披露该投资者的类别、报告期末持有份额及占比、报告期内持有份额变化情况及本基金的特有风险，中国证监会认定的特殊情形除外。</w:t>
      </w:r>
    </w:p>
    <w:p w14:paraId="51D19B9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基金管理人应当在基金年度报告和中期报告中披露基金组合资产情况及其流动性风险分析等。</w:t>
      </w:r>
    </w:p>
    <w:p w14:paraId="714A71E0" w14:textId="77777777" w:rsidR="007149DF" w:rsidRPr="00777BCD" w:rsidRDefault="00284640">
      <w:pPr>
        <w:ind w:firstLineChars="200" w:firstLine="480"/>
        <w:rPr>
          <w:rFonts w:ascii="Calibri" w:hAnsi="Calibri" w:cs="Calibri"/>
          <w:bCs/>
          <w:color w:val="000000" w:themeColor="text1"/>
          <w:sz w:val="24"/>
        </w:rPr>
      </w:pPr>
      <w:r w:rsidRPr="00777BCD">
        <w:rPr>
          <w:rFonts w:ascii="Calibri" w:hAnsi="Calibri" w:cs="Calibri"/>
          <w:bCs/>
          <w:sz w:val="24"/>
        </w:rPr>
        <w:t>基金定期报告中应披露基金管理人、基金管理人高级管理人员、基金经理等投资管理人员以及基金管理</w:t>
      </w:r>
      <w:proofErr w:type="gramStart"/>
      <w:r w:rsidRPr="00777BCD">
        <w:rPr>
          <w:rFonts w:ascii="Calibri" w:hAnsi="Calibri" w:cs="Calibri"/>
          <w:bCs/>
          <w:sz w:val="24"/>
        </w:rPr>
        <w:t>人股东</w:t>
      </w:r>
      <w:bookmarkStart w:id="443" w:name="_Hlk160522961"/>
      <w:proofErr w:type="gramEnd"/>
      <w:r w:rsidRPr="00777BCD">
        <w:rPr>
          <w:rFonts w:ascii="Calibri" w:hAnsi="Calibri" w:cs="Calibri"/>
          <w:bCs/>
          <w:sz w:val="24"/>
        </w:rPr>
        <w:t>作为发起资金提供方</w:t>
      </w:r>
      <w:bookmarkEnd w:id="443"/>
      <w:r w:rsidRPr="00777BCD">
        <w:rPr>
          <w:rFonts w:ascii="Calibri" w:hAnsi="Calibri" w:cs="Calibri"/>
          <w:bCs/>
          <w:sz w:val="24"/>
        </w:rPr>
        <w:t>持有基金的份额、期限</w:t>
      </w:r>
      <w:proofErr w:type="gramStart"/>
      <w:r w:rsidRPr="00777BCD">
        <w:rPr>
          <w:rFonts w:ascii="Calibri" w:hAnsi="Calibri" w:cs="Calibri"/>
          <w:bCs/>
          <w:sz w:val="24"/>
        </w:rPr>
        <w:t>及期间</w:t>
      </w:r>
      <w:proofErr w:type="gramEnd"/>
      <w:r w:rsidRPr="00777BCD">
        <w:rPr>
          <w:rFonts w:ascii="Calibri" w:hAnsi="Calibri" w:cs="Calibri"/>
          <w:bCs/>
          <w:sz w:val="24"/>
        </w:rPr>
        <w:t>的变动情况。</w:t>
      </w:r>
    </w:p>
    <w:p w14:paraId="4FFF9AE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（六）临时报告</w:t>
      </w:r>
    </w:p>
    <w:p w14:paraId="1BE68BE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本基金发生重大事件，有关信息披露义务人应当在</w:t>
      </w:r>
      <w:r w:rsidRPr="00777BCD">
        <w:rPr>
          <w:rFonts w:ascii="Calibri" w:hAnsi="Calibri" w:cs="Calibri"/>
          <w:bCs/>
          <w:color w:val="000000" w:themeColor="text1"/>
          <w:sz w:val="24"/>
        </w:rPr>
        <w:t>2</w:t>
      </w:r>
      <w:r w:rsidRPr="00777BCD">
        <w:rPr>
          <w:rFonts w:ascii="Calibri" w:hAnsi="Calibri" w:cs="Calibri"/>
          <w:bCs/>
          <w:color w:val="000000" w:themeColor="text1"/>
          <w:sz w:val="24"/>
        </w:rPr>
        <w:t>日内编制临时报告书，并登载在规定报刊和规定网站上。</w:t>
      </w:r>
    </w:p>
    <w:p w14:paraId="7692CE2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前款所称重大事件，是指可能对基金份额持有人权益或者基金份额的价格产生重大影响的下列事件：</w:t>
      </w:r>
    </w:p>
    <w:p w14:paraId="78FC6E5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、基金份额持有人大会的召开及决定的事项；</w:t>
      </w:r>
    </w:p>
    <w:p w14:paraId="0721B8E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、《基金合同》终止、基金清算；</w:t>
      </w:r>
    </w:p>
    <w:p w14:paraId="33C0344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、转换基金运作方式、基金合并；</w:t>
      </w:r>
    </w:p>
    <w:p w14:paraId="6FA2CCB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、更换基金管理人、基金托管人、基金份额登记机构，基金改聘会计师事务所；</w:t>
      </w:r>
    </w:p>
    <w:p w14:paraId="5393FCB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5</w:t>
      </w:r>
      <w:r w:rsidRPr="00777BCD">
        <w:rPr>
          <w:rFonts w:ascii="Calibri" w:hAnsi="Calibri" w:cs="Calibri"/>
          <w:bCs/>
          <w:color w:val="000000" w:themeColor="text1"/>
          <w:sz w:val="24"/>
        </w:rPr>
        <w:t>、基金管理人委托基金服务机构代为办理基金的份额登记、核算、估值等事项，基金托管人委托基金服务机构代为办理基金的核算、估值、复核等事项；</w:t>
      </w:r>
    </w:p>
    <w:p w14:paraId="6F52E4E6"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6</w:t>
      </w:r>
      <w:r w:rsidRPr="00777BCD">
        <w:rPr>
          <w:rFonts w:ascii="Calibri" w:hAnsi="Calibri" w:cs="Calibri"/>
          <w:bCs/>
          <w:color w:val="000000" w:themeColor="text1"/>
          <w:sz w:val="24"/>
        </w:rPr>
        <w:t>、基金管理人、基金托管人的法定名称、住所发生变更；</w:t>
      </w:r>
    </w:p>
    <w:p w14:paraId="5A24456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7</w:t>
      </w:r>
      <w:r w:rsidRPr="00777BCD">
        <w:rPr>
          <w:rFonts w:ascii="Calibri" w:hAnsi="Calibri" w:cs="Calibri"/>
          <w:bCs/>
          <w:color w:val="000000" w:themeColor="text1"/>
          <w:sz w:val="24"/>
        </w:rPr>
        <w:t>、基金管理人变更持有百分之五以上股权的股东、</w:t>
      </w:r>
      <w:r w:rsidRPr="00777BCD">
        <w:rPr>
          <w:rFonts w:ascii="Calibri" w:hAnsi="Calibri" w:cs="Calibri"/>
          <w:color w:val="000000" w:themeColor="text1"/>
          <w:sz w:val="24"/>
        </w:rPr>
        <w:t>基金管理人的实际控制人变更</w:t>
      </w:r>
      <w:r w:rsidRPr="00777BCD">
        <w:rPr>
          <w:rFonts w:ascii="Calibri" w:hAnsi="Calibri" w:cs="Calibri"/>
          <w:bCs/>
          <w:color w:val="000000" w:themeColor="text1"/>
          <w:sz w:val="24"/>
        </w:rPr>
        <w:t>；</w:t>
      </w:r>
    </w:p>
    <w:p w14:paraId="3C86CE4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8</w:t>
      </w:r>
      <w:r w:rsidRPr="00777BCD">
        <w:rPr>
          <w:rFonts w:ascii="Calibri" w:hAnsi="Calibri" w:cs="Calibri"/>
          <w:bCs/>
          <w:color w:val="000000" w:themeColor="text1"/>
          <w:sz w:val="24"/>
        </w:rPr>
        <w:t>、基金募集期延长或提前结束募集；</w:t>
      </w:r>
    </w:p>
    <w:p w14:paraId="1AA4D93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9</w:t>
      </w:r>
      <w:r w:rsidRPr="00777BCD">
        <w:rPr>
          <w:rFonts w:ascii="Calibri" w:hAnsi="Calibri" w:cs="Calibri"/>
          <w:bCs/>
          <w:color w:val="000000" w:themeColor="text1"/>
          <w:sz w:val="24"/>
        </w:rPr>
        <w:t>、基金管理人的高级管理人员、基金经理和基金托管人专门基金托管部门负责人发生变动；</w:t>
      </w:r>
    </w:p>
    <w:p w14:paraId="412E78F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10</w:t>
      </w:r>
      <w:r w:rsidRPr="00777BCD">
        <w:rPr>
          <w:rFonts w:ascii="Calibri" w:hAnsi="Calibri" w:cs="Calibri"/>
          <w:bCs/>
          <w:color w:val="000000" w:themeColor="text1"/>
          <w:sz w:val="24"/>
        </w:rPr>
        <w:t>、基金管理人的董事在最近</w:t>
      </w:r>
      <w:r w:rsidRPr="00777BCD">
        <w:rPr>
          <w:rFonts w:ascii="Calibri" w:hAnsi="Calibri" w:cs="Calibri"/>
          <w:bCs/>
          <w:color w:val="000000" w:themeColor="text1"/>
          <w:sz w:val="24"/>
        </w:rPr>
        <w:t>12</w:t>
      </w:r>
      <w:r w:rsidRPr="00777BCD">
        <w:rPr>
          <w:rFonts w:ascii="Calibri" w:hAnsi="Calibri" w:cs="Calibri"/>
          <w:bCs/>
          <w:color w:val="000000" w:themeColor="text1"/>
          <w:sz w:val="24"/>
        </w:rPr>
        <w:t>个月内变更超过百分之五十；</w:t>
      </w:r>
    </w:p>
    <w:p w14:paraId="2EE2541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11</w:t>
      </w:r>
      <w:r w:rsidRPr="00777BCD">
        <w:rPr>
          <w:rFonts w:ascii="Calibri" w:hAnsi="Calibri" w:cs="Calibri"/>
          <w:bCs/>
          <w:color w:val="000000" w:themeColor="text1"/>
          <w:sz w:val="24"/>
        </w:rPr>
        <w:t>、基金管理人、基金托管人专门基金托管部门的主要业务人员在最近</w:t>
      </w:r>
      <w:r w:rsidRPr="00777BCD">
        <w:rPr>
          <w:rFonts w:ascii="Calibri" w:hAnsi="Calibri" w:cs="Calibri"/>
          <w:bCs/>
          <w:color w:val="000000" w:themeColor="text1"/>
          <w:sz w:val="24"/>
        </w:rPr>
        <w:t>12</w:t>
      </w:r>
      <w:r w:rsidRPr="00777BCD">
        <w:rPr>
          <w:rFonts w:ascii="Calibri" w:hAnsi="Calibri" w:cs="Calibri"/>
          <w:bCs/>
          <w:color w:val="000000" w:themeColor="text1"/>
          <w:sz w:val="24"/>
        </w:rPr>
        <w:t>个月内变动超过百分之三十；</w:t>
      </w:r>
    </w:p>
    <w:p w14:paraId="3BC2074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12</w:t>
      </w:r>
      <w:r w:rsidRPr="00777BCD">
        <w:rPr>
          <w:rFonts w:ascii="Calibri" w:hAnsi="Calibri" w:cs="Calibri"/>
          <w:bCs/>
          <w:color w:val="000000" w:themeColor="text1"/>
          <w:sz w:val="24"/>
        </w:rPr>
        <w:t>、涉及基金财产、基金管理业务、基金托管业务的诉讼或仲裁；</w:t>
      </w:r>
    </w:p>
    <w:p w14:paraId="1D9EC6E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13</w:t>
      </w:r>
      <w:r w:rsidRPr="00777BCD">
        <w:rPr>
          <w:rFonts w:ascii="Calibri" w:hAnsi="Calibri" w:cs="Calibri"/>
          <w:bCs/>
          <w:color w:val="000000" w:themeColor="text1"/>
          <w:sz w:val="24"/>
        </w:rPr>
        <w:t>、基金管理人或其高级管理人员、基金经理因基金管理业务相关行为受到重大行政处罚、刑事处罚，基金托管人或其专门基金托管部门负责人因基金托管业务相关行为受到重大行政处罚、刑事处罚；</w:t>
      </w:r>
    </w:p>
    <w:p w14:paraId="6F40582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14</w:t>
      </w:r>
      <w:r w:rsidRPr="00777BCD">
        <w:rPr>
          <w:rFonts w:ascii="Calibri" w:hAnsi="Calibri" w:cs="Calibri"/>
          <w:bCs/>
          <w:color w:val="000000" w:themeColor="text1"/>
          <w:sz w:val="24"/>
        </w:rPr>
        <w:t>、基金管理人运用基金财产买卖基金管理人、基金托管人及其控股股东、实际控制人或者与其有重大利害关系的公司发行的证券或者承销期内承销的证券，或者从事其他重大关联交易事项，中国证监会另有规定的情形除外；</w:t>
      </w:r>
    </w:p>
    <w:p w14:paraId="1283267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15</w:t>
      </w:r>
      <w:r w:rsidRPr="00777BCD">
        <w:rPr>
          <w:rFonts w:ascii="Calibri" w:hAnsi="Calibri" w:cs="Calibri"/>
          <w:bCs/>
          <w:color w:val="000000" w:themeColor="text1"/>
          <w:sz w:val="24"/>
        </w:rPr>
        <w:t>、基金收益分配事项；</w:t>
      </w:r>
    </w:p>
    <w:p w14:paraId="4C676996"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16</w:t>
      </w:r>
      <w:r w:rsidRPr="00777BCD">
        <w:rPr>
          <w:rFonts w:ascii="Calibri" w:hAnsi="Calibri" w:cs="Calibri"/>
          <w:bCs/>
          <w:color w:val="000000" w:themeColor="text1"/>
          <w:sz w:val="24"/>
        </w:rPr>
        <w:t>、管理费、托管费、销售服务费、申购费、赎回费等费用计提标准、计提方式和费率发生变更；</w:t>
      </w:r>
    </w:p>
    <w:p w14:paraId="364A8ED6" w14:textId="7049002A"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17</w:t>
      </w:r>
      <w:r w:rsidRPr="00777BCD">
        <w:rPr>
          <w:rFonts w:ascii="Calibri" w:hAnsi="Calibri" w:cs="Calibri"/>
          <w:bCs/>
          <w:color w:val="000000" w:themeColor="text1"/>
          <w:sz w:val="24"/>
        </w:rPr>
        <w:t>、任一类基金份额净值</w:t>
      </w:r>
      <w:r w:rsidR="004A23B6" w:rsidRPr="00777BCD">
        <w:rPr>
          <w:rFonts w:ascii="Calibri" w:hAnsi="Calibri" w:cs="Calibri"/>
          <w:bCs/>
          <w:color w:val="000000" w:themeColor="text1"/>
          <w:sz w:val="24"/>
        </w:rPr>
        <w:t>估值</w:t>
      </w:r>
      <w:r w:rsidRPr="00777BCD">
        <w:rPr>
          <w:rFonts w:ascii="Calibri" w:hAnsi="Calibri" w:cs="Calibri"/>
          <w:bCs/>
          <w:color w:val="000000" w:themeColor="text1"/>
          <w:sz w:val="24"/>
        </w:rPr>
        <w:t>错误达该类基金份额净值百分之零点五；</w:t>
      </w:r>
      <w:r w:rsidRPr="00777BCD">
        <w:rPr>
          <w:rFonts w:ascii="Calibri" w:hAnsi="Calibri" w:cs="Calibri"/>
          <w:bCs/>
          <w:color w:val="000000" w:themeColor="text1"/>
          <w:sz w:val="24"/>
        </w:rPr>
        <w:t xml:space="preserve"> </w:t>
      </w:r>
    </w:p>
    <w:p w14:paraId="65567E6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18</w:t>
      </w:r>
      <w:r w:rsidRPr="00777BCD">
        <w:rPr>
          <w:rFonts w:ascii="Calibri" w:hAnsi="Calibri" w:cs="Calibri"/>
          <w:bCs/>
          <w:color w:val="000000" w:themeColor="text1"/>
          <w:sz w:val="24"/>
        </w:rPr>
        <w:t>、本基金开始办理申购、赎回；</w:t>
      </w:r>
    </w:p>
    <w:p w14:paraId="423D483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19</w:t>
      </w:r>
      <w:r w:rsidRPr="00777BCD">
        <w:rPr>
          <w:rFonts w:ascii="Calibri" w:hAnsi="Calibri" w:cs="Calibri"/>
          <w:bCs/>
          <w:color w:val="000000" w:themeColor="text1"/>
          <w:sz w:val="24"/>
        </w:rPr>
        <w:t>、本基金发生巨额赎回并延期办理；</w:t>
      </w:r>
    </w:p>
    <w:p w14:paraId="4408EC7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20</w:t>
      </w:r>
      <w:r w:rsidRPr="00777BCD">
        <w:rPr>
          <w:rFonts w:ascii="Calibri" w:hAnsi="Calibri" w:cs="Calibri"/>
          <w:bCs/>
          <w:color w:val="000000" w:themeColor="text1"/>
          <w:sz w:val="24"/>
        </w:rPr>
        <w:t>、本基金连续发生巨额赎回并暂停接受赎回申请或延缓支付赎回款项；</w:t>
      </w:r>
    </w:p>
    <w:p w14:paraId="256402F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21</w:t>
      </w:r>
      <w:r w:rsidRPr="00777BCD">
        <w:rPr>
          <w:rFonts w:ascii="Calibri" w:hAnsi="Calibri" w:cs="Calibri"/>
          <w:bCs/>
          <w:color w:val="000000" w:themeColor="text1"/>
          <w:sz w:val="24"/>
        </w:rPr>
        <w:t>、本基金暂停接受申购、赎回申请或重新接受申购、赎回申请；</w:t>
      </w:r>
    </w:p>
    <w:p w14:paraId="08D3B6D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22</w:t>
      </w:r>
      <w:r w:rsidRPr="00777BCD">
        <w:rPr>
          <w:rFonts w:ascii="Calibri" w:hAnsi="Calibri" w:cs="Calibri"/>
          <w:bCs/>
          <w:color w:val="000000" w:themeColor="text1"/>
          <w:sz w:val="24"/>
        </w:rPr>
        <w:t>、调整基金份额类别的设置；</w:t>
      </w:r>
    </w:p>
    <w:p w14:paraId="3D1A5DE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23</w:t>
      </w:r>
      <w:r w:rsidRPr="00777BCD">
        <w:rPr>
          <w:rFonts w:ascii="Calibri" w:hAnsi="Calibri" w:cs="Calibri"/>
          <w:bCs/>
          <w:color w:val="000000" w:themeColor="text1"/>
          <w:sz w:val="24"/>
        </w:rPr>
        <w:t>、本基金推出新业务或服务；</w:t>
      </w:r>
    </w:p>
    <w:p w14:paraId="3790394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24</w:t>
      </w:r>
      <w:r w:rsidRPr="00777BCD">
        <w:rPr>
          <w:rFonts w:ascii="Calibri" w:hAnsi="Calibri" w:cs="Calibri"/>
          <w:bCs/>
          <w:color w:val="000000" w:themeColor="text1"/>
          <w:sz w:val="24"/>
        </w:rPr>
        <w:t>、发生涉及基金申购、赎回事项调整或潜在影响投资者赎回等重大事项时；</w:t>
      </w:r>
    </w:p>
    <w:p w14:paraId="32F36AD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25</w:t>
      </w:r>
      <w:r w:rsidRPr="00777BCD">
        <w:rPr>
          <w:rFonts w:ascii="Calibri" w:hAnsi="Calibri" w:cs="Calibri"/>
          <w:bCs/>
          <w:color w:val="000000" w:themeColor="text1"/>
          <w:sz w:val="24"/>
        </w:rPr>
        <w:t>、基金管理人采用摆动定价机制进行估值；</w:t>
      </w:r>
    </w:p>
    <w:p w14:paraId="3F57479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26</w:t>
      </w:r>
      <w:r w:rsidRPr="00777BCD">
        <w:rPr>
          <w:rFonts w:ascii="Calibri" w:hAnsi="Calibri" w:cs="Calibri"/>
          <w:bCs/>
          <w:color w:val="000000" w:themeColor="text1"/>
          <w:sz w:val="24"/>
        </w:rPr>
        <w:t>、基金信息披露义务人认为可能对基金份额持有人权益或者基金份额的价格产生重大影响的其他事项或中国证监会规定</w:t>
      </w:r>
      <w:bookmarkStart w:id="444" w:name="_Hlk161152069"/>
      <w:r w:rsidRPr="00777BCD">
        <w:rPr>
          <w:rFonts w:ascii="Calibri" w:hAnsi="Calibri" w:cs="Calibri"/>
          <w:bCs/>
          <w:color w:val="000000" w:themeColor="text1"/>
          <w:sz w:val="24"/>
        </w:rPr>
        <w:t>和基金合同约定</w:t>
      </w:r>
      <w:bookmarkEnd w:id="444"/>
      <w:r w:rsidRPr="00777BCD">
        <w:rPr>
          <w:rFonts w:ascii="Calibri" w:hAnsi="Calibri" w:cs="Calibri"/>
          <w:bCs/>
          <w:color w:val="000000" w:themeColor="text1"/>
          <w:sz w:val="24"/>
        </w:rPr>
        <w:t>的其他事项。</w:t>
      </w:r>
    </w:p>
    <w:p w14:paraId="1263867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（七）澄清公告</w:t>
      </w:r>
    </w:p>
    <w:p w14:paraId="0F2A45B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在《基金合同》存续期限内，任何公共媒介中出现的或者在市场上流传的消息可能对基金份额价格产生误导性影响或者引起较大波动，以及可能损害基金份额持有人权益的，相关信息披露义务人知悉后应当立即对该消息进行公开澄清。</w:t>
      </w:r>
    </w:p>
    <w:p w14:paraId="63C0758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（八）基金份额持有人大会决议</w:t>
      </w:r>
    </w:p>
    <w:p w14:paraId="696ADC1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基金份额持有人大会决定的事项，应当依法报中国证监会备案，并予以公告。</w:t>
      </w:r>
    </w:p>
    <w:p w14:paraId="438B5DB0" w14:textId="21C39F80"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基金份额持有人</w:t>
      </w:r>
      <w:r w:rsidR="0000414C" w:rsidRPr="00777BCD">
        <w:rPr>
          <w:rFonts w:ascii="Calibri" w:hAnsi="Calibri" w:cs="Calibri"/>
          <w:bCs/>
          <w:color w:val="000000" w:themeColor="text1"/>
          <w:sz w:val="24"/>
        </w:rPr>
        <w:t>或基金份额持有人大会的日常机构（如有）</w:t>
      </w:r>
      <w:r w:rsidRPr="00777BCD">
        <w:rPr>
          <w:rFonts w:ascii="Calibri" w:hAnsi="Calibri" w:cs="Calibri"/>
          <w:bCs/>
          <w:color w:val="000000" w:themeColor="text1"/>
          <w:sz w:val="24"/>
        </w:rPr>
        <w:t>依法自行召集基金份额持有人大会，基金管理人、基金托管人对基金份额持有人大会决定的事项不依法履行信息披露义务的，召集人应当履行相关信息披露义务。</w:t>
      </w:r>
    </w:p>
    <w:p w14:paraId="54960D4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（九）清算报告</w:t>
      </w:r>
    </w:p>
    <w:p w14:paraId="1B87CBD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基金合同出现终止事由的，基金管理人应当依法组织基金财产清算小组对基金财产进行清算并</w:t>
      </w:r>
      <w:proofErr w:type="gramStart"/>
      <w:r w:rsidRPr="00777BCD">
        <w:rPr>
          <w:rFonts w:ascii="Calibri" w:hAnsi="Calibri" w:cs="Calibri"/>
          <w:bCs/>
          <w:color w:val="000000" w:themeColor="text1"/>
          <w:sz w:val="24"/>
        </w:rPr>
        <w:t>作出</w:t>
      </w:r>
      <w:proofErr w:type="gramEnd"/>
      <w:r w:rsidRPr="00777BCD">
        <w:rPr>
          <w:rFonts w:ascii="Calibri" w:hAnsi="Calibri" w:cs="Calibri"/>
          <w:bCs/>
          <w:color w:val="000000" w:themeColor="text1"/>
          <w:sz w:val="24"/>
        </w:rPr>
        <w:t>清算报告。基金财产清算小组应当将清算报告登载在规定网站上，并将清算报告提示性公告登载在规定报刊上。</w:t>
      </w:r>
    </w:p>
    <w:p w14:paraId="43A48ED0" w14:textId="77777777" w:rsidR="007149DF" w:rsidRPr="00777BCD" w:rsidRDefault="00284640">
      <w:pPr>
        <w:ind w:firstLine="480"/>
        <w:rPr>
          <w:rFonts w:ascii="Calibri" w:hAnsi="Calibri" w:cs="Calibri"/>
          <w:bCs/>
          <w:color w:val="000000" w:themeColor="text1"/>
          <w:sz w:val="24"/>
        </w:rPr>
      </w:pPr>
      <w:bookmarkStart w:id="445" w:name="_Hlk22573735"/>
      <w:r w:rsidRPr="00777BCD">
        <w:rPr>
          <w:rFonts w:ascii="Calibri" w:hAnsi="Calibri" w:cs="Calibri"/>
          <w:bCs/>
          <w:color w:val="000000" w:themeColor="text1"/>
          <w:sz w:val="24"/>
        </w:rPr>
        <w:t>（十）投资资产支持证券的信息披露</w:t>
      </w:r>
      <w:bookmarkEnd w:id="445"/>
    </w:p>
    <w:p w14:paraId="1B079DE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管理人应在基金年度报告及中期报告中披露其持有的资产支持证券总额、资产支持证券市值占基金净资产的比例和报告期内所有的资产支持证券明细。基金管理人应在基金季度报告中披露其持有的资产支持证券总额、资产支持证券市值占基金净资产的比例和报告期末按市值占基金净资产比例大小排序的前</w:t>
      </w:r>
      <w:r w:rsidRPr="00777BCD">
        <w:rPr>
          <w:rFonts w:ascii="Calibri" w:hAnsi="Calibri" w:cs="Calibri"/>
          <w:bCs/>
          <w:color w:val="000000" w:themeColor="text1"/>
          <w:sz w:val="24"/>
        </w:rPr>
        <w:t>10</w:t>
      </w:r>
      <w:r w:rsidRPr="00777BCD">
        <w:rPr>
          <w:rFonts w:ascii="Calibri" w:hAnsi="Calibri" w:cs="Calibri"/>
          <w:bCs/>
          <w:color w:val="000000" w:themeColor="text1"/>
          <w:sz w:val="24"/>
        </w:rPr>
        <w:t>名资产支持证券明细。</w:t>
      </w:r>
    </w:p>
    <w:p w14:paraId="0E406BD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（十一）投资港股通标的股票的信息披露</w:t>
      </w:r>
    </w:p>
    <w:p w14:paraId="5875422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基金管理人应当在定期报告和招募说明书（更新）等文件中披露本基金参与港股通标的股票投资的相关情况。</w:t>
      </w:r>
    </w:p>
    <w:p w14:paraId="2577134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（十二）投资股指期货的信息披露</w:t>
      </w:r>
    </w:p>
    <w:p w14:paraId="642C61F6" w14:textId="7847C981"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基金管理人应当在季度报告、中期报告、年度报告等定期报告和招募说明书（更新）等文件中披露股指期货交易情况，包括</w:t>
      </w:r>
      <w:r w:rsidR="006C7552" w:rsidRPr="00777BCD">
        <w:rPr>
          <w:rFonts w:ascii="Calibri" w:hAnsi="Calibri" w:cs="Calibri"/>
          <w:bCs/>
          <w:color w:val="000000" w:themeColor="text1"/>
          <w:sz w:val="24"/>
        </w:rPr>
        <w:t>交易政策</w:t>
      </w:r>
      <w:r w:rsidRPr="00777BCD">
        <w:rPr>
          <w:rFonts w:ascii="Calibri" w:hAnsi="Calibri" w:cs="Calibri"/>
          <w:bCs/>
          <w:color w:val="000000" w:themeColor="text1"/>
          <w:sz w:val="24"/>
        </w:rPr>
        <w:t>、持仓情况、损益</w:t>
      </w:r>
      <w:r w:rsidRPr="00777BCD">
        <w:rPr>
          <w:rFonts w:ascii="Calibri" w:hAnsi="Calibri" w:cs="Calibri"/>
          <w:bCs/>
          <w:color w:val="000000" w:themeColor="text1"/>
          <w:sz w:val="24"/>
        </w:rPr>
        <w:lastRenderedPageBreak/>
        <w:t>情况、风险指标等，并充分揭示股指期货交易对基金总体风险的影响以及是否符合既定的投资政策和投资目标等。</w:t>
      </w:r>
    </w:p>
    <w:p w14:paraId="15B71747" w14:textId="77777777" w:rsidR="007149DF" w:rsidRPr="00777BCD" w:rsidRDefault="00284640">
      <w:pPr>
        <w:ind w:firstLine="480"/>
        <w:contextualSpacing/>
        <w:rPr>
          <w:rFonts w:ascii="Calibri" w:hAnsi="Calibri" w:cs="Calibri"/>
          <w:bCs/>
          <w:color w:val="000000" w:themeColor="text1"/>
          <w:sz w:val="24"/>
        </w:rPr>
      </w:pPr>
      <w:bookmarkStart w:id="446" w:name="_Hlk161152110"/>
      <w:r w:rsidRPr="00777BCD">
        <w:rPr>
          <w:rFonts w:ascii="Calibri" w:hAnsi="Calibri" w:cs="Calibri"/>
          <w:bCs/>
          <w:color w:val="000000" w:themeColor="text1"/>
          <w:sz w:val="24"/>
        </w:rPr>
        <w:t>（十三）参与融资交易相关公告</w:t>
      </w:r>
    </w:p>
    <w:p w14:paraId="2C04AA67" w14:textId="7777777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基金管理人应当在季度报告、中期报告、年度报告等定期报告和招募说明书（更新）等文件中披露参与融资交易情况，包括投资策略、业务开展情况、损益情况、风险及其管理情况等。</w:t>
      </w:r>
    </w:p>
    <w:p w14:paraId="4A0A0051" w14:textId="3B983BA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（十四）投资存托凭证的信息披露</w:t>
      </w:r>
    </w:p>
    <w:p w14:paraId="7CBB0787" w14:textId="7777777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本基金投资存托凭证的信息披露依照境内上市交易的股票执行。</w:t>
      </w:r>
    </w:p>
    <w:p w14:paraId="2E1CB9A9" w14:textId="5A353AD3"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（十五）实施</w:t>
      </w:r>
      <w:proofErr w:type="gramStart"/>
      <w:r w:rsidRPr="00777BCD">
        <w:rPr>
          <w:rFonts w:ascii="Calibri" w:hAnsi="Calibri" w:cs="Calibri"/>
          <w:bCs/>
          <w:color w:val="000000" w:themeColor="text1"/>
          <w:sz w:val="24"/>
        </w:rPr>
        <w:t>侧袋机制</w:t>
      </w:r>
      <w:proofErr w:type="gramEnd"/>
      <w:r w:rsidRPr="00777BCD">
        <w:rPr>
          <w:rFonts w:ascii="Calibri" w:hAnsi="Calibri" w:cs="Calibri"/>
          <w:bCs/>
          <w:color w:val="000000" w:themeColor="text1"/>
          <w:sz w:val="24"/>
        </w:rPr>
        <w:t>期间的信息披露</w:t>
      </w:r>
    </w:p>
    <w:p w14:paraId="1F0B465D" w14:textId="7777777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本基金实施</w:t>
      </w:r>
      <w:proofErr w:type="gramStart"/>
      <w:r w:rsidRPr="00777BCD">
        <w:rPr>
          <w:rFonts w:ascii="Calibri" w:hAnsi="Calibri" w:cs="Calibri"/>
          <w:bCs/>
          <w:color w:val="000000" w:themeColor="text1"/>
          <w:sz w:val="24"/>
        </w:rPr>
        <w:t>侧袋机制</w:t>
      </w:r>
      <w:proofErr w:type="gramEnd"/>
      <w:r w:rsidRPr="00777BCD">
        <w:rPr>
          <w:rFonts w:ascii="Calibri" w:hAnsi="Calibri" w:cs="Calibri"/>
          <w:bCs/>
          <w:color w:val="000000" w:themeColor="text1"/>
          <w:sz w:val="24"/>
        </w:rPr>
        <w:t>的，相关信息披露义务人应当根据法律法规、基金合同和招募说明书的规定进行信息披露，详见招募说明书的规定。</w:t>
      </w:r>
    </w:p>
    <w:p w14:paraId="0E971995" w14:textId="471EA398"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（十六）中国证监会规定的其他信息</w:t>
      </w:r>
    </w:p>
    <w:bookmarkEnd w:id="446"/>
    <w:p w14:paraId="55BD1AA8" w14:textId="77777777" w:rsidR="007149DF" w:rsidRPr="00777BCD" w:rsidRDefault="007149DF">
      <w:pPr>
        <w:ind w:firstLine="480"/>
        <w:contextualSpacing/>
        <w:rPr>
          <w:rFonts w:ascii="Calibri" w:hAnsi="Calibri" w:cs="Calibri"/>
          <w:bCs/>
          <w:color w:val="000000" w:themeColor="text1"/>
          <w:sz w:val="24"/>
        </w:rPr>
      </w:pPr>
    </w:p>
    <w:p w14:paraId="52B47B5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六、信息披露事务管理</w:t>
      </w:r>
    </w:p>
    <w:p w14:paraId="70ECB06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基金管理人、基金托管人应当建立健全信息披露管理制度，指定专门部门及高级管理人员负责管理信息披露事务。</w:t>
      </w:r>
    </w:p>
    <w:p w14:paraId="4338BD5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基金管理人、基金托管人应加强对未公开披露基金信息的管控，并建立基金敏感信息知情人登记制度。基金管理人、基金托管人及相关从业人员不得泄露未公开披露的基金信息。</w:t>
      </w:r>
    </w:p>
    <w:p w14:paraId="72C526C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基金信息披露义务人公开披露基金信息，应当符合中国证监会相关基金信息披露内容与格式准则等</w:t>
      </w:r>
      <w:r w:rsidRPr="00777BCD">
        <w:rPr>
          <w:rFonts w:ascii="Calibri" w:hAnsi="Calibri" w:cs="Calibri"/>
          <w:color w:val="000000" w:themeColor="text1"/>
          <w:sz w:val="24"/>
        </w:rPr>
        <w:t>法律</w:t>
      </w:r>
      <w:r w:rsidRPr="00777BCD">
        <w:rPr>
          <w:rFonts w:ascii="Calibri" w:hAnsi="Calibri" w:cs="Calibri"/>
          <w:bCs/>
          <w:color w:val="000000" w:themeColor="text1"/>
          <w:sz w:val="24"/>
        </w:rPr>
        <w:t>法规的规定。</w:t>
      </w:r>
    </w:p>
    <w:p w14:paraId="106E38A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托管人应当按照相关法律法规、中国证监会的规定和《基金合同》的约定，对基金管理人编制的基金资产净值、各类基金份额净值、基金份额申购赎回价格、基金定期报告、更新的招募说明书、基金产品资料概要、基金清算报告等公开披露的相关基金信息进行复核、审查，并向基金管理人进行书面或电子确认。</w:t>
      </w:r>
    </w:p>
    <w:p w14:paraId="6F81134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基金管理人、基金托管人应当在规定报刊中选择一家报刊</w:t>
      </w:r>
      <w:r w:rsidRPr="00777BCD">
        <w:rPr>
          <w:rFonts w:ascii="Calibri" w:hAnsi="Calibri" w:cs="Calibri"/>
          <w:bCs/>
          <w:color w:val="000000" w:themeColor="text1"/>
          <w:sz w:val="24"/>
          <w:szCs w:val="24"/>
        </w:rPr>
        <w:t>披露本基金信息</w:t>
      </w:r>
      <w:r w:rsidRPr="00777BCD">
        <w:rPr>
          <w:rFonts w:ascii="Calibri" w:hAnsi="Calibri" w:cs="Calibri"/>
          <w:bCs/>
          <w:color w:val="000000" w:themeColor="text1"/>
          <w:sz w:val="24"/>
        </w:rPr>
        <w:t>。</w:t>
      </w:r>
    </w:p>
    <w:p w14:paraId="45CE2B4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基金管理人、基金托管人应当向中国证监会基金电子披露网站报送拟披露的基金信息，并保证相关报送信息的真实、准确、完整、及时。</w:t>
      </w:r>
    </w:p>
    <w:p w14:paraId="115EB5D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为强化投资者保护，提升信息披露服务质量，基金管理人应当自中国证监会规定之日起，按照中国证监会规定向投资者及时提供对其投资决策有重大影响的信息。</w:t>
      </w:r>
    </w:p>
    <w:p w14:paraId="797275F5" w14:textId="7BEBC73F"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基金管理人、基金托管人除按法律法规要求披露信息外，也可着眼于为投资者决策提供有用信息的角度，在保证公平对待投资者、</w:t>
      </w:r>
      <w:proofErr w:type="gramStart"/>
      <w:r w:rsidRPr="00777BCD">
        <w:rPr>
          <w:rFonts w:ascii="Calibri" w:hAnsi="Calibri" w:cs="Calibri"/>
          <w:bCs/>
          <w:color w:val="000000" w:themeColor="text1"/>
          <w:sz w:val="24"/>
        </w:rPr>
        <w:t>不</w:t>
      </w:r>
      <w:proofErr w:type="gramEnd"/>
      <w:r w:rsidRPr="00777BCD">
        <w:rPr>
          <w:rFonts w:ascii="Calibri" w:hAnsi="Calibri" w:cs="Calibri"/>
          <w:bCs/>
          <w:color w:val="000000" w:themeColor="text1"/>
          <w:sz w:val="24"/>
        </w:rPr>
        <w:t>误导投资者、不影响基金正常投资操作的前提下，自主提升信息披露服务的质量。具体要求应当符合中国证监会</w:t>
      </w:r>
      <w:r w:rsidR="007B3E06" w:rsidRPr="00777BCD">
        <w:rPr>
          <w:rFonts w:ascii="Calibri" w:hAnsi="Calibri" w:cs="Calibri"/>
          <w:bCs/>
          <w:color w:val="000000" w:themeColor="text1"/>
          <w:sz w:val="24"/>
        </w:rPr>
        <w:t>及自律规则的</w:t>
      </w:r>
      <w:r w:rsidRPr="00777BCD">
        <w:rPr>
          <w:rFonts w:ascii="Calibri" w:hAnsi="Calibri" w:cs="Calibri"/>
          <w:bCs/>
          <w:color w:val="000000" w:themeColor="text1"/>
          <w:sz w:val="24"/>
        </w:rPr>
        <w:t>相关规定。前述自主披露如产生信息披露费用，该费用不得从基金财产中列支。</w:t>
      </w:r>
    </w:p>
    <w:p w14:paraId="3724201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为基金信息披露义务人公开披露的基金信息出具审计报告、法律意见书的专业机构，应当制作工作底稿，并将相关档案至少保存到《基金合同》终止后</w:t>
      </w:r>
      <w:r w:rsidRPr="00777BCD">
        <w:rPr>
          <w:rFonts w:ascii="Calibri" w:hAnsi="Calibri" w:cs="Calibri"/>
          <w:bCs/>
          <w:color w:val="000000" w:themeColor="text1"/>
          <w:sz w:val="24"/>
        </w:rPr>
        <w:t>10</w:t>
      </w:r>
      <w:r w:rsidRPr="00777BCD">
        <w:rPr>
          <w:rFonts w:ascii="Calibri" w:hAnsi="Calibri" w:cs="Calibri"/>
          <w:bCs/>
          <w:color w:val="000000" w:themeColor="text1"/>
          <w:sz w:val="24"/>
        </w:rPr>
        <w:t>年。</w:t>
      </w:r>
    </w:p>
    <w:p w14:paraId="7FEF84A4" w14:textId="77777777" w:rsidR="007149DF" w:rsidRPr="00777BCD" w:rsidRDefault="007149DF">
      <w:pPr>
        <w:ind w:firstLine="480"/>
        <w:rPr>
          <w:rFonts w:ascii="Calibri" w:hAnsi="Calibri" w:cs="Calibri"/>
          <w:bCs/>
          <w:color w:val="000000" w:themeColor="text1"/>
          <w:sz w:val="24"/>
        </w:rPr>
      </w:pPr>
    </w:p>
    <w:p w14:paraId="22C07E9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七、信息披露文件的存放与查阅</w:t>
      </w:r>
    </w:p>
    <w:p w14:paraId="4DC4453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依法必须披露的信息发布后，基金管理人、基金托管人应当按照相关法律法规规定将信息置备于各自住所，以供社会公众查阅、复制。</w:t>
      </w:r>
    </w:p>
    <w:p w14:paraId="7DA0F05A" w14:textId="77777777" w:rsidR="007149DF" w:rsidRPr="00777BCD" w:rsidRDefault="007149DF">
      <w:pPr>
        <w:ind w:firstLine="480"/>
        <w:rPr>
          <w:rFonts w:ascii="Calibri" w:hAnsi="Calibri" w:cs="Calibri"/>
          <w:bCs/>
          <w:color w:val="000000" w:themeColor="text1"/>
          <w:sz w:val="24"/>
        </w:rPr>
      </w:pPr>
    </w:p>
    <w:p w14:paraId="22319991" w14:textId="7777777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八、暂停或延迟披露基金相关信息的情形</w:t>
      </w:r>
    </w:p>
    <w:p w14:paraId="63DD26AA" w14:textId="77777777" w:rsidR="007149DF" w:rsidRPr="00777BCD" w:rsidRDefault="00284640">
      <w:pPr>
        <w:ind w:firstLine="480"/>
        <w:rPr>
          <w:rFonts w:ascii="Calibri" w:hAnsi="Calibri" w:cs="Calibri"/>
          <w:color w:val="000000" w:themeColor="text1"/>
          <w:sz w:val="24"/>
        </w:rPr>
      </w:pPr>
      <w:bookmarkStart w:id="447" w:name="_Hlk103972680"/>
      <w:r w:rsidRPr="00777BCD">
        <w:rPr>
          <w:rFonts w:ascii="Calibri" w:hAnsi="Calibri" w:cs="Calibri"/>
          <w:color w:val="000000" w:themeColor="text1"/>
          <w:sz w:val="24"/>
        </w:rPr>
        <w:t>当出现下述情况时，基金管理人和基金托管人可暂停或延迟披露基金信息：</w:t>
      </w:r>
    </w:p>
    <w:p w14:paraId="3621438A" w14:textId="77777777" w:rsidR="007149DF" w:rsidRPr="00777BCD" w:rsidRDefault="00284640">
      <w:pPr>
        <w:shd w:val="clear" w:color="auto" w:fill="FFFFFF"/>
        <w:ind w:left="480" w:firstLine="0"/>
        <w:jc w:val="left"/>
        <w:rPr>
          <w:rFonts w:ascii="Calibri" w:hAnsi="Calibri" w:cs="Calibri"/>
          <w:color w:val="000000" w:themeColor="text1"/>
          <w:sz w:val="24"/>
        </w:rPr>
      </w:pPr>
      <w:bookmarkStart w:id="448" w:name="_Hlk47895734"/>
      <w:r w:rsidRPr="00777BCD">
        <w:rPr>
          <w:rFonts w:ascii="Calibri" w:hAnsi="Calibri" w:cs="Calibri"/>
          <w:color w:val="000000" w:themeColor="text1"/>
          <w:sz w:val="24"/>
        </w:rPr>
        <w:t>1</w:t>
      </w:r>
      <w:r w:rsidRPr="00777BCD">
        <w:rPr>
          <w:rFonts w:ascii="Calibri" w:hAnsi="Calibri" w:cs="Calibri"/>
          <w:color w:val="000000" w:themeColor="text1"/>
          <w:sz w:val="24"/>
        </w:rPr>
        <w:t>、不可抗力；</w:t>
      </w:r>
    </w:p>
    <w:p w14:paraId="3528E1AC" w14:textId="77777777" w:rsidR="007149DF" w:rsidRPr="00777BCD" w:rsidRDefault="00284640">
      <w:pPr>
        <w:shd w:val="clear" w:color="auto" w:fill="FFFFFF"/>
        <w:ind w:firstLineChars="200" w:firstLine="480"/>
        <w:jc w:val="left"/>
        <w:rPr>
          <w:rFonts w:ascii="Calibri" w:hAnsi="Calibri" w:cs="Calibri"/>
          <w:color w:val="000000" w:themeColor="text1"/>
          <w:sz w:val="24"/>
        </w:rPr>
      </w:pPr>
      <w:bookmarkStart w:id="449" w:name="_Hlk160523036"/>
      <w:r w:rsidRPr="00777BCD">
        <w:rPr>
          <w:rFonts w:ascii="Calibri" w:hAnsi="Calibri" w:cs="Calibri"/>
          <w:color w:val="000000" w:themeColor="text1"/>
          <w:sz w:val="24"/>
        </w:rPr>
        <w:t>2</w:t>
      </w:r>
      <w:r w:rsidRPr="00777BCD">
        <w:rPr>
          <w:rFonts w:ascii="Calibri" w:hAnsi="Calibri" w:cs="Calibri"/>
          <w:color w:val="000000" w:themeColor="text1"/>
          <w:sz w:val="24"/>
        </w:rPr>
        <w:t>、基金投资所涉及的证券、期货交易市场或外汇市场遇法定节假日或因其他原因暂停营业时；</w:t>
      </w:r>
      <w:bookmarkEnd w:id="449"/>
    </w:p>
    <w:p w14:paraId="7C664378" w14:textId="77777777" w:rsidR="007149DF" w:rsidRPr="00777BCD" w:rsidRDefault="00284640">
      <w:pPr>
        <w:shd w:val="clear" w:color="auto" w:fill="FFFFFF"/>
        <w:ind w:firstLine="480"/>
        <w:jc w:val="left"/>
        <w:rPr>
          <w:rFonts w:ascii="Calibri" w:hAnsi="Calibri" w:cs="Calibri"/>
          <w:color w:val="000000" w:themeColor="text1"/>
          <w:sz w:val="24"/>
        </w:rPr>
      </w:pPr>
      <w:r w:rsidRPr="00777BCD">
        <w:rPr>
          <w:rFonts w:ascii="Calibri" w:hAnsi="Calibri" w:cs="Calibri"/>
          <w:color w:val="000000" w:themeColor="text1"/>
          <w:sz w:val="24"/>
        </w:rPr>
        <w:t>3</w:t>
      </w:r>
      <w:r w:rsidRPr="00777BCD">
        <w:rPr>
          <w:rFonts w:ascii="Calibri" w:hAnsi="Calibri" w:cs="Calibri"/>
          <w:color w:val="000000" w:themeColor="text1"/>
          <w:sz w:val="24"/>
        </w:rPr>
        <w:t>、发生暂停估值的情形；</w:t>
      </w:r>
    </w:p>
    <w:p w14:paraId="7A375770" w14:textId="77777777" w:rsidR="007149DF" w:rsidRPr="00777BCD" w:rsidRDefault="00284640">
      <w:pPr>
        <w:shd w:val="clear" w:color="auto" w:fill="FFFFFF"/>
        <w:ind w:firstLine="480"/>
        <w:jc w:val="left"/>
        <w:rPr>
          <w:rFonts w:ascii="Calibri" w:eastAsia="微软雅黑" w:hAnsi="Calibri" w:cs="Calibri"/>
          <w:color w:val="000000" w:themeColor="text1"/>
          <w:sz w:val="24"/>
          <w:szCs w:val="24"/>
        </w:rPr>
      </w:pPr>
      <w:r w:rsidRPr="00777BCD">
        <w:rPr>
          <w:rFonts w:ascii="Calibri" w:hAnsi="Calibri" w:cs="Calibri"/>
          <w:color w:val="000000" w:themeColor="text1"/>
          <w:sz w:val="24"/>
        </w:rPr>
        <w:t>4</w:t>
      </w:r>
      <w:r w:rsidRPr="00777BCD">
        <w:rPr>
          <w:rFonts w:ascii="Calibri" w:hAnsi="Calibri" w:cs="Calibri"/>
          <w:color w:val="000000" w:themeColor="text1"/>
          <w:sz w:val="24"/>
        </w:rPr>
        <w:t>、法律法规、基金合同或中国证监会规定的其他情况。</w:t>
      </w:r>
    </w:p>
    <w:p w14:paraId="382265D7" w14:textId="7777777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九、本基金信息披露事项以法律法规规定及本章节约定的内容为准。</w:t>
      </w:r>
    </w:p>
    <w:p w14:paraId="1AA9B037" w14:textId="77777777" w:rsidR="007149DF" w:rsidRPr="00777BCD" w:rsidRDefault="00284640">
      <w:pPr>
        <w:ind w:firstLine="480"/>
        <w:rPr>
          <w:rFonts w:ascii="Calibri" w:hAnsi="Calibri" w:cs="Calibri"/>
          <w:bCs/>
          <w:color w:val="000000" w:themeColor="text1"/>
          <w:sz w:val="24"/>
        </w:rPr>
      </w:pPr>
      <w:bookmarkStart w:id="450" w:name="_Toc6237"/>
      <w:bookmarkStart w:id="451" w:name="_Toc139991749"/>
      <w:bookmarkStart w:id="452" w:name="_Toc8059"/>
      <w:bookmarkStart w:id="453" w:name="_Toc9005"/>
      <w:bookmarkStart w:id="454" w:name="_Toc98560364"/>
      <w:bookmarkStart w:id="455" w:name="_Toc141703899"/>
      <w:bookmarkStart w:id="456" w:name="_Toc29891"/>
      <w:bookmarkStart w:id="457" w:name="_Toc22978"/>
      <w:bookmarkStart w:id="458" w:name="_Toc123112247"/>
      <w:bookmarkStart w:id="459" w:name="_Toc123102466"/>
      <w:bookmarkStart w:id="460" w:name="_Toc10006"/>
      <w:bookmarkStart w:id="461" w:name="_Toc6820038"/>
      <w:bookmarkStart w:id="462" w:name="_Toc27464"/>
      <w:bookmarkStart w:id="463" w:name="_Toc7170"/>
      <w:bookmarkStart w:id="464" w:name="_Toc25647"/>
      <w:bookmarkStart w:id="465" w:name="_Toc123051465"/>
      <w:bookmarkStart w:id="466" w:name="_Toc8049"/>
      <w:bookmarkEnd w:id="447"/>
      <w:bookmarkEnd w:id="448"/>
      <w:r w:rsidRPr="00777BCD">
        <w:rPr>
          <w:rFonts w:ascii="Calibri" w:hAnsi="Calibri" w:cs="Calibri"/>
          <w:bCs/>
          <w:color w:val="000000" w:themeColor="text1"/>
          <w:sz w:val="24"/>
        </w:rPr>
        <w:br w:type="page"/>
      </w:r>
    </w:p>
    <w:p w14:paraId="7AD9EFEA" w14:textId="77777777" w:rsidR="007149DF" w:rsidRPr="00777BCD" w:rsidRDefault="007149DF">
      <w:pPr>
        <w:ind w:firstLine="420"/>
        <w:rPr>
          <w:rFonts w:ascii="Calibri" w:hAnsi="Calibri" w:cs="Calibri"/>
          <w:bCs/>
          <w:color w:val="000000" w:themeColor="text1"/>
        </w:rPr>
      </w:pPr>
    </w:p>
    <w:p w14:paraId="15D5DE38" w14:textId="77777777" w:rsidR="007149DF" w:rsidRPr="00777BCD" w:rsidRDefault="00284640">
      <w:pPr>
        <w:pStyle w:val="11"/>
        <w:spacing w:before="0" w:after="0"/>
        <w:ind w:firstLine="602"/>
        <w:jc w:val="center"/>
        <w:rPr>
          <w:rFonts w:ascii="Calibri" w:hAnsi="Calibri" w:cs="Calibri"/>
          <w:color w:val="000000" w:themeColor="text1"/>
          <w:sz w:val="30"/>
        </w:rPr>
      </w:pPr>
      <w:bookmarkStart w:id="467" w:name="_Toc160725917"/>
      <w:bookmarkStart w:id="468" w:name="_Hlk23248989"/>
      <w:r w:rsidRPr="00777BCD">
        <w:rPr>
          <w:rFonts w:ascii="Calibri" w:hAnsi="Calibri" w:cs="Calibri"/>
          <w:color w:val="000000" w:themeColor="text1"/>
          <w:sz w:val="30"/>
        </w:rPr>
        <w:t>第十九部分</w:t>
      </w:r>
      <w:bookmarkStart w:id="469" w:name="_Hlt88828593"/>
      <w:r w:rsidRPr="00777BCD">
        <w:rPr>
          <w:rFonts w:ascii="Calibri" w:hAnsi="Calibri" w:cs="Calibri"/>
          <w:color w:val="000000" w:themeColor="text1"/>
          <w:sz w:val="30"/>
        </w:rPr>
        <w:t xml:space="preserve">  </w:t>
      </w:r>
      <w:r w:rsidRPr="00777BCD">
        <w:rPr>
          <w:rFonts w:ascii="Calibri" w:hAnsi="Calibri" w:cs="Calibri"/>
          <w:color w:val="000000" w:themeColor="text1"/>
          <w:sz w:val="30"/>
        </w:rPr>
        <w:t>基金合同</w:t>
      </w:r>
      <w:bookmarkEnd w:id="469"/>
      <w:r w:rsidRPr="00777BCD">
        <w:rPr>
          <w:rFonts w:ascii="Calibri" w:hAnsi="Calibri" w:cs="Calibri"/>
          <w:color w:val="000000" w:themeColor="text1"/>
          <w:sz w:val="30"/>
        </w:rPr>
        <w:t>的变更、终止与基金财产的清算</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48BAC7B6" w14:textId="77777777" w:rsidR="007149DF" w:rsidRPr="00777BCD" w:rsidRDefault="007149DF">
      <w:pPr>
        <w:ind w:firstLine="480"/>
        <w:rPr>
          <w:rFonts w:ascii="Calibri" w:hAnsi="Calibri" w:cs="Calibri"/>
          <w:bCs/>
          <w:color w:val="000000" w:themeColor="text1"/>
          <w:sz w:val="24"/>
        </w:rPr>
      </w:pPr>
    </w:p>
    <w:p w14:paraId="408C61E4" w14:textId="77777777" w:rsidR="007149DF" w:rsidRPr="00777BCD" w:rsidRDefault="00284640">
      <w:pPr>
        <w:ind w:firstLine="480"/>
        <w:rPr>
          <w:rFonts w:ascii="Calibri" w:hAnsi="Calibri" w:cs="Calibri"/>
          <w:bCs/>
          <w:color w:val="000000" w:themeColor="text1"/>
          <w:sz w:val="24"/>
        </w:rPr>
      </w:pPr>
      <w:bookmarkStart w:id="470" w:name="_Toc79392639"/>
      <w:r w:rsidRPr="00777BCD">
        <w:rPr>
          <w:rFonts w:ascii="Calibri" w:hAnsi="Calibri" w:cs="Calibri"/>
          <w:bCs/>
          <w:color w:val="000000" w:themeColor="text1"/>
          <w:sz w:val="24"/>
        </w:rPr>
        <w:t>一、《基金合同》的变更</w:t>
      </w:r>
      <w:bookmarkEnd w:id="470"/>
    </w:p>
    <w:p w14:paraId="64943A53" w14:textId="7AADC51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、变更基金合同涉及法律法规规定或本基金合同约定应经基金份额持有人大会决议通过的事项的，应召</w:t>
      </w:r>
      <w:proofErr w:type="gramStart"/>
      <w:r w:rsidRPr="00777BCD">
        <w:rPr>
          <w:rFonts w:ascii="Calibri" w:hAnsi="Calibri" w:cs="Calibri"/>
          <w:bCs/>
          <w:color w:val="000000" w:themeColor="text1"/>
          <w:sz w:val="24"/>
        </w:rPr>
        <w:t>开基金</w:t>
      </w:r>
      <w:proofErr w:type="gramEnd"/>
      <w:r w:rsidRPr="00777BCD">
        <w:rPr>
          <w:rFonts w:ascii="Calibri" w:hAnsi="Calibri" w:cs="Calibri"/>
          <w:bCs/>
          <w:color w:val="000000" w:themeColor="text1"/>
          <w:sz w:val="24"/>
        </w:rPr>
        <w:t>份额持有人大会决议通过。对于法律法规规定和基金合同约定可不经基金份额持有人大会决议通过的事项，由基金管理人和基金托管人同意后变更并公告。</w:t>
      </w:r>
    </w:p>
    <w:p w14:paraId="258E5B7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、关于《基金合同》变更的基金份额持有人大会决议自生效后方可执行，</w:t>
      </w:r>
      <w:proofErr w:type="gramStart"/>
      <w:r w:rsidRPr="00777BCD">
        <w:rPr>
          <w:rFonts w:ascii="Calibri" w:hAnsi="Calibri" w:cs="Calibri"/>
          <w:bCs/>
          <w:color w:val="000000" w:themeColor="text1"/>
          <w:sz w:val="24"/>
        </w:rPr>
        <w:t>自决议</w:t>
      </w:r>
      <w:proofErr w:type="gramEnd"/>
      <w:r w:rsidRPr="00777BCD">
        <w:rPr>
          <w:rFonts w:ascii="Calibri" w:hAnsi="Calibri" w:cs="Calibri"/>
          <w:bCs/>
          <w:color w:val="000000" w:themeColor="text1"/>
          <w:sz w:val="24"/>
        </w:rPr>
        <w:t>生效后两日内在规定媒介公告。</w:t>
      </w:r>
    </w:p>
    <w:p w14:paraId="6157D1D9" w14:textId="77777777" w:rsidR="007149DF" w:rsidRPr="00777BCD" w:rsidRDefault="007149DF">
      <w:pPr>
        <w:ind w:firstLine="480"/>
        <w:rPr>
          <w:rFonts w:ascii="Calibri" w:hAnsi="Calibri" w:cs="Calibri"/>
          <w:bCs/>
          <w:color w:val="000000" w:themeColor="text1"/>
          <w:sz w:val="24"/>
        </w:rPr>
      </w:pPr>
    </w:p>
    <w:p w14:paraId="011A6813" w14:textId="77777777" w:rsidR="007149DF" w:rsidRPr="00777BCD" w:rsidRDefault="00284640">
      <w:pPr>
        <w:ind w:firstLine="480"/>
        <w:rPr>
          <w:rFonts w:ascii="Calibri" w:hAnsi="Calibri" w:cs="Calibri"/>
          <w:color w:val="000000" w:themeColor="text1"/>
          <w:sz w:val="24"/>
        </w:rPr>
      </w:pPr>
      <w:r w:rsidRPr="00777BCD">
        <w:rPr>
          <w:rFonts w:ascii="Calibri" w:hAnsi="Calibri" w:cs="Calibri"/>
          <w:color w:val="000000" w:themeColor="text1"/>
          <w:sz w:val="24"/>
        </w:rPr>
        <w:t>二、《基金合同》的终止事由</w:t>
      </w:r>
    </w:p>
    <w:p w14:paraId="6D17462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有下列情形之一的，经履行相关程序后，《基金合同》应当终止：</w:t>
      </w:r>
    </w:p>
    <w:p w14:paraId="30EAB77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、基金份额持有人大会决定终止的；</w:t>
      </w:r>
    </w:p>
    <w:p w14:paraId="378DDE5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、基金管理人、基金托管人职责终止，在</w:t>
      </w:r>
      <w:r w:rsidRPr="00777BCD">
        <w:rPr>
          <w:rFonts w:ascii="Calibri" w:hAnsi="Calibri" w:cs="Calibri"/>
          <w:bCs/>
          <w:color w:val="000000" w:themeColor="text1"/>
          <w:sz w:val="24"/>
        </w:rPr>
        <w:t>6</w:t>
      </w:r>
      <w:r w:rsidRPr="00777BCD">
        <w:rPr>
          <w:rFonts w:ascii="Calibri" w:hAnsi="Calibri" w:cs="Calibri"/>
          <w:bCs/>
          <w:color w:val="000000" w:themeColor="text1"/>
          <w:sz w:val="24"/>
        </w:rPr>
        <w:t>个月内没有新基金管理人、新基金托管人承接的；</w:t>
      </w:r>
    </w:p>
    <w:p w14:paraId="5897CF0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、《基金合同》约定的其他情形；</w:t>
      </w:r>
    </w:p>
    <w:p w14:paraId="52EF13F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、相关法律法规和中国证监会规定的其他情况。</w:t>
      </w:r>
    </w:p>
    <w:p w14:paraId="38DCE5CF" w14:textId="77777777" w:rsidR="007149DF" w:rsidRPr="00777BCD" w:rsidRDefault="007149DF">
      <w:pPr>
        <w:ind w:firstLine="480"/>
        <w:rPr>
          <w:rFonts w:ascii="Calibri" w:hAnsi="Calibri" w:cs="Calibri"/>
          <w:bCs/>
          <w:color w:val="000000" w:themeColor="text1"/>
          <w:sz w:val="24"/>
        </w:rPr>
      </w:pPr>
    </w:p>
    <w:p w14:paraId="0D690733" w14:textId="77777777" w:rsidR="007149DF" w:rsidRPr="00777BCD" w:rsidRDefault="00284640">
      <w:pPr>
        <w:ind w:firstLine="480"/>
        <w:rPr>
          <w:rFonts w:ascii="Calibri" w:hAnsi="Calibri" w:cs="Calibri"/>
          <w:bCs/>
          <w:color w:val="000000" w:themeColor="text1"/>
          <w:sz w:val="24"/>
        </w:rPr>
      </w:pPr>
      <w:bookmarkStart w:id="471" w:name="_Hlk47899371"/>
      <w:r w:rsidRPr="00777BCD">
        <w:rPr>
          <w:rFonts w:ascii="Calibri" w:hAnsi="Calibri" w:cs="Calibri"/>
          <w:bCs/>
          <w:color w:val="000000" w:themeColor="text1"/>
          <w:sz w:val="24"/>
        </w:rPr>
        <w:t>三、基金财产的清算</w:t>
      </w:r>
    </w:p>
    <w:p w14:paraId="1145F09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、基金财产清算小组：自出现《基金合同》终止事由之日起</w:t>
      </w:r>
      <w:r w:rsidRPr="00777BCD">
        <w:rPr>
          <w:rFonts w:ascii="Calibri" w:hAnsi="Calibri" w:cs="Calibri"/>
          <w:bCs/>
          <w:color w:val="000000" w:themeColor="text1"/>
          <w:sz w:val="24"/>
        </w:rPr>
        <w:t>30</w:t>
      </w:r>
      <w:r w:rsidRPr="00777BCD">
        <w:rPr>
          <w:rFonts w:ascii="Calibri" w:hAnsi="Calibri" w:cs="Calibri"/>
          <w:bCs/>
          <w:color w:val="000000" w:themeColor="text1"/>
          <w:sz w:val="24"/>
        </w:rPr>
        <w:t>个工作日内成立基金财产清算小组，基金管理人组织基金财产清算小组并在中国证监会的监督下进行基金清算。</w:t>
      </w:r>
    </w:p>
    <w:p w14:paraId="432AB7A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、基金财产清算小组组成：基金财产清算小组成员由基金管理人、基金托管人、</w:t>
      </w:r>
      <w:bookmarkStart w:id="472" w:name="_Hlk47622069"/>
      <w:r w:rsidRPr="00777BCD">
        <w:rPr>
          <w:rFonts w:ascii="Calibri" w:hAnsi="Calibri" w:cs="Calibri"/>
          <w:bCs/>
          <w:color w:val="000000" w:themeColor="text1"/>
          <w:sz w:val="24"/>
        </w:rPr>
        <w:t>符合《中华人民共和国证券法》规定</w:t>
      </w:r>
      <w:bookmarkEnd w:id="472"/>
      <w:r w:rsidRPr="00777BCD">
        <w:rPr>
          <w:rFonts w:ascii="Calibri" w:hAnsi="Calibri" w:cs="Calibri"/>
          <w:bCs/>
          <w:color w:val="000000" w:themeColor="text1"/>
          <w:sz w:val="24"/>
        </w:rPr>
        <w:t>的注册会计师、律师以及中国证监会指定的人员组成。基金财产清算小组可以聘用必要的工作人员。</w:t>
      </w:r>
    </w:p>
    <w:p w14:paraId="58D363D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、基金财产清算小组职责：基金财产清算小组负责基金财产的保管、清理、估价、变现和分配。基金财产清算小组可以依法进行必要的民事活动。</w:t>
      </w:r>
    </w:p>
    <w:p w14:paraId="40AB275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、基金财产清算程序：</w:t>
      </w:r>
    </w:p>
    <w:p w14:paraId="01104F4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w:t>
      </w:r>
      <w:r w:rsidRPr="00777BCD">
        <w:rPr>
          <w:rFonts w:ascii="Calibri" w:hAnsi="Calibri" w:cs="Calibri"/>
          <w:bCs/>
          <w:color w:val="000000" w:themeColor="text1"/>
          <w:sz w:val="24"/>
        </w:rPr>
        <w:t>1</w:t>
      </w:r>
      <w:r w:rsidRPr="00777BCD">
        <w:rPr>
          <w:rFonts w:ascii="Calibri" w:hAnsi="Calibri" w:cs="Calibri"/>
          <w:bCs/>
          <w:color w:val="000000" w:themeColor="text1"/>
          <w:sz w:val="24"/>
        </w:rPr>
        <w:t>）《基金合同》终止情形出现时，由基金财产清算小组统一接管基金；</w:t>
      </w:r>
    </w:p>
    <w:p w14:paraId="69BF26F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2</w:t>
      </w:r>
      <w:r w:rsidRPr="00777BCD">
        <w:rPr>
          <w:rFonts w:ascii="Calibri" w:hAnsi="Calibri" w:cs="Calibri"/>
          <w:bCs/>
          <w:color w:val="000000" w:themeColor="text1"/>
          <w:sz w:val="24"/>
        </w:rPr>
        <w:t>）对基金财产和债权债务进行清理和确认；</w:t>
      </w:r>
    </w:p>
    <w:p w14:paraId="6547DF4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3</w:t>
      </w:r>
      <w:r w:rsidRPr="00777BCD">
        <w:rPr>
          <w:rFonts w:ascii="Calibri" w:hAnsi="Calibri" w:cs="Calibri"/>
          <w:bCs/>
          <w:color w:val="000000" w:themeColor="text1"/>
          <w:sz w:val="24"/>
        </w:rPr>
        <w:t>）对基金财产进行估值和变现；</w:t>
      </w:r>
    </w:p>
    <w:p w14:paraId="114E6A0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4</w:t>
      </w:r>
      <w:r w:rsidRPr="00777BCD">
        <w:rPr>
          <w:rFonts w:ascii="Calibri" w:hAnsi="Calibri" w:cs="Calibri"/>
          <w:bCs/>
          <w:color w:val="000000" w:themeColor="text1"/>
          <w:sz w:val="24"/>
        </w:rPr>
        <w:t>）制作清算报告；</w:t>
      </w:r>
    </w:p>
    <w:p w14:paraId="0846A5A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5</w:t>
      </w:r>
      <w:r w:rsidRPr="00777BCD">
        <w:rPr>
          <w:rFonts w:ascii="Calibri" w:hAnsi="Calibri" w:cs="Calibri"/>
          <w:bCs/>
          <w:color w:val="000000" w:themeColor="text1"/>
          <w:sz w:val="24"/>
        </w:rPr>
        <w:t>）聘请</w:t>
      </w:r>
      <w:bookmarkStart w:id="473" w:name="_Hlk47622099"/>
      <w:r w:rsidRPr="00777BCD">
        <w:rPr>
          <w:rFonts w:ascii="Calibri" w:hAnsi="Calibri" w:cs="Calibri"/>
          <w:bCs/>
          <w:color w:val="000000" w:themeColor="text1"/>
          <w:sz w:val="24"/>
        </w:rPr>
        <w:t>符合《中华人民共和国证券法》规定</w:t>
      </w:r>
      <w:bookmarkEnd w:id="473"/>
      <w:r w:rsidRPr="00777BCD">
        <w:rPr>
          <w:rFonts w:ascii="Calibri" w:hAnsi="Calibri" w:cs="Calibri"/>
          <w:bCs/>
          <w:color w:val="000000" w:themeColor="text1"/>
          <w:sz w:val="24"/>
        </w:rPr>
        <w:t>的会计师事务所对清算报告进行外部审计，聘请律师事务所对清算报告出具法律意见书；</w:t>
      </w:r>
    </w:p>
    <w:p w14:paraId="194E9F7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6</w:t>
      </w:r>
      <w:r w:rsidRPr="00777BCD">
        <w:rPr>
          <w:rFonts w:ascii="Calibri" w:hAnsi="Calibri" w:cs="Calibri"/>
          <w:bCs/>
          <w:color w:val="000000" w:themeColor="text1"/>
          <w:sz w:val="24"/>
        </w:rPr>
        <w:t>）将清算报告报中国证监会备案并公告；</w:t>
      </w:r>
    </w:p>
    <w:p w14:paraId="7849366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7</w:t>
      </w:r>
      <w:r w:rsidRPr="00777BCD">
        <w:rPr>
          <w:rFonts w:ascii="Calibri" w:hAnsi="Calibri" w:cs="Calibri"/>
          <w:bCs/>
          <w:color w:val="000000" w:themeColor="text1"/>
          <w:sz w:val="24"/>
        </w:rPr>
        <w:t>）对基金剩余财产进行分配。</w:t>
      </w:r>
    </w:p>
    <w:p w14:paraId="2BB81B6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5</w:t>
      </w:r>
      <w:r w:rsidRPr="00777BCD">
        <w:rPr>
          <w:rFonts w:ascii="Calibri" w:hAnsi="Calibri" w:cs="Calibri"/>
          <w:bCs/>
          <w:color w:val="000000" w:themeColor="text1"/>
          <w:sz w:val="24"/>
        </w:rPr>
        <w:t>、基金财产清算的期限为</w:t>
      </w:r>
      <w:r w:rsidRPr="00777BCD">
        <w:rPr>
          <w:rFonts w:ascii="Calibri" w:hAnsi="Calibri" w:cs="Calibri"/>
          <w:bCs/>
          <w:color w:val="000000" w:themeColor="text1"/>
          <w:sz w:val="24"/>
        </w:rPr>
        <w:t>6</w:t>
      </w:r>
      <w:r w:rsidRPr="00777BCD">
        <w:rPr>
          <w:rFonts w:ascii="Calibri" w:hAnsi="Calibri" w:cs="Calibri"/>
          <w:bCs/>
          <w:color w:val="000000" w:themeColor="text1"/>
          <w:sz w:val="24"/>
        </w:rPr>
        <w:t>个月，但因本基金所持证券的流动性受到限制而不能及时变现的，清算期限相应顺延。</w:t>
      </w:r>
    </w:p>
    <w:p w14:paraId="50FF20B1" w14:textId="77777777" w:rsidR="007149DF" w:rsidRPr="00777BCD" w:rsidRDefault="007149DF">
      <w:pPr>
        <w:ind w:firstLine="480"/>
        <w:rPr>
          <w:rFonts w:ascii="Calibri" w:hAnsi="Calibri" w:cs="Calibri"/>
          <w:bCs/>
          <w:color w:val="000000" w:themeColor="text1"/>
          <w:sz w:val="24"/>
        </w:rPr>
      </w:pPr>
    </w:p>
    <w:p w14:paraId="669618F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四、清算费用</w:t>
      </w:r>
    </w:p>
    <w:p w14:paraId="2747ABF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清算费用是指基金财产清算小组在进行基金财产清算过程中发生的所有合理费用，清算费用由基金财产清算小组优先从基金剩余财产中支付。</w:t>
      </w:r>
    </w:p>
    <w:p w14:paraId="039C26F4" w14:textId="77777777" w:rsidR="007149DF" w:rsidRPr="00777BCD" w:rsidRDefault="007149DF">
      <w:pPr>
        <w:ind w:firstLine="480"/>
        <w:rPr>
          <w:rFonts w:ascii="Calibri" w:hAnsi="Calibri" w:cs="Calibri"/>
          <w:bCs/>
          <w:color w:val="000000" w:themeColor="text1"/>
          <w:sz w:val="24"/>
        </w:rPr>
      </w:pPr>
    </w:p>
    <w:p w14:paraId="188F0F6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五、基金财产清算剩余资产的分配</w:t>
      </w:r>
    </w:p>
    <w:p w14:paraId="434F5F3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依据基金财产清算的分配方案，将基金财产清算后的全部剩余资产扣除基金财产清算费用、交纳所欠税款并清偿基金债务后，各类基金份额按基金份额持有人持有的该类基金份额比例进行分配。</w:t>
      </w:r>
    </w:p>
    <w:p w14:paraId="5705085D" w14:textId="77777777" w:rsidR="007149DF" w:rsidRPr="00777BCD" w:rsidRDefault="007149DF">
      <w:pPr>
        <w:ind w:firstLine="480"/>
        <w:rPr>
          <w:rFonts w:ascii="Calibri" w:hAnsi="Calibri" w:cs="Calibri"/>
          <w:bCs/>
          <w:color w:val="000000" w:themeColor="text1"/>
          <w:sz w:val="24"/>
        </w:rPr>
      </w:pPr>
    </w:p>
    <w:p w14:paraId="771EBEE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六、基金财产清算的公告</w:t>
      </w:r>
    </w:p>
    <w:p w14:paraId="718DE1E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清算过程中的有关重大事项须及时公告；基金财产清算报告</w:t>
      </w:r>
      <w:proofErr w:type="gramStart"/>
      <w:r w:rsidRPr="00777BCD">
        <w:rPr>
          <w:rFonts w:ascii="Calibri" w:hAnsi="Calibri" w:cs="Calibri"/>
          <w:bCs/>
          <w:color w:val="000000" w:themeColor="text1"/>
          <w:sz w:val="24"/>
        </w:rPr>
        <w:t>经符合</w:t>
      </w:r>
      <w:proofErr w:type="gramEnd"/>
      <w:r w:rsidRPr="00777BCD">
        <w:rPr>
          <w:rFonts w:ascii="Calibri" w:hAnsi="Calibri" w:cs="Calibri"/>
          <w:bCs/>
          <w:color w:val="000000" w:themeColor="text1"/>
          <w:sz w:val="24"/>
        </w:rPr>
        <w:t>《中华人民共和国证券法》规定的会计师事务所审计并由律师事务所出具法律意见书</w:t>
      </w:r>
      <w:bookmarkStart w:id="474" w:name="_Hlk22574250"/>
      <w:r w:rsidRPr="00777BCD">
        <w:rPr>
          <w:rFonts w:ascii="Calibri" w:hAnsi="Calibri" w:cs="Calibri"/>
          <w:bCs/>
          <w:color w:val="000000" w:themeColor="text1"/>
          <w:sz w:val="24"/>
        </w:rPr>
        <w:t>后报中国证监会备案并公告</w:t>
      </w:r>
      <w:bookmarkEnd w:id="474"/>
      <w:r w:rsidRPr="00777BCD">
        <w:rPr>
          <w:rFonts w:ascii="Calibri" w:hAnsi="Calibri" w:cs="Calibri"/>
          <w:bCs/>
          <w:color w:val="000000" w:themeColor="text1"/>
          <w:sz w:val="24"/>
        </w:rPr>
        <w:t>。基金财产清算报告报中国证监会备案后</w:t>
      </w:r>
      <w:r w:rsidRPr="00777BCD">
        <w:rPr>
          <w:rFonts w:ascii="Calibri" w:hAnsi="Calibri" w:cs="Calibri"/>
          <w:bCs/>
          <w:color w:val="000000" w:themeColor="text1"/>
          <w:sz w:val="24"/>
        </w:rPr>
        <w:t>5</w:t>
      </w:r>
      <w:r w:rsidRPr="00777BCD">
        <w:rPr>
          <w:rFonts w:ascii="Calibri" w:hAnsi="Calibri" w:cs="Calibri"/>
          <w:bCs/>
          <w:color w:val="000000" w:themeColor="text1"/>
          <w:sz w:val="24"/>
        </w:rPr>
        <w:t>个工作日内由基金财产清算小组进行公告，基金财产清算小组应当将清算报告登载在规定网站上，并将清算报告提示性公告登载在规定报刊上。</w:t>
      </w:r>
    </w:p>
    <w:p w14:paraId="6B205A38" w14:textId="77777777" w:rsidR="007149DF" w:rsidRPr="00777BCD" w:rsidRDefault="007149DF">
      <w:pPr>
        <w:ind w:firstLine="480"/>
        <w:rPr>
          <w:rFonts w:ascii="Calibri" w:hAnsi="Calibri" w:cs="Calibri"/>
          <w:bCs/>
          <w:color w:val="000000" w:themeColor="text1"/>
          <w:sz w:val="24"/>
        </w:rPr>
      </w:pPr>
    </w:p>
    <w:p w14:paraId="5332078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七、基金财产清算账册及文件的保存</w:t>
      </w:r>
    </w:p>
    <w:p w14:paraId="4158E47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基金财产清算账册及有关文件由基金托管人保存</w:t>
      </w:r>
      <w:bookmarkStart w:id="475" w:name="_Hlk160524690"/>
      <w:r w:rsidRPr="00777BCD">
        <w:rPr>
          <w:rFonts w:ascii="Calibri" w:hAnsi="Calibri" w:cs="Calibri"/>
          <w:bCs/>
          <w:color w:val="000000" w:themeColor="text1"/>
          <w:sz w:val="24"/>
        </w:rPr>
        <w:t>，保存期限不少于法定最低期限</w:t>
      </w:r>
      <w:bookmarkEnd w:id="475"/>
      <w:r w:rsidRPr="00777BCD">
        <w:rPr>
          <w:rFonts w:ascii="Calibri" w:hAnsi="Calibri" w:cs="Calibri"/>
          <w:bCs/>
          <w:color w:val="000000" w:themeColor="text1"/>
          <w:sz w:val="24"/>
        </w:rPr>
        <w:t>。</w:t>
      </w:r>
    </w:p>
    <w:p w14:paraId="0A41C28A" w14:textId="77777777" w:rsidR="007149DF" w:rsidRPr="00777BCD" w:rsidRDefault="00284640">
      <w:pPr>
        <w:pStyle w:val="11"/>
        <w:spacing w:before="0" w:after="0"/>
        <w:ind w:firstLine="480"/>
        <w:jc w:val="center"/>
        <w:rPr>
          <w:rFonts w:ascii="Calibri" w:hAnsi="Calibri" w:cs="Calibri"/>
          <w:color w:val="000000" w:themeColor="text1"/>
          <w:sz w:val="30"/>
        </w:rPr>
      </w:pPr>
      <w:bookmarkStart w:id="476" w:name="_Toc123051466"/>
      <w:bookmarkStart w:id="477" w:name="_Toc123112248"/>
      <w:bookmarkStart w:id="478" w:name="_Toc98560365"/>
      <w:bookmarkStart w:id="479" w:name="_Toc79392641"/>
      <w:bookmarkStart w:id="480" w:name="_Toc123102467"/>
      <w:bookmarkStart w:id="481" w:name="_Toc48649720"/>
      <w:bookmarkEnd w:id="471"/>
      <w:r w:rsidRPr="00777BCD">
        <w:rPr>
          <w:rFonts w:ascii="Calibri" w:hAnsi="Calibri" w:cs="Calibri"/>
          <w:b w:val="0"/>
          <w:bCs/>
          <w:color w:val="000000" w:themeColor="text1"/>
        </w:rPr>
        <w:br w:type="page"/>
      </w:r>
      <w:bookmarkStart w:id="482" w:name="_Toc141703901"/>
      <w:bookmarkStart w:id="483" w:name="_Toc9708"/>
      <w:bookmarkStart w:id="484" w:name="_Toc6820039"/>
      <w:bookmarkStart w:id="485" w:name="_Toc27058"/>
      <w:bookmarkStart w:id="486" w:name="_Toc23022"/>
      <w:bookmarkStart w:id="487" w:name="_Toc21240"/>
      <w:bookmarkStart w:id="488" w:name="_Toc8710"/>
      <w:bookmarkStart w:id="489" w:name="_Toc7367"/>
      <w:bookmarkStart w:id="490" w:name="_Toc28549"/>
      <w:bookmarkStart w:id="491" w:name="_Toc12191"/>
      <w:bookmarkStart w:id="492" w:name="_Toc30645"/>
      <w:bookmarkStart w:id="493" w:name="_Toc13398"/>
      <w:bookmarkStart w:id="494" w:name="_Toc139991750"/>
      <w:bookmarkStart w:id="495" w:name="_Toc160725918"/>
      <w:bookmarkEnd w:id="468"/>
      <w:r w:rsidRPr="00777BCD">
        <w:rPr>
          <w:rFonts w:ascii="Calibri" w:hAnsi="Calibri" w:cs="Calibri"/>
          <w:color w:val="000000" w:themeColor="text1"/>
          <w:sz w:val="30"/>
        </w:rPr>
        <w:lastRenderedPageBreak/>
        <w:t>第二十部分</w:t>
      </w:r>
      <w:r w:rsidRPr="00777BCD">
        <w:rPr>
          <w:rFonts w:ascii="Calibri" w:hAnsi="Calibri" w:cs="Calibri"/>
          <w:color w:val="000000" w:themeColor="text1"/>
          <w:sz w:val="30"/>
        </w:rPr>
        <w:t xml:space="preserve">  </w:t>
      </w:r>
      <w:r w:rsidRPr="00777BCD">
        <w:rPr>
          <w:rFonts w:ascii="Calibri" w:hAnsi="Calibri" w:cs="Calibri"/>
          <w:color w:val="000000" w:themeColor="text1"/>
          <w:sz w:val="30"/>
        </w:rPr>
        <w:t>违约责任</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17D0CDAD" w14:textId="77777777" w:rsidR="007149DF" w:rsidRPr="00777BCD" w:rsidRDefault="007149DF">
      <w:pPr>
        <w:ind w:firstLine="480"/>
        <w:rPr>
          <w:rFonts w:ascii="Calibri" w:hAnsi="Calibri" w:cs="Calibri"/>
          <w:bCs/>
          <w:color w:val="000000" w:themeColor="text1"/>
          <w:sz w:val="24"/>
        </w:rPr>
      </w:pPr>
    </w:p>
    <w:p w14:paraId="406F1966"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一、基金管理人、基金托管人在履行各自职责的过程中，违反《基金法》等法律法规的规定或者《基金合同》约定，给基金财产或者基金份额持有人造成损害的，应当分别对各自的行为依法承担赔偿责任；因共同行为给基金财产或者基金份额持有人造成损害的，应当承担连带赔偿责任；对损失的赔偿，仅限于直接损失。但是发生下列情况，当事人免责：</w:t>
      </w:r>
    </w:p>
    <w:p w14:paraId="012E36B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、不可抗力；</w:t>
      </w:r>
    </w:p>
    <w:p w14:paraId="64F51FE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、基金管理人和</w:t>
      </w:r>
      <w:r w:rsidRPr="00777BCD">
        <w:rPr>
          <w:rFonts w:ascii="Calibri" w:hAnsi="Calibri" w:cs="Calibri"/>
          <w:bCs/>
          <w:color w:val="000000" w:themeColor="text1"/>
          <w:sz w:val="24"/>
        </w:rPr>
        <w:t>/</w:t>
      </w:r>
      <w:r w:rsidRPr="00777BCD">
        <w:rPr>
          <w:rFonts w:ascii="Calibri" w:hAnsi="Calibri" w:cs="Calibri"/>
          <w:bCs/>
          <w:color w:val="000000" w:themeColor="text1"/>
          <w:sz w:val="24"/>
        </w:rPr>
        <w:t>或基金托管人按照当时有效的法律法规或中国证监会的规定作为或不作为而造成的损失等；</w:t>
      </w:r>
    </w:p>
    <w:p w14:paraId="2AD6E26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、基金管理人由于按照《基金合同》规定的投资原则投资或不投资造成的直接损失等。</w:t>
      </w:r>
    </w:p>
    <w:p w14:paraId="10B9434C" w14:textId="77777777" w:rsidR="007149DF" w:rsidRPr="00777BCD" w:rsidRDefault="007149DF">
      <w:pPr>
        <w:ind w:firstLine="480"/>
        <w:rPr>
          <w:rFonts w:ascii="Calibri" w:hAnsi="Calibri" w:cs="Calibri"/>
          <w:bCs/>
          <w:color w:val="000000" w:themeColor="text1"/>
          <w:sz w:val="24"/>
        </w:rPr>
      </w:pPr>
    </w:p>
    <w:p w14:paraId="2E5769F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二、在发生一方或多方违约的情况下，在最大限度地保护基金份额持有人利益的前提下，《基金合同》能够继续履行的应当继续履行。非违约方当事人在职责范围内有义务及时采取必要的措施，防止损失的扩大。没有采取适当措施致使损失进一步扩大的，不得就扩大的损失要求赔偿。非违约方因防止损失扩大而支出的合理费用由违约方承担。</w:t>
      </w:r>
    </w:p>
    <w:p w14:paraId="6A88FAC6" w14:textId="77777777" w:rsidR="007149DF" w:rsidRPr="00777BCD" w:rsidRDefault="007149DF">
      <w:pPr>
        <w:ind w:firstLine="480"/>
        <w:rPr>
          <w:rFonts w:ascii="Calibri" w:hAnsi="Calibri" w:cs="Calibri"/>
          <w:bCs/>
          <w:color w:val="000000" w:themeColor="text1"/>
          <w:sz w:val="24"/>
        </w:rPr>
      </w:pPr>
    </w:p>
    <w:p w14:paraId="24097A2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三、由于基金管理人、基金托管人不可控制的因素导致业务出现差错，基金管理人和基金托管人虽然已经采取必要、适当、合理的措施进行检查，但是未能发现错误的，由此造成基金财产或投资人损失，基金管理人和基金托管人免除赔偿责任。但是基金管理人和基金托管人应积极采取必要的措施消除或减轻由此造成的影响。</w:t>
      </w:r>
    </w:p>
    <w:p w14:paraId="1AA056E1" w14:textId="77777777" w:rsidR="007149DF" w:rsidRPr="00777BCD" w:rsidRDefault="007149DF">
      <w:pPr>
        <w:ind w:firstLine="480"/>
        <w:rPr>
          <w:rFonts w:ascii="Calibri" w:hAnsi="Calibri" w:cs="Calibri"/>
          <w:bCs/>
          <w:color w:val="000000" w:themeColor="text1"/>
          <w:sz w:val="24"/>
        </w:rPr>
      </w:pPr>
    </w:p>
    <w:p w14:paraId="1431C35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四、本基金合同提及的任何</w:t>
      </w:r>
      <w:r w:rsidRPr="00777BCD">
        <w:rPr>
          <w:rFonts w:ascii="Calibri" w:hAnsi="Calibri" w:cs="Calibri"/>
          <w:bCs/>
          <w:color w:val="000000" w:themeColor="text1"/>
          <w:sz w:val="24"/>
        </w:rPr>
        <w:t>“</w:t>
      </w:r>
      <w:r w:rsidRPr="00777BCD">
        <w:rPr>
          <w:rFonts w:ascii="Calibri" w:hAnsi="Calibri" w:cs="Calibri"/>
          <w:bCs/>
          <w:color w:val="000000" w:themeColor="text1"/>
          <w:sz w:val="24"/>
        </w:rPr>
        <w:t>损失</w:t>
      </w:r>
      <w:r w:rsidRPr="00777BCD">
        <w:rPr>
          <w:rFonts w:ascii="Calibri" w:hAnsi="Calibri" w:cs="Calibri"/>
          <w:bCs/>
          <w:color w:val="000000" w:themeColor="text1"/>
          <w:sz w:val="24"/>
        </w:rPr>
        <w:t>”</w:t>
      </w:r>
      <w:r w:rsidRPr="00777BCD">
        <w:rPr>
          <w:rFonts w:ascii="Calibri" w:hAnsi="Calibri" w:cs="Calibri"/>
          <w:bCs/>
          <w:color w:val="000000" w:themeColor="text1"/>
          <w:sz w:val="24"/>
        </w:rPr>
        <w:t>，仅指</w:t>
      </w:r>
      <w:r w:rsidRPr="00777BCD">
        <w:rPr>
          <w:rFonts w:ascii="Calibri" w:hAnsi="Calibri" w:cs="Calibri"/>
          <w:bCs/>
          <w:color w:val="000000" w:themeColor="text1"/>
          <w:sz w:val="24"/>
        </w:rPr>
        <w:t>“</w:t>
      </w:r>
      <w:r w:rsidRPr="00777BCD">
        <w:rPr>
          <w:rFonts w:ascii="Calibri" w:hAnsi="Calibri" w:cs="Calibri"/>
          <w:bCs/>
          <w:color w:val="000000" w:themeColor="text1"/>
          <w:sz w:val="24"/>
        </w:rPr>
        <w:t>直接经济损失</w:t>
      </w:r>
      <w:r w:rsidRPr="00777BCD">
        <w:rPr>
          <w:rFonts w:ascii="Calibri" w:hAnsi="Calibri" w:cs="Calibri"/>
          <w:bCs/>
          <w:color w:val="000000" w:themeColor="text1"/>
          <w:sz w:val="24"/>
        </w:rPr>
        <w:t>”</w:t>
      </w:r>
      <w:r w:rsidRPr="00777BCD">
        <w:rPr>
          <w:rFonts w:ascii="Calibri" w:hAnsi="Calibri" w:cs="Calibri"/>
          <w:bCs/>
          <w:color w:val="000000" w:themeColor="text1"/>
          <w:sz w:val="24"/>
        </w:rPr>
        <w:t>，本基金合同提及的任何</w:t>
      </w:r>
      <w:r w:rsidRPr="00777BCD">
        <w:rPr>
          <w:rFonts w:ascii="Calibri" w:hAnsi="Calibri" w:cs="Calibri"/>
          <w:bCs/>
          <w:color w:val="000000" w:themeColor="text1"/>
          <w:sz w:val="24"/>
        </w:rPr>
        <w:t>“</w:t>
      </w:r>
      <w:r w:rsidRPr="00777BCD">
        <w:rPr>
          <w:rFonts w:ascii="Calibri" w:hAnsi="Calibri" w:cs="Calibri"/>
          <w:bCs/>
          <w:color w:val="000000" w:themeColor="text1"/>
          <w:sz w:val="24"/>
        </w:rPr>
        <w:t>赔偿</w:t>
      </w:r>
      <w:r w:rsidRPr="00777BCD">
        <w:rPr>
          <w:rFonts w:ascii="Calibri" w:hAnsi="Calibri" w:cs="Calibri"/>
          <w:bCs/>
          <w:color w:val="000000" w:themeColor="text1"/>
          <w:sz w:val="24"/>
        </w:rPr>
        <w:t>”</w:t>
      </w:r>
      <w:r w:rsidRPr="00777BCD">
        <w:rPr>
          <w:rFonts w:ascii="Calibri" w:hAnsi="Calibri" w:cs="Calibri"/>
          <w:bCs/>
          <w:color w:val="000000" w:themeColor="text1"/>
          <w:sz w:val="24"/>
        </w:rPr>
        <w:t>，仅指对直接经济损失的赔偿。</w:t>
      </w:r>
    </w:p>
    <w:p w14:paraId="5420A784" w14:textId="77777777" w:rsidR="007149DF" w:rsidRPr="00777BCD" w:rsidRDefault="00284640">
      <w:pPr>
        <w:pStyle w:val="11"/>
        <w:spacing w:before="0" w:after="0"/>
        <w:ind w:firstLine="480"/>
        <w:jc w:val="center"/>
        <w:rPr>
          <w:rFonts w:ascii="Calibri" w:hAnsi="Calibri" w:cs="Calibri"/>
          <w:color w:val="000000" w:themeColor="text1"/>
          <w:sz w:val="30"/>
        </w:rPr>
      </w:pPr>
      <w:r w:rsidRPr="00777BCD">
        <w:rPr>
          <w:rFonts w:ascii="Calibri" w:hAnsi="Calibri" w:cs="Calibri"/>
          <w:b w:val="0"/>
          <w:bCs/>
          <w:color w:val="000000" w:themeColor="text1"/>
        </w:rPr>
        <w:br w:type="page"/>
      </w:r>
      <w:bookmarkStart w:id="496" w:name="_Toc3319"/>
      <w:bookmarkStart w:id="497" w:name="_Toc139991751"/>
      <w:bookmarkStart w:id="498" w:name="_Toc98560366"/>
      <w:bookmarkStart w:id="499" w:name="_Toc141703902"/>
      <w:bookmarkStart w:id="500" w:name="_Toc6202"/>
      <w:bookmarkStart w:id="501" w:name="_Toc123051467"/>
      <w:bookmarkStart w:id="502" w:name="_Toc24923"/>
      <w:bookmarkStart w:id="503" w:name="_Toc25651"/>
      <w:bookmarkStart w:id="504" w:name="_Toc7288"/>
      <w:bookmarkStart w:id="505" w:name="_Toc1790"/>
      <w:bookmarkStart w:id="506" w:name="_Toc23999"/>
      <w:bookmarkStart w:id="507" w:name="_Toc8636"/>
      <w:bookmarkStart w:id="508" w:name="_Toc123102468"/>
      <w:bookmarkStart w:id="509" w:name="_Toc6820040"/>
      <w:bookmarkStart w:id="510" w:name="_Toc30350"/>
      <w:bookmarkStart w:id="511" w:name="_Toc21983"/>
      <w:bookmarkStart w:id="512" w:name="_Toc123112249"/>
      <w:bookmarkStart w:id="513" w:name="_Toc160725919"/>
      <w:bookmarkStart w:id="514" w:name="_Hlk23248998"/>
      <w:r w:rsidRPr="00777BCD">
        <w:rPr>
          <w:rFonts w:ascii="Calibri" w:hAnsi="Calibri" w:cs="Calibri"/>
          <w:color w:val="000000" w:themeColor="text1"/>
          <w:sz w:val="30"/>
        </w:rPr>
        <w:lastRenderedPageBreak/>
        <w:t>第二十一部分</w:t>
      </w:r>
      <w:r w:rsidRPr="00777BCD">
        <w:rPr>
          <w:rFonts w:ascii="Calibri" w:hAnsi="Calibri" w:cs="Calibri"/>
          <w:color w:val="000000" w:themeColor="text1"/>
          <w:sz w:val="30"/>
        </w:rPr>
        <w:t xml:space="preserve">  </w:t>
      </w:r>
      <w:r w:rsidRPr="00777BCD">
        <w:rPr>
          <w:rFonts w:ascii="Calibri" w:hAnsi="Calibri" w:cs="Calibri"/>
          <w:color w:val="000000" w:themeColor="text1"/>
          <w:sz w:val="30"/>
        </w:rPr>
        <w:t>争议的处理和适用的法律</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03C75FE7" w14:textId="77777777" w:rsidR="007149DF" w:rsidRPr="00777BCD" w:rsidRDefault="007149DF">
      <w:pPr>
        <w:ind w:firstLine="482"/>
        <w:jc w:val="left"/>
        <w:rPr>
          <w:rFonts w:ascii="Calibri" w:hAnsi="Calibri" w:cs="Calibri"/>
          <w:b/>
          <w:color w:val="000000" w:themeColor="text1"/>
          <w:sz w:val="24"/>
          <w:szCs w:val="24"/>
        </w:rPr>
      </w:pPr>
    </w:p>
    <w:p w14:paraId="12B6D871" w14:textId="2B174AA2" w:rsidR="007149DF" w:rsidRPr="00777BCD" w:rsidRDefault="00284640">
      <w:pPr>
        <w:ind w:firstLine="480"/>
        <w:rPr>
          <w:rFonts w:ascii="Calibri" w:hAnsi="Calibri" w:cs="Calibri"/>
          <w:color w:val="000000" w:themeColor="text1"/>
          <w:sz w:val="24"/>
        </w:rPr>
      </w:pPr>
      <w:bookmarkStart w:id="515" w:name="_Hlk6491875"/>
      <w:r w:rsidRPr="00777BCD">
        <w:rPr>
          <w:rFonts w:ascii="Calibri" w:hAnsi="Calibri" w:cs="Calibri"/>
          <w:bCs/>
          <w:color w:val="000000" w:themeColor="text1"/>
          <w:sz w:val="24"/>
        </w:rPr>
        <w:t>各方当事人同意，因《基金合同》而产生的或与《基金合同》有关的一切争议，如经友好协商</w:t>
      </w:r>
      <w:r w:rsidR="00925456" w:rsidRPr="00777BCD">
        <w:rPr>
          <w:rFonts w:ascii="Calibri" w:hAnsi="Calibri" w:cs="Calibri"/>
          <w:bCs/>
          <w:color w:val="000000" w:themeColor="text1"/>
          <w:sz w:val="24"/>
        </w:rPr>
        <w:t>、调解</w:t>
      </w:r>
      <w:r w:rsidRPr="00777BCD">
        <w:rPr>
          <w:rFonts w:ascii="Calibri" w:hAnsi="Calibri" w:cs="Calibri"/>
          <w:bCs/>
          <w:color w:val="000000" w:themeColor="text1"/>
          <w:sz w:val="24"/>
        </w:rPr>
        <w:t>未能解决的，任何一方均应当提交</w:t>
      </w:r>
      <w:r w:rsidRPr="00777BCD">
        <w:rPr>
          <w:rFonts w:ascii="Calibri" w:hAnsi="Calibri" w:cs="Calibri"/>
          <w:color w:val="000000" w:themeColor="text1"/>
          <w:sz w:val="24"/>
        </w:rPr>
        <w:t>中国国际经济贸易仲裁委员会，按照中国国际经济贸易仲裁委员会届时有效的仲裁规则进行仲裁。仲裁地点在北京市。仲裁裁决是终局的，对各方当事人均有约束力。除非仲裁裁决另有决定，仲裁费用由败诉方承担。</w:t>
      </w:r>
    </w:p>
    <w:p w14:paraId="0B9A316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color w:val="000000" w:themeColor="text1"/>
          <w:sz w:val="24"/>
        </w:rPr>
        <w:t>争议处理期间，各方当事人应恪守职责，各自继续忠实、勤勉、尽责地履行</w:t>
      </w:r>
      <w:r w:rsidRPr="00777BCD">
        <w:rPr>
          <w:rFonts w:ascii="Calibri" w:hAnsi="Calibri" w:cs="Calibri"/>
          <w:bCs/>
          <w:color w:val="000000" w:themeColor="text1"/>
          <w:sz w:val="24"/>
        </w:rPr>
        <w:t>《基金合同》</w:t>
      </w:r>
      <w:r w:rsidRPr="00777BCD">
        <w:rPr>
          <w:rFonts w:ascii="Calibri" w:hAnsi="Calibri" w:cs="Calibri"/>
          <w:color w:val="000000" w:themeColor="text1"/>
          <w:sz w:val="24"/>
        </w:rPr>
        <w:t>规定的义务，维护基金份额持有人的合法权益。</w:t>
      </w:r>
    </w:p>
    <w:p w14:paraId="35653745"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《基金合同》受中国法律</w:t>
      </w:r>
      <w:bookmarkStart w:id="516" w:name="_Hlk160525016"/>
      <w:r w:rsidRPr="00777BCD">
        <w:rPr>
          <w:rFonts w:ascii="Calibri" w:hAnsi="Calibri" w:cs="Calibri"/>
          <w:bCs/>
          <w:color w:val="000000" w:themeColor="text1"/>
          <w:sz w:val="24"/>
        </w:rPr>
        <w:t>（为本基金合同之目的，不包括香港、澳门</w:t>
      </w:r>
      <w:bookmarkStart w:id="517" w:name="_Hlk47899499"/>
      <w:r w:rsidRPr="00777BCD">
        <w:rPr>
          <w:rFonts w:ascii="Calibri" w:hAnsi="Calibri" w:cs="Calibri"/>
          <w:bCs/>
          <w:color w:val="000000" w:themeColor="text1"/>
          <w:sz w:val="24"/>
        </w:rPr>
        <w:t>特别行政区</w:t>
      </w:r>
      <w:bookmarkEnd w:id="517"/>
      <w:r w:rsidRPr="00777BCD">
        <w:rPr>
          <w:rFonts w:ascii="Calibri" w:hAnsi="Calibri" w:cs="Calibri"/>
          <w:bCs/>
          <w:color w:val="000000" w:themeColor="text1"/>
          <w:sz w:val="24"/>
        </w:rPr>
        <w:t>和台湾地区法律）</w:t>
      </w:r>
      <w:bookmarkEnd w:id="516"/>
      <w:r w:rsidRPr="00777BCD">
        <w:rPr>
          <w:rFonts w:ascii="Calibri" w:hAnsi="Calibri" w:cs="Calibri"/>
          <w:bCs/>
          <w:color w:val="000000" w:themeColor="text1"/>
          <w:sz w:val="24"/>
        </w:rPr>
        <w:t>管辖并从其解释。</w:t>
      </w:r>
      <w:bookmarkEnd w:id="515"/>
    </w:p>
    <w:p w14:paraId="07063487" w14:textId="77777777" w:rsidR="007149DF" w:rsidRPr="00777BCD" w:rsidRDefault="00284640">
      <w:pPr>
        <w:pStyle w:val="11"/>
        <w:spacing w:before="0" w:after="0"/>
        <w:ind w:firstLine="482"/>
        <w:jc w:val="center"/>
        <w:rPr>
          <w:rFonts w:ascii="Calibri" w:hAnsi="Calibri" w:cs="Calibri"/>
          <w:color w:val="000000" w:themeColor="text1"/>
          <w:sz w:val="30"/>
        </w:rPr>
      </w:pPr>
      <w:r w:rsidRPr="00777BCD">
        <w:rPr>
          <w:rFonts w:ascii="Calibri" w:hAnsi="Calibri" w:cs="Calibri"/>
          <w:bCs/>
          <w:color w:val="000000" w:themeColor="text1"/>
        </w:rPr>
        <w:br w:type="page"/>
      </w:r>
      <w:bookmarkStart w:id="518" w:name="_Toc484"/>
      <w:bookmarkStart w:id="519" w:name="_Toc23991"/>
      <w:bookmarkStart w:id="520" w:name="_Toc29505"/>
      <w:bookmarkStart w:id="521" w:name="_Toc141703903"/>
      <w:bookmarkStart w:id="522" w:name="_Toc139991752"/>
      <w:bookmarkStart w:id="523" w:name="_Toc2532"/>
      <w:bookmarkStart w:id="524" w:name="_Toc26461"/>
      <w:bookmarkStart w:id="525" w:name="_Toc8454"/>
      <w:bookmarkStart w:id="526" w:name="_Toc31966"/>
      <w:bookmarkStart w:id="527" w:name="_Toc11618"/>
      <w:bookmarkStart w:id="528" w:name="_Toc20350"/>
      <w:bookmarkStart w:id="529" w:name="_Toc123102469"/>
      <w:bookmarkStart w:id="530" w:name="_Toc427160108"/>
      <w:bookmarkStart w:id="531" w:name="_Toc123051468"/>
      <w:bookmarkStart w:id="532" w:name="_Toc6820041"/>
      <w:bookmarkStart w:id="533" w:name="_Toc123112250"/>
      <w:bookmarkStart w:id="534" w:name="_Toc8703"/>
      <w:bookmarkStart w:id="535" w:name="_Toc160725920"/>
      <w:bookmarkEnd w:id="514"/>
      <w:r w:rsidRPr="00777BCD">
        <w:rPr>
          <w:rFonts w:ascii="Calibri" w:hAnsi="Calibri" w:cs="Calibri"/>
          <w:color w:val="000000" w:themeColor="text1"/>
          <w:sz w:val="30"/>
        </w:rPr>
        <w:lastRenderedPageBreak/>
        <w:t>第二十二部分</w:t>
      </w:r>
      <w:r w:rsidRPr="00777BCD">
        <w:rPr>
          <w:rFonts w:ascii="Calibri" w:hAnsi="Calibri" w:cs="Calibri"/>
          <w:color w:val="000000" w:themeColor="text1"/>
          <w:sz w:val="30"/>
        </w:rPr>
        <w:t xml:space="preserve">  </w:t>
      </w:r>
      <w:r w:rsidRPr="00777BCD">
        <w:rPr>
          <w:rFonts w:ascii="Calibri" w:hAnsi="Calibri" w:cs="Calibri"/>
          <w:color w:val="000000" w:themeColor="text1"/>
          <w:sz w:val="30"/>
        </w:rPr>
        <w:t>基金合同的效力</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1419C615" w14:textId="77777777" w:rsidR="007149DF" w:rsidRPr="00777BCD" w:rsidRDefault="007149DF">
      <w:pPr>
        <w:ind w:firstLine="480"/>
        <w:rPr>
          <w:rFonts w:ascii="Calibri" w:hAnsi="Calibri" w:cs="Calibri"/>
          <w:bCs/>
          <w:color w:val="000000" w:themeColor="text1"/>
          <w:sz w:val="24"/>
        </w:rPr>
      </w:pPr>
    </w:p>
    <w:p w14:paraId="3BD0DF7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《基金合同》是约定基金合同当事人之间权利义务关系的法律文件。</w:t>
      </w:r>
    </w:p>
    <w:p w14:paraId="57195E73" w14:textId="20588BC9"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、《基金合同》经基金管理人、基金托管人双方加盖公章</w:t>
      </w:r>
      <w:r w:rsidR="00D31A68" w:rsidRPr="00777BCD">
        <w:rPr>
          <w:rFonts w:ascii="Calibri" w:hAnsi="Calibri" w:cs="Calibri"/>
          <w:sz w:val="24"/>
        </w:rPr>
        <w:t>/</w:t>
      </w:r>
      <w:r w:rsidR="00D31A68" w:rsidRPr="00777BCD">
        <w:rPr>
          <w:rFonts w:ascii="Calibri" w:hAnsi="Calibri" w:cs="Calibri"/>
          <w:sz w:val="24"/>
        </w:rPr>
        <w:t>合同专用章</w:t>
      </w:r>
      <w:r w:rsidRPr="00777BCD">
        <w:rPr>
          <w:rFonts w:ascii="Calibri" w:hAnsi="Calibri" w:cs="Calibri"/>
          <w:bCs/>
          <w:color w:val="000000" w:themeColor="text1"/>
          <w:sz w:val="24"/>
        </w:rPr>
        <w:t>以及双方法定代表人或授权代表签字或签章并在募集结束后经基金管理人向中国证监会办理基金备案手续，并经中国证监会书面确认后生效。</w:t>
      </w:r>
    </w:p>
    <w:p w14:paraId="03493E8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、《基金合同》的有效期自其生效之日起至基金财产清算结果报中国证监会备案并公告之日止。</w:t>
      </w:r>
    </w:p>
    <w:p w14:paraId="2BF1090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、《基金合同》自生效之日起对包括基金管理人、基金托管人和基金份额持有人在内的《基金合同》各方当事人具有同等的法律约束力。</w:t>
      </w:r>
    </w:p>
    <w:p w14:paraId="58F423AA" w14:textId="74AF53FC"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、《基金合同》正本一式</w:t>
      </w:r>
      <w:r w:rsidR="006C7552" w:rsidRPr="00777BCD">
        <w:rPr>
          <w:rFonts w:ascii="Calibri" w:hAnsi="Calibri" w:cs="Calibri"/>
          <w:bCs/>
          <w:color w:val="000000" w:themeColor="text1"/>
          <w:sz w:val="24"/>
        </w:rPr>
        <w:t>三</w:t>
      </w:r>
      <w:r w:rsidRPr="00777BCD">
        <w:rPr>
          <w:rFonts w:ascii="Calibri" w:hAnsi="Calibri" w:cs="Calibri"/>
          <w:bCs/>
          <w:color w:val="000000" w:themeColor="text1"/>
          <w:sz w:val="24"/>
        </w:rPr>
        <w:t>份，除上报有关监管机构一式</w:t>
      </w:r>
      <w:r w:rsidR="006C7552" w:rsidRPr="00777BCD">
        <w:rPr>
          <w:rFonts w:ascii="Calibri" w:hAnsi="Calibri" w:cs="Calibri"/>
          <w:bCs/>
          <w:color w:val="000000" w:themeColor="text1"/>
          <w:sz w:val="24"/>
        </w:rPr>
        <w:t>一</w:t>
      </w:r>
      <w:r w:rsidRPr="00777BCD">
        <w:rPr>
          <w:rFonts w:ascii="Calibri" w:hAnsi="Calibri" w:cs="Calibri"/>
          <w:bCs/>
          <w:color w:val="000000" w:themeColor="text1"/>
          <w:sz w:val="24"/>
        </w:rPr>
        <w:t>份外，基金管理人、基金托管人各持有</w:t>
      </w:r>
      <w:r w:rsidR="006C7552" w:rsidRPr="00777BCD">
        <w:rPr>
          <w:rFonts w:ascii="Calibri" w:hAnsi="Calibri" w:cs="Calibri"/>
          <w:bCs/>
          <w:color w:val="000000" w:themeColor="text1"/>
          <w:sz w:val="24"/>
        </w:rPr>
        <w:t>一</w:t>
      </w:r>
      <w:r w:rsidRPr="00777BCD">
        <w:rPr>
          <w:rFonts w:ascii="Calibri" w:hAnsi="Calibri" w:cs="Calibri"/>
          <w:bCs/>
          <w:color w:val="000000" w:themeColor="text1"/>
          <w:sz w:val="24"/>
        </w:rPr>
        <w:t>份，每份具有同等的法律效力。</w:t>
      </w:r>
    </w:p>
    <w:p w14:paraId="29092499" w14:textId="77777777" w:rsidR="007149DF" w:rsidRPr="00777BCD" w:rsidRDefault="00284640">
      <w:pPr>
        <w:ind w:firstLine="480"/>
        <w:rPr>
          <w:rFonts w:ascii="Calibri" w:hAnsi="Calibri" w:cs="Calibri"/>
          <w:bCs/>
          <w:color w:val="000000" w:themeColor="text1"/>
          <w:sz w:val="24"/>
        </w:rPr>
      </w:pPr>
      <w:bookmarkStart w:id="536" w:name="_Hlk23249009"/>
      <w:r w:rsidRPr="00777BCD">
        <w:rPr>
          <w:rFonts w:ascii="Calibri" w:hAnsi="Calibri" w:cs="Calibri"/>
          <w:bCs/>
          <w:color w:val="000000" w:themeColor="text1"/>
          <w:sz w:val="24"/>
        </w:rPr>
        <w:t>5</w:t>
      </w:r>
      <w:r w:rsidRPr="00777BCD">
        <w:rPr>
          <w:rFonts w:ascii="Calibri" w:hAnsi="Calibri" w:cs="Calibri"/>
          <w:bCs/>
          <w:color w:val="000000" w:themeColor="text1"/>
          <w:sz w:val="24"/>
        </w:rPr>
        <w:t>、</w:t>
      </w:r>
      <w:bookmarkStart w:id="537" w:name="_Hlk6491924"/>
      <w:r w:rsidRPr="00777BCD">
        <w:rPr>
          <w:rFonts w:ascii="Calibri" w:hAnsi="Calibri" w:cs="Calibri"/>
          <w:bCs/>
          <w:color w:val="000000" w:themeColor="text1"/>
          <w:sz w:val="24"/>
        </w:rPr>
        <w:t>《基金合同》可印制成册，供投资者在基金管理人、基金托管人、销售机构的办公场所和营业场所查阅。</w:t>
      </w:r>
      <w:bookmarkEnd w:id="536"/>
      <w:bookmarkEnd w:id="537"/>
    </w:p>
    <w:p w14:paraId="5ECDD460" w14:textId="77777777" w:rsidR="007149DF" w:rsidRPr="00777BCD" w:rsidRDefault="00284640">
      <w:pPr>
        <w:pStyle w:val="11"/>
        <w:spacing w:before="0" w:after="0"/>
        <w:ind w:firstLine="480"/>
        <w:jc w:val="center"/>
        <w:rPr>
          <w:rFonts w:ascii="Calibri" w:hAnsi="Calibri" w:cs="Calibri"/>
          <w:color w:val="000000" w:themeColor="text1"/>
          <w:sz w:val="30"/>
        </w:rPr>
      </w:pPr>
      <w:r w:rsidRPr="00777BCD">
        <w:rPr>
          <w:rFonts w:ascii="Calibri" w:hAnsi="Calibri" w:cs="Calibri"/>
          <w:b w:val="0"/>
          <w:bCs/>
          <w:color w:val="000000" w:themeColor="text1"/>
        </w:rPr>
        <w:br w:type="page"/>
      </w:r>
      <w:bookmarkStart w:id="538" w:name="_Toc6820042"/>
      <w:bookmarkStart w:id="539" w:name="_Toc21726"/>
      <w:bookmarkStart w:id="540" w:name="_Toc160725921"/>
      <w:r w:rsidRPr="00777BCD">
        <w:rPr>
          <w:rFonts w:ascii="Calibri" w:hAnsi="Calibri" w:cs="Calibri"/>
          <w:color w:val="000000" w:themeColor="text1"/>
          <w:sz w:val="30"/>
        </w:rPr>
        <w:lastRenderedPageBreak/>
        <w:t>第二十三部分</w:t>
      </w:r>
      <w:r w:rsidRPr="00777BCD">
        <w:rPr>
          <w:rFonts w:ascii="Calibri" w:hAnsi="Calibri" w:cs="Calibri"/>
          <w:color w:val="000000" w:themeColor="text1"/>
          <w:sz w:val="30"/>
        </w:rPr>
        <w:t xml:space="preserve">  </w:t>
      </w:r>
      <w:r w:rsidRPr="00777BCD">
        <w:rPr>
          <w:rFonts w:ascii="Calibri" w:hAnsi="Calibri" w:cs="Calibri"/>
          <w:color w:val="000000" w:themeColor="text1"/>
          <w:sz w:val="30"/>
        </w:rPr>
        <w:t>其他事项</w:t>
      </w:r>
      <w:bookmarkEnd w:id="538"/>
      <w:bookmarkEnd w:id="539"/>
      <w:bookmarkEnd w:id="540"/>
    </w:p>
    <w:p w14:paraId="19595C11" w14:textId="77777777" w:rsidR="007149DF" w:rsidRPr="00777BCD" w:rsidRDefault="007149DF">
      <w:pPr>
        <w:ind w:firstLine="480"/>
        <w:rPr>
          <w:rFonts w:ascii="Calibri" w:hAnsi="Calibri" w:cs="Calibri"/>
          <w:color w:val="000000" w:themeColor="text1"/>
          <w:sz w:val="24"/>
        </w:rPr>
      </w:pPr>
    </w:p>
    <w:p w14:paraId="142DAEF4" w14:textId="77777777" w:rsidR="007149DF" w:rsidRPr="00777BCD" w:rsidRDefault="00284640">
      <w:pPr>
        <w:ind w:firstLine="480"/>
        <w:rPr>
          <w:rFonts w:ascii="Calibri" w:hAnsi="Calibri" w:cs="Calibri"/>
          <w:color w:val="000000" w:themeColor="text1"/>
          <w:sz w:val="24"/>
        </w:rPr>
      </w:pPr>
      <w:r w:rsidRPr="00777BCD">
        <w:rPr>
          <w:rFonts w:ascii="Calibri" w:hAnsi="Calibri" w:cs="Calibri"/>
          <w:color w:val="000000" w:themeColor="text1"/>
          <w:sz w:val="24"/>
        </w:rPr>
        <w:t>《基金合同》如有未尽事宜，由《基金合同》当事人各方按有关法律法规协商解决。</w:t>
      </w:r>
    </w:p>
    <w:p w14:paraId="379D71A6" w14:textId="77777777" w:rsidR="007149DF" w:rsidRPr="00777BCD" w:rsidRDefault="00284640">
      <w:pPr>
        <w:pStyle w:val="11"/>
        <w:pageBreakBefore/>
        <w:spacing w:before="0" w:after="0"/>
        <w:ind w:firstLine="602"/>
        <w:jc w:val="center"/>
        <w:rPr>
          <w:rFonts w:ascii="Calibri" w:hAnsi="Calibri" w:cs="Calibri"/>
          <w:color w:val="000000" w:themeColor="text1"/>
          <w:sz w:val="30"/>
        </w:rPr>
      </w:pPr>
      <w:bookmarkStart w:id="541" w:name="_Toc5108"/>
      <w:bookmarkStart w:id="542" w:name="_Toc17263"/>
      <w:bookmarkStart w:id="543" w:name="_Toc1360"/>
      <w:bookmarkStart w:id="544" w:name="_Toc22350"/>
      <w:bookmarkStart w:id="545" w:name="_Toc15664"/>
      <w:bookmarkStart w:id="546" w:name="_Toc141703905"/>
      <w:bookmarkStart w:id="547" w:name="_Toc20098"/>
      <w:bookmarkStart w:id="548" w:name="_Toc21122"/>
      <w:bookmarkStart w:id="549" w:name="_Toc12499"/>
      <w:bookmarkStart w:id="550" w:name="_Toc7437"/>
      <w:bookmarkStart w:id="551" w:name="_Toc32355"/>
      <w:bookmarkStart w:id="552" w:name="_Toc6820043"/>
      <w:bookmarkStart w:id="553" w:name="_Toc9054"/>
      <w:bookmarkStart w:id="554" w:name="_Toc160725922"/>
      <w:bookmarkStart w:id="555" w:name="_Hlk23248873"/>
      <w:r w:rsidRPr="00777BCD">
        <w:rPr>
          <w:rFonts w:ascii="Calibri" w:hAnsi="Calibri" w:cs="Calibri"/>
          <w:color w:val="000000" w:themeColor="text1"/>
          <w:sz w:val="30"/>
        </w:rPr>
        <w:lastRenderedPageBreak/>
        <w:t>第二十四部分</w:t>
      </w:r>
      <w:r w:rsidRPr="00777BCD">
        <w:rPr>
          <w:rFonts w:ascii="Calibri" w:hAnsi="Calibri" w:cs="Calibri"/>
          <w:color w:val="000000" w:themeColor="text1"/>
          <w:sz w:val="30"/>
        </w:rPr>
        <w:t xml:space="preserve">  </w:t>
      </w:r>
      <w:r w:rsidRPr="00777BCD">
        <w:rPr>
          <w:rFonts w:ascii="Calibri" w:hAnsi="Calibri" w:cs="Calibri"/>
          <w:color w:val="000000" w:themeColor="text1"/>
          <w:sz w:val="30"/>
        </w:rPr>
        <w:t>基金合同内容摘要</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2E1DD12F" w14:textId="77777777" w:rsidR="007149DF" w:rsidRPr="00777BCD" w:rsidRDefault="007149DF">
      <w:pPr>
        <w:ind w:firstLine="480"/>
        <w:jc w:val="left"/>
        <w:rPr>
          <w:rFonts w:ascii="Calibri" w:hAnsi="Calibri" w:cs="Calibri"/>
          <w:color w:val="000000" w:themeColor="text1"/>
          <w:sz w:val="24"/>
        </w:rPr>
      </w:pPr>
    </w:p>
    <w:p w14:paraId="48EED6C9" w14:textId="77777777" w:rsidR="007149DF" w:rsidRPr="00777BCD" w:rsidRDefault="00284640">
      <w:pPr>
        <w:ind w:firstLine="480"/>
        <w:jc w:val="left"/>
        <w:rPr>
          <w:rFonts w:ascii="Calibri" w:hAnsi="Calibri" w:cs="Calibri"/>
          <w:color w:val="000000" w:themeColor="text1"/>
          <w:sz w:val="24"/>
        </w:rPr>
      </w:pPr>
      <w:bookmarkStart w:id="556" w:name="_Hlk103971510"/>
      <w:r w:rsidRPr="00777BCD">
        <w:rPr>
          <w:rFonts w:ascii="Calibri" w:hAnsi="Calibri" w:cs="Calibri"/>
          <w:color w:val="000000" w:themeColor="text1"/>
          <w:sz w:val="24"/>
        </w:rPr>
        <w:t>一、基金份额持有人、基金管理人和基金托管人的权利、义务</w:t>
      </w:r>
    </w:p>
    <w:p w14:paraId="0DB2A74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（一）</w:t>
      </w:r>
      <w:r w:rsidRPr="00777BCD">
        <w:rPr>
          <w:rFonts w:ascii="Calibri" w:hAnsi="Calibri" w:cs="Calibri"/>
          <w:color w:val="000000" w:themeColor="text1"/>
          <w:sz w:val="24"/>
        </w:rPr>
        <w:t>基金份额持有人的权利、义务</w:t>
      </w:r>
    </w:p>
    <w:p w14:paraId="19C8027F"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基金投资者持有本</w:t>
      </w:r>
      <w:proofErr w:type="gramStart"/>
      <w:r w:rsidRPr="00777BCD">
        <w:rPr>
          <w:rFonts w:ascii="Calibri" w:hAnsi="Calibri" w:cs="Calibri"/>
          <w:bCs/>
          <w:color w:val="000000" w:themeColor="text1"/>
          <w:sz w:val="24"/>
          <w:szCs w:val="24"/>
        </w:rPr>
        <w:t>基金基金</w:t>
      </w:r>
      <w:proofErr w:type="gramEnd"/>
      <w:r w:rsidRPr="00777BCD">
        <w:rPr>
          <w:rFonts w:ascii="Calibri" w:hAnsi="Calibri" w:cs="Calibri"/>
          <w:bCs/>
          <w:color w:val="000000" w:themeColor="text1"/>
          <w:sz w:val="24"/>
          <w:szCs w:val="24"/>
        </w:rPr>
        <w:t>份额的行为即视为对《基金合同》的承认和接受，基金投资者</w:t>
      </w:r>
      <w:proofErr w:type="gramStart"/>
      <w:r w:rsidRPr="00777BCD">
        <w:rPr>
          <w:rFonts w:ascii="Calibri" w:hAnsi="Calibri" w:cs="Calibri"/>
          <w:bCs/>
          <w:color w:val="000000" w:themeColor="text1"/>
          <w:sz w:val="24"/>
          <w:szCs w:val="24"/>
        </w:rPr>
        <w:t>自依据</w:t>
      </w:r>
      <w:proofErr w:type="gramEnd"/>
      <w:r w:rsidRPr="00777BCD">
        <w:rPr>
          <w:rFonts w:ascii="Calibri" w:hAnsi="Calibri" w:cs="Calibri"/>
          <w:bCs/>
          <w:color w:val="000000" w:themeColor="text1"/>
          <w:sz w:val="24"/>
          <w:szCs w:val="24"/>
        </w:rPr>
        <w:t>《基金合同》取得基金份额，即成为本基金的基金份额持有人和《基金合同》的当事人，直至其不再持有本基金的基金份额。基金份额持有人作为《基金合同》当事人并不以在《基金合同》上书面签章或签字为必要条件。</w:t>
      </w:r>
    </w:p>
    <w:p w14:paraId="2914825A"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除法律法规另有规定或基金合同另有约定外，同一类别每份基金份额具有同等的合法权益。</w:t>
      </w:r>
    </w:p>
    <w:p w14:paraId="12D983BA"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1</w:t>
      </w:r>
      <w:r w:rsidRPr="00777BCD">
        <w:rPr>
          <w:rFonts w:ascii="Calibri" w:hAnsi="Calibri" w:cs="Calibri"/>
          <w:bCs/>
          <w:color w:val="000000" w:themeColor="text1"/>
          <w:sz w:val="24"/>
          <w:szCs w:val="24"/>
        </w:rPr>
        <w:t>、根据《基金法》、《运作办法》及其他有关规定，基金份额持有人的权利包括但不限于：</w:t>
      </w:r>
    </w:p>
    <w:p w14:paraId="3D9F1F8E"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w:t>
      </w:r>
      <w:r w:rsidRPr="00777BCD">
        <w:rPr>
          <w:rFonts w:ascii="Calibri" w:hAnsi="Calibri" w:cs="Calibri"/>
          <w:bCs/>
          <w:color w:val="000000" w:themeColor="text1"/>
          <w:sz w:val="24"/>
          <w:szCs w:val="24"/>
        </w:rPr>
        <w:t>）分享基金财产收益；</w:t>
      </w:r>
    </w:p>
    <w:p w14:paraId="1C8A7224"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）参与分配清算后的剩余基金财产；</w:t>
      </w:r>
    </w:p>
    <w:p w14:paraId="0649839B"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3</w:t>
      </w:r>
      <w:r w:rsidRPr="00777BCD">
        <w:rPr>
          <w:rFonts w:ascii="Calibri" w:hAnsi="Calibri" w:cs="Calibri"/>
          <w:bCs/>
          <w:color w:val="000000" w:themeColor="text1"/>
          <w:sz w:val="24"/>
          <w:szCs w:val="24"/>
        </w:rPr>
        <w:t>）依法转让或者申请赎回其持有的基金份额；</w:t>
      </w:r>
    </w:p>
    <w:p w14:paraId="4D4A9172"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4</w:t>
      </w:r>
      <w:r w:rsidRPr="00777BCD">
        <w:rPr>
          <w:rFonts w:ascii="Calibri" w:hAnsi="Calibri" w:cs="Calibri"/>
          <w:bCs/>
          <w:color w:val="000000" w:themeColor="text1"/>
          <w:sz w:val="24"/>
          <w:szCs w:val="24"/>
        </w:rPr>
        <w:t>）按照规定要求召开基金份额持有人大会或者召集基金份额持有人大会；</w:t>
      </w:r>
    </w:p>
    <w:p w14:paraId="40BAAED6"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5</w:t>
      </w:r>
      <w:r w:rsidRPr="00777BCD">
        <w:rPr>
          <w:rFonts w:ascii="Calibri" w:hAnsi="Calibri" w:cs="Calibri"/>
          <w:bCs/>
          <w:color w:val="000000" w:themeColor="text1"/>
          <w:sz w:val="24"/>
          <w:szCs w:val="24"/>
        </w:rPr>
        <w:t>）出席或者委派代表出席基金份额持有人大会，对基金份额持有人大会审议事项行使表决权；</w:t>
      </w:r>
    </w:p>
    <w:p w14:paraId="54D21B36"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6</w:t>
      </w:r>
      <w:r w:rsidRPr="00777BCD">
        <w:rPr>
          <w:rFonts w:ascii="Calibri" w:hAnsi="Calibri" w:cs="Calibri"/>
          <w:bCs/>
          <w:color w:val="000000" w:themeColor="text1"/>
          <w:sz w:val="24"/>
          <w:szCs w:val="24"/>
        </w:rPr>
        <w:t>）查阅或者复制公开披露的基金信息资料；</w:t>
      </w:r>
    </w:p>
    <w:p w14:paraId="1B6ACDCC"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7</w:t>
      </w:r>
      <w:r w:rsidRPr="00777BCD">
        <w:rPr>
          <w:rFonts w:ascii="Calibri" w:hAnsi="Calibri" w:cs="Calibri"/>
          <w:bCs/>
          <w:color w:val="000000" w:themeColor="text1"/>
          <w:sz w:val="24"/>
          <w:szCs w:val="24"/>
        </w:rPr>
        <w:t>）监督基金管理人的投资运作；</w:t>
      </w:r>
    </w:p>
    <w:p w14:paraId="6B65C327"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8</w:t>
      </w:r>
      <w:r w:rsidRPr="00777BCD">
        <w:rPr>
          <w:rFonts w:ascii="Calibri" w:hAnsi="Calibri" w:cs="Calibri"/>
          <w:bCs/>
          <w:color w:val="000000" w:themeColor="text1"/>
          <w:sz w:val="24"/>
          <w:szCs w:val="24"/>
        </w:rPr>
        <w:t>）对基金管理人、基金托管人、基金服务机构损害其合法权益的行为依法提起诉讼或仲裁；</w:t>
      </w:r>
    </w:p>
    <w:p w14:paraId="39FCAA47"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9</w:t>
      </w:r>
      <w:r w:rsidRPr="00777BCD">
        <w:rPr>
          <w:rFonts w:ascii="Calibri" w:hAnsi="Calibri" w:cs="Calibri"/>
          <w:bCs/>
          <w:color w:val="000000" w:themeColor="text1"/>
          <w:sz w:val="24"/>
          <w:szCs w:val="24"/>
        </w:rPr>
        <w:t>）法律法规及中国证监会规定的和《基金合同》约定的其他权利。</w:t>
      </w:r>
    </w:p>
    <w:p w14:paraId="2D1D2A0E"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、根据《基金法》、《运作办法》及其他有关规定，基金份额持有人的义务包括但不限于：</w:t>
      </w:r>
    </w:p>
    <w:p w14:paraId="52E320C5"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w:t>
      </w:r>
      <w:r w:rsidRPr="00777BCD">
        <w:rPr>
          <w:rFonts w:ascii="Calibri" w:hAnsi="Calibri" w:cs="Calibri"/>
          <w:bCs/>
          <w:color w:val="000000" w:themeColor="text1"/>
          <w:sz w:val="24"/>
          <w:szCs w:val="24"/>
        </w:rPr>
        <w:t>）认真阅读并遵守《基金合同》、招募说明书、基金产品资料概要等信息披露文件；</w:t>
      </w:r>
    </w:p>
    <w:p w14:paraId="6E6CFC8E"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lastRenderedPageBreak/>
        <w:t>（</w:t>
      </w: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）了解所投资基金产品，了解自身风险承受能力，自主判断基金的投资价值，自主做出投资决策，自行承担投资风险；</w:t>
      </w:r>
    </w:p>
    <w:p w14:paraId="6621CF5E"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3</w:t>
      </w:r>
      <w:r w:rsidRPr="00777BCD">
        <w:rPr>
          <w:rFonts w:ascii="Calibri" w:hAnsi="Calibri" w:cs="Calibri"/>
          <w:bCs/>
          <w:color w:val="000000" w:themeColor="text1"/>
          <w:sz w:val="24"/>
          <w:szCs w:val="24"/>
        </w:rPr>
        <w:t>）关注基金信息披露，及时行使权利和履行义务；</w:t>
      </w:r>
    </w:p>
    <w:p w14:paraId="3A1D25B0"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4</w:t>
      </w:r>
      <w:r w:rsidRPr="00777BCD">
        <w:rPr>
          <w:rFonts w:ascii="Calibri" w:hAnsi="Calibri" w:cs="Calibri"/>
          <w:bCs/>
          <w:color w:val="000000" w:themeColor="text1"/>
          <w:sz w:val="24"/>
          <w:szCs w:val="24"/>
        </w:rPr>
        <w:t>）交纳基金认购、申购款项及法律法规和《基金合同》所规定的费用；</w:t>
      </w:r>
    </w:p>
    <w:p w14:paraId="0B3B90EE"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5</w:t>
      </w:r>
      <w:r w:rsidRPr="00777BCD">
        <w:rPr>
          <w:rFonts w:ascii="Calibri" w:hAnsi="Calibri" w:cs="Calibri"/>
          <w:bCs/>
          <w:color w:val="000000" w:themeColor="text1"/>
          <w:sz w:val="24"/>
          <w:szCs w:val="24"/>
        </w:rPr>
        <w:t>）在其持有的基金份额范围内，承担基金亏损或者《基金合同》终止的有限责任；</w:t>
      </w:r>
    </w:p>
    <w:p w14:paraId="0733B296"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6</w:t>
      </w:r>
      <w:r w:rsidRPr="00777BCD">
        <w:rPr>
          <w:rFonts w:ascii="Calibri" w:hAnsi="Calibri" w:cs="Calibri"/>
          <w:bCs/>
          <w:color w:val="000000" w:themeColor="text1"/>
          <w:sz w:val="24"/>
          <w:szCs w:val="24"/>
        </w:rPr>
        <w:t>）不从事任何有损基金及其他《基金合同》当事人合法权益的活动；</w:t>
      </w:r>
    </w:p>
    <w:p w14:paraId="6556D9D7"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7</w:t>
      </w:r>
      <w:r w:rsidRPr="00777BCD">
        <w:rPr>
          <w:rFonts w:ascii="Calibri" w:hAnsi="Calibri" w:cs="Calibri"/>
          <w:bCs/>
          <w:color w:val="000000" w:themeColor="text1"/>
          <w:sz w:val="24"/>
          <w:szCs w:val="24"/>
        </w:rPr>
        <w:t>）执行生效的基金份额持有人大会的决议；</w:t>
      </w:r>
    </w:p>
    <w:p w14:paraId="4FEFF388"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8</w:t>
      </w:r>
      <w:r w:rsidRPr="00777BCD">
        <w:rPr>
          <w:rFonts w:ascii="Calibri" w:hAnsi="Calibri" w:cs="Calibri"/>
          <w:bCs/>
          <w:color w:val="000000" w:themeColor="text1"/>
          <w:sz w:val="24"/>
          <w:szCs w:val="24"/>
        </w:rPr>
        <w:t>）返还在基金交易过程中因任何原因获得的不当得利；</w:t>
      </w:r>
    </w:p>
    <w:p w14:paraId="435E8DDC"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9</w:t>
      </w:r>
      <w:r w:rsidRPr="00777BCD">
        <w:rPr>
          <w:rFonts w:ascii="Calibri" w:hAnsi="Calibri" w:cs="Calibri"/>
          <w:bCs/>
          <w:color w:val="000000" w:themeColor="text1"/>
          <w:sz w:val="24"/>
          <w:szCs w:val="24"/>
        </w:rPr>
        <w:t>）遵守基金管理人、基金托管人、销售机构和登记机构的相关交易及业务规则；</w:t>
      </w:r>
    </w:p>
    <w:p w14:paraId="1D750884"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10</w:t>
      </w:r>
      <w:r w:rsidRPr="00777BCD">
        <w:rPr>
          <w:rFonts w:ascii="Calibri" w:hAnsi="Calibri" w:cs="Calibri"/>
          <w:bCs/>
          <w:color w:val="000000" w:themeColor="text1"/>
          <w:sz w:val="24"/>
          <w:szCs w:val="24"/>
        </w:rPr>
        <w:t>）提供基金管理人和监管机构依法要求提供的信息，以及不时的更新和补充，并保证其真实性；</w:t>
      </w:r>
    </w:p>
    <w:p w14:paraId="2DD47065"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11</w:t>
      </w:r>
      <w:r w:rsidRPr="00777BCD">
        <w:rPr>
          <w:rFonts w:ascii="Calibri" w:hAnsi="Calibri" w:cs="Calibri"/>
          <w:bCs/>
          <w:color w:val="000000" w:themeColor="text1"/>
          <w:sz w:val="24"/>
          <w:szCs w:val="24"/>
        </w:rPr>
        <w:t>）发起资金提供方持有发起资金认购的基金份额不少于</w:t>
      </w:r>
      <w:r w:rsidRPr="00777BCD">
        <w:rPr>
          <w:rFonts w:ascii="Calibri" w:hAnsi="Calibri" w:cs="Calibri"/>
          <w:bCs/>
          <w:color w:val="000000" w:themeColor="text1"/>
          <w:sz w:val="24"/>
          <w:szCs w:val="24"/>
        </w:rPr>
        <w:t>3</w:t>
      </w:r>
      <w:r w:rsidRPr="00777BCD">
        <w:rPr>
          <w:rFonts w:ascii="Calibri" w:hAnsi="Calibri" w:cs="Calibri"/>
          <w:bCs/>
          <w:color w:val="000000" w:themeColor="text1"/>
          <w:sz w:val="24"/>
          <w:szCs w:val="24"/>
        </w:rPr>
        <w:t>年；</w:t>
      </w:r>
    </w:p>
    <w:p w14:paraId="49E88E42" w14:textId="77777777" w:rsidR="007149DF" w:rsidRPr="00777BCD" w:rsidRDefault="00284640">
      <w:pPr>
        <w:ind w:firstLine="480"/>
        <w:rPr>
          <w:rFonts w:ascii="Calibri" w:hAnsi="Calibri" w:cs="Calibri"/>
          <w:color w:val="000000" w:themeColor="text1"/>
          <w:sz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12</w:t>
      </w:r>
      <w:r w:rsidRPr="00777BCD">
        <w:rPr>
          <w:rFonts w:ascii="Calibri" w:hAnsi="Calibri" w:cs="Calibri"/>
          <w:bCs/>
          <w:color w:val="000000" w:themeColor="text1"/>
          <w:sz w:val="24"/>
          <w:szCs w:val="24"/>
        </w:rPr>
        <w:t>）法律法规及中国证监会规定的和《基金合同》约定的其他义务。</w:t>
      </w:r>
    </w:p>
    <w:p w14:paraId="79A6635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（二）基金管理人的权利与义务</w:t>
      </w:r>
    </w:p>
    <w:p w14:paraId="7F3D4FD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、根据《基金法》、《运作办法》及其他有关规定，基金管理人的权利包括但不限于：</w:t>
      </w:r>
    </w:p>
    <w:p w14:paraId="6E2C486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w:t>
      </w:r>
      <w:r w:rsidRPr="00777BCD">
        <w:rPr>
          <w:rFonts w:ascii="Calibri" w:hAnsi="Calibri" w:cs="Calibri"/>
          <w:bCs/>
          <w:color w:val="000000" w:themeColor="text1"/>
          <w:sz w:val="24"/>
        </w:rPr>
        <w:t>）依法募集资金；</w:t>
      </w:r>
    </w:p>
    <w:p w14:paraId="33E2E09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2</w:t>
      </w:r>
      <w:r w:rsidRPr="00777BCD">
        <w:rPr>
          <w:rFonts w:ascii="Calibri" w:hAnsi="Calibri" w:cs="Calibri"/>
          <w:bCs/>
          <w:color w:val="000000" w:themeColor="text1"/>
          <w:sz w:val="24"/>
        </w:rPr>
        <w:t>）自《基金合同》生效之日起，根据法律法规和《基金合同》独立运用并管理基金财产；</w:t>
      </w:r>
    </w:p>
    <w:p w14:paraId="21CF428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3</w:t>
      </w:r>
      <w:r w:rsidRPr="00777BCD">
        <w:rPr>
          <w:rFonts w:ascii="Calibri" w:hAnsi="Calibri" w:cs="Calibri"/>
          <w:bCs/>
          <w:color w:val="000000" w:themeColor="text1"/>
          <w:sz w:val="24"/>
        </w:rPr>
        <w:t>）依照《基金合同》收取基金管理费以及法律法规规定或中国证监会批准的其他费用；</w:t>
      </w:r>
    </w:p>
    <w:p w14:paraId="2738BD1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4</w:t>
      </w:r>
      <w:r w:rsidRPr="00777BCD">
        <w:rPr>
          <w:rFonts w:ascii="Calibri" w:hAnsi="Calibri" w:cs="Calibri"/>
          <w:bCs/>
          <w:color w:val="000000" w:themeColor="text1"/>
          <w:sz w:val="24"/>
        </w:rPr>
        <w:t>）销售基金份额；</w:t>
      </w:r>
    </w:p>
    <w:p w14:paraId="46BAF91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5</w:t>
      </w:r>
      <w:r w:rsidRPr="00777BCD">
        <w:rPr>
          <w:rFonts w:ascii="Calibri" w:hAnsi="Calibri" w:cs="Calibri"/>
          <w:bCs/>
          <w:color w:val="000000" w:themeColor="text1"/>
          <w:sz w:val="24"/>
        </w:rPr>
        <w:t>）按照规定召集基金份额持有人大会；</w:t>
      </w:r>
    </w:p>
    <w:p w14:paraId="0DF2CA1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6</w:t>
      </w:r>
      <w:r w:rsidRPr="00777BCD">
        <w:rPr>
          <w:rFonts w:ascii="Calibri" w:hAnsi="Calibri" w:cs="Calibri"/>
          <w:bCs/>
          <w:color w:val="000000" w:themeColor="text1"/>
          <w:sz w:val="24"/>
        </w:rPr>
        <w:t>）依据《基金合同》及有关法律规定监督基金托管人，如认为基金托管人违反了《基金合同》及国家有关法律规定，应呈报中国证监会和其他监管部门，并采取必要措施保护基金投资者的利益；</w:t>
      </w:r>
    </w:p>
    <w:p w14:paraId="36407D7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7</w:t>
      </w:r>
      <w:r w:rsidRPr="00777BCD">
        <w:rPr>
          <w:rFonts w:ascii="Calibri" w:hAnsi="Calibri" w:cs="Calibri"/>
          <w:bCs/>
          <w:color w:val="000000" w:themeColor="text1"/>
          <w:sz w:val="24"/>
        </w:rPr>
        <w:t>）在基金托管人更换时，提名新的基金托管人；</w:t>
      </w:r>
    </w:p>
    <w:p w14:paraId="6319601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w:t>
      </w:r>
      <w:r w:rsidRPr="00777BCD">
        <w:rPr>
          <w:rFonts w:ascii="Calibri" w:hAnsi="Calibri" w:cs="Calibri"/>
          <w:bCs/>
          <w:color w:val="000000" w:themeColor="text1"/>
          <w:sz w:val="24"/>
        </w:rPr>
        <w:t>8</w:t>
      </w:r>
      <w:r w:rsidRPr="00777BCD">
        <w:rPr>
          <w:rFonts w:ascii="Calibri" w:hAnsi="Calibri" w:cs="Calibri"/>
          <w:bCs/>
          <w:color w:val="000000" w:themeColor="text1"/>
          <w:sz w:val="24"/>
        </w:rPr>
        <w:t>）选择、更换基金销售机构，对基金销售机构的相关行为进行监督和处理；</w:t>
      </w:r>
      <w:r w:rsidRPr="00777BCD">
        <w:rPr>
          <w:rFonts w:ascii="Calibri" w:hAnsi="Calibri" w:cs="Calibri"/>
          <w:bCs/>
          <w:color w:val="000000" w:themeColor="text1"/>
          <w:sz w:val="24"/>
        </w:rPr>
        <w:t xml:space="preserve"> </w:t>
      </w:r>
    </w:p>
    <w:p w14:paraId="5F8959B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9</w:t>
      </w:r>
      <w:r w:rsidRPr="00777BCD">
        <w:rPr>
          <w:rFonts w:ascii="Calibri" w:hAnsi="Calibri" w:cs="Calibri"/>
          <w:bCs/>
          <w:color w:val="000000" w:themeColor="text1"/>
          <w:sz w:val="24"/>
        </w:rPr>
        <w:t>）担任或委托其他符合条件的机构担任基金登记机构办理基金登记业务并获得《基金合同》规定的费用；</w:t>
      </w:r>
      <w:r w:rsidRPr="00777BCD">
        <w:rPr>
          <w:rFonts w:ascii="Calibri" w:hAnsi="Calibri" w:cs="Calibri"/>
          <w:bCs/>
          <w:color w:val="000000" w:themeColor="text1"/>
          <w:sz w:val="24"/>
        </w:rPr>
        <w:t xml:space="preserve"> </w:t>
      </w:r>
    </w:p>
    <w:p w14:paraId="3343436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10</w:t>
      </w:r>
      <w:r w:rsidRPr="00777BCD">
        <w:rPr>
          <w:rFonts w:ascii="Calibri" w:hAnsi="Calibri" w:cs="Calibri"/>
          <w:bCs/>
          <w:color w:val="000000" w:themeColor="text1"/>
          <w:sz w:val="24"/>
        </w:rPr>
        <w:t>）依据《基金合同》及有关法律规定决定基金收益的分配方案；</w:t>
      </w:r>
      <w:r w:rsidRPr="00777BCD">
        <w:rPr>
          <w:rFonts w:ascii="Calibri" w:hAnsi="Calibri" w:cs="Calibri"/>
          <w:bCs/>
          <w:color w:val="000000" w:themeColor="text1"/>
          <w:sz w:val="24"/>
        </w:rPr>
        <w:tab/>
      </w:r>
    </w:p>
    <w:p w14:paraId="367EA22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11</w:t>
      </w:r>
      <w:r w:rsidRPr="00777BCD">
        <w:rPr>
          <w:rFonts w:ascii="Calibri" w:hAnsi="Calibri" w:cs="Calibri"/>
          <w:bCs/>
          <w:color w:val="000000" w:themeColor="text1"/>
          <w:sz w:val="24"/>
        </w:rPr>
        <w:t>）在《基金合同》约定的范围内，拒绝或暂停受理申购、赎回或转换申请；</w:t>
      </w:r>
      <w:r w:rsidRPr="00777BCD">
        <w:rPr>
          <w:rFonts w:ascii="Calibri" w:hAnsi="Calibri" w:cs="Calibri"/>
          <w:bCs/>
          <w:color w:val="000000" w:themeColor="text1"/>
          <w:sz w:val="24"/>
        </w:rPr>
        <w:t xml:space="preserve"> </w:t>
      </w:r>
    </w:p>
    <w:p w14:paraId="331FD88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12</w:t>
      </w:r>
      <w:r w:rsidRPr="00777BCD">
        <w:rPr>
          <w:rFonts w:ascii="Calibri" w:hAnsi="Calibri" w:cs="Calibri"/>
          <w:bCs/>
          <w:color w:val="000000" w:themeColor="text1"/>
          <w:sz w:val="24"/>
        </w:rPr>
        <w:t>）依照法律法规为基金的利益对被投资公司行使股东权利，为基金的利益行使因基金财产投资于证券所产生的权利；</w:t>
      </w:r>
      <w:r w:rsidRPr="00777BCD">
        <w:rPr>
          <w:rFonts w:ascii="Calibri" w:hAnsi="Calibri" w:cs="Calibri"/>
          <w:bCs/>
          <w:color w:val="000000" w:themeColor="text1"/>
          <w:sz w:val="24"/>
        </w:rPr>
        <w:tab/>
      </w:r>
    </w:p>
    <w:p w14:paraId="2F255E14" w14:textId="10C057FF"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13</w:t>
      </w:r>
      <w:r w:rsidRPr="00777BCD">
        <w:rPr>
          <w:rFonts w:ascii="Calibri" w:hAnsi="Calibri" w:cs="Calibri"/>
          <w:bCs/>
          <w:color w:val="000000" w:themeColor="text1"/>
          <w:sz w:val="24"/>
        </w:rPr>
        <w:t>）在法律法规允许的前提下，为基金的利益依法为基金进行融资；</w:t>
      </w:r>
      <w:r w:rsidRPr="00777BCD">
        <w:rPr>
          <w:rFonts w:ascii="Calibri" w:hAnsi="Calibri" w:cs="Calibri"/>
          <w:bCs/>
          <w:color w:val="000000" w:themeColor="text1"/>
          <w:sz w:val="24"/>
        </w:rPr>
        <w:tab/>
      </w:r>
    </w:p>
    <w:p w14:paraId="4796E25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14</w:t>
      </w:r>
      <w:r w:rsidRPr="00777BCD">
        <w:rPr>
          <w:rFonts w:ascii="Calibri" w:hAnsi="Calibri" w:cs="Calibri"/>
          <w:bCs/>
          <w:color w:val="000000" w:themeColor="text1"/>
          <w:sz w:val="24"/>
        </w:rPr>
        <w:t>）以基金管理人的名义，代表基金份额持有人的利益行使诉讼权利或者实施其他法律行为；</w:t>
      </w:r>
      <w:r w:rsidRPr="00777BCD">
        <w:rPr>
          <w:rFonts w:ascii="Calibri" w:hAnsi="Calibri" w:cs="Calibri"/>
          <w:bCs/>
          <w:color w:val="000000" w:themeColor="text1"/>
          <w:sz w:val="24"/>
        </w:rPr>
        <w:tab/>
      </w:r>
    </w:p>
    <w:p w14:paraId="0275B22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15</w:t>
      </w:r>
      <w:r w:rsidRPr="00777BCD">
        <w:rPr>
          <w:rFonts w:ascii="Calibri" w:hAnsi="Calibri" w:cs="Calibri"/>
          <w:bCs/>
          <w:color w:val="000000" w:themeColor="text1"/>
          <w:sz w:val="24"/>
        </w:rPr>
        <w:t>）选择、更换律师事务所、会计师事务所、证券</w:t>
      </w:r>
      <w:r w:rsidRPr="00777BCD">
        <w:rPr>
          <w:rFonts w:ascii="Calibri" w:hAnsi="Calibri" w:cs="Calibri"/>
          <w:bCs/>
          <w:color w:val="000000" w:themeColor="text1"/>
          <w:sz w:val="24"/>
        </w:rPr>
        <w:t>/</w:t>
      </w:r>
      <w:r w:rsidRPr="00777BCD">
        <w:rPr>
          <w:rFonts w:ascii="Calibri" w:hAnsi="Calibri" w:cs="Calibri"/>
          <w:bCs/>
          <w:color w:val="000000" w:themeColor="text1"/>
          <w:sz w:val="24"/>
        </w:rPr>
        <w:t>期货经纪商或其他为基金提供服务的外部机构；</w:t>
      </w:r>
      <w:r w:rsidRPr="00777BCD">
        <w:rPr>
          <w:rFonts w:ascii="Calibri" w:hAnsi="Calibri" w:cs="Calibri"/>
          <w:bCs/>
          <w:color w:val="000000" w:themeColor="text1"/>
          <w:sz w:val="24"/>
        </w:rPr>
        <w:tab/>
      </w:r>
    </w:p>
    <w:p w14:paraId="783FF20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16</w:t>
      </w:r>
      <w:r w:rsidRPr="00777BCD">
        <w:rPr>
          <w:rFonts w:ascii="Calibri" w:hAnsi="Calibri" w:cs="Calibri"/>
          <w:bCs/>
          <w:color w:val="000000" w:themeColor="text1"/>
          <w:sz w:val="24"/>
        </w:rPr>
        <w:t>）在符合有关法律、法规的前提下，制订和调整有关基金认购、申购、赎回、转换、</w:t>
      </w:r>
      <w:proofErr w:type="gramStart"/>
      <w:r w:rsidRPr="00777BCD">
        <w:rPr>
          <w:rFonts w:ascii="Calibri" w:hAnsi="Calibri" w:cs="Calibri"/>
          <w:bCs/>
          <w:color w:val="000000" w:themeColor="text1"/>
          <w:sz w:val="24"/>
        </w:rPr>
        <w:t>非交易</w:t>
      </w:r>
      <w:proofErr w:type="gramEnd"/>
      <w:r w:rsidRPr="00777BCD">
        <w:rPr>
          <w:rFonts w:ascii="Calibri" w:hAnsi="Calibri" w:cs="Calibri"/>
          <w:bCs/>
          <w:color w:val="000000" w:themeColor="text1"/>
          <w:sz w:val="24"/>
        </w:rPr>
        <w:t>过户、定期定额投资、转托管和收益分配等业务规则；</w:t>
      </w:r>
    </w:p>
    <w:p w14:paraId="4836014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17</w:t>
      </w:r>
      <w:r w:rsidRPr="00777BCD">
        <w:rPr>
          <w:rFonts w:ascii="Calibri" w:hAnsi="Calibri" w:cs="Calibri"/>
          <w:bCs/>
          <w:color w:val="000000" w:themeColor="text1"/>
          <w:sz w:val="24"/>
        </w:rPr>
        <w:t>）法律法规及中国证监会规定的和《基金合同》约定的其他权利。</w:t>
      </w:r>
    </w:p>
    <w:p w14:paraId="5ADB7A2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、根据《基金法》、《运作办法》及其他有关规定，基金管理人的义务包括但不限于：</w:t>
      </w:r>
    </w:p>
    <w:p w14:paraId="30E8F11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w:t>
      </w:r>
      <w:r w:rsidRPr="00777BCD">
        <w:rPr>
          <w:rFonts w:ascii="Calibri" w:hAnsi="Calibri" w:cs="Calibri"/>
          <w:bCs/>
          <w:color w:val="000000" w:themeColor="text1"/>
          <w:sz w:val="24"/>
        </w:rPr>
        <w:t>）依法募集资金，办理或者委托经中国证监会认定的其他机构代为办理基金份额的发售、申购、赎回和登记事宜；</w:t>
      </w:r>
    </w:p>
    <w:p w14:paraId="73760CE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2</w:t>
      </w:r>
      <w:r w:rsidRPr="00777BCD">
        <w:rPr>
          <w:rFonts w:ascii="Calibri" w:hAnsi="Calibri" w:cs="Calibri"/>
          <w:bCs/>
          <w:color w:val="000000" w:themeColor="text1"/>
          <w:sz w:val="24"/>
        </w:rPr>
        <w:t>）办理基金备案手续；</w:t>
      </w:r>
    </w:p>
    <w:p w14:paraId="12D98B9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3</w:t>
      </w:r>
      <w:r w:rsidRPr="00777BCD">
        <w:rPr>
          <w:rFonts w:ascii="Calibri" w:hAnsi="Calibri" w:cs="Calibri"/>
          <w:bCs/>
          <w:color w:val="000000" w:themeColor="text1"/>
          <w:sz w:val="24"/>
        </w:rPr>
        <w:t>）自《基金合同》生效之日起，以诚实信用、谨慎勤勉的原则管理和运用基金财产；</w:t>
      </w:r>
    </w:p>
    <w:p w14:paraId="3ECD67B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4</w:t>
      </w:r>
      <w:r w:rsidRPr="00777BCD">
        <w:rPr>
          <w:rFonts w:ascii="Calibri" w:hAnsi="Calibri" w:cs="Calibri"/>
          <w:bCs/>
          <w:color w:val="000000" w:themeColor="text1"/>
          <w:sz w:val="24"/>
        </w:rPr>
        <w:t>）配备足够的具有专业资格的人员进行基金投资分析、决策，以专业化的经营方式管理和运作基金财产；</w:t>
      </w:r>
    </w:p>
    <w:p w14:paraId="690FB57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w:t>
      </w:r>
      <w:r w:rsidRPr="00777BCD">
        <w:rPr>
          <w:rFonts w:ascii="Calibri" w:hAnsi="Calibri" w:cs="Calibri"/>
          <w:bCs/>
          <w:color w:val="000000" w:themeColor="text1"/>
          <w:sz w:val="24"/>
        </w:rPr>
        <w:t>5</w:t>
      </w:r>
      <w:r w:rsidRPr="00777BCD">
        <w:rPr>
          <w:rFonts w:ascii="Calibri" w:hAnsi="Calibri" w:cs="Calibri"/>
          <w:bCs/>
          <w:color w:val="000000" w:themeColor="text1"/>
          <w:sz w:val="24"/>
        </w:rPr>
        <w:t>）建立健全内部风险控制、监察与稽核、财务管理及人事管理等制度，保证所管理的基金财产和基金管理人的财产相互独立，对所管理的不同基金分别管理，分别记账，进行证券投资；</w:t>
      </w:r>
    </w:p>
    <w:p w14:paraId="1AB23B2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6</w:t>
      </w:r>
      <w:r w:rsidRPr="00777BCD">
        <w:rPr>
          <w:rFonts w:ascii="Calibri" w:hAnsi="Calibri" w:cs="Calibri"/>
          <w:bCs/>
          <w:color w:val="000000" w:themeColor="text1"/>
          <w:sz w:val="24"/>
        </w:rPr>
        <w:t>）除依据《基金法》、《基金合同》及其他有关规定外，不得利用基金财产为自己及任何第三人谋取利益，不得委托第三人运作基金财产；</w:t>
      </w:r>
    </w:p>
    <w:p w14:paraId="429315B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7</w:t>
      </w:r>
      <w:r w:rsidRPr="00777BCD">
        <w:rPr>
          <w:rFonts w:ascii="Calibri" w:hAnsi="Calibri" w:cs="Calibri"/>
          <w:bCs/>
          <w:color w:val="000000" w:themeColor="text1"/>
          <w:sz w:val="24"/>
        </w:rPr>
        <w:t>）依法接受基金托管人的监督；</w:t>
      </w:r>
    </w:p>
    <w:p w14:paraId="1FB5C8B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8</w:t>
      </w:r>
      <w:r w:rsidRPr="00777BCD">
        <w:rPr>
          <w:rFonts w:ascii="Calibri" w:hAnsi="Calibri" w:cs="Calibri"/>
          <w:bCs/>
          <w:color w:val="000000" w:themeColor="text1"/>
          <w:sz w:val="24"/>
        </w:rPr>
        <w:t>）采取适当合理的措施使计算各类基金份额认购、申购、赎回和注销价格的方法符合《基金合同》等法律文件的规定，按有关规定计算并公告基金净值信息，确定基金份额申购、赎回的价格；</w:t>
      </w:r>
    </w:p>
    <w:p w14:paraId="1BE1817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9</w:t>
      </w:r>
      <w:r w:rsidRPr="00777BCD">
        <w:rPr>
          <w:rFonts w:ascii="Calibri" w:hAnsi="Calibri" w:cs="Calibri"/>
          <w:bCs/>
          <w:color w:val="000000" w:themeColor="text1"/>
          <w:sz w:val="24"/>
        </w:rPr>
        <w:t>）进行基金会计核算并编制基金财务会计报告；</w:t>
      </w:r>
    </w:p>
    <w:p w14:paraId="352FED5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10</w:t>
      </w:r>
      <w:r w:rsidRPr="00777BCD">
        <w:rPr>
          <w:rFonts w:ascii="Calibri" w:hAnsi="Calibri" w:cs="Calibri"/>
          <w:bCs/>
          <w:color w:val="000000" w:themeColor="text1"/>
          <w:sz w:val="24"/>
        </w:rPr>
        <w:t>）编制季度报告、中期报告和年度报告；</w:t>
      </w:r>
    </w:p>
    <w:p w14:paraId="0AB2322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11</w:t>
      </w:r>
      <w:r w:rsidRPr="00777BCD">
        <w:rPr>
          <w:rFonts w:ascii="Calibri" w:hAnsi="Calibri" w:cs="Calibri"/>
          <w:bCs/>
          <w:color w:val="000000" w:themeColor="text1"/>
          <w:sz w:val="24"/>
        </w:rPr>
        <w:t>）严格按照《基金法》、《基金合同》及其他有关规定，履行信息披露及报告义务；</w:t>
      </w:r>
    </w:p>
    <w:p w14:paraId="7139BC9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12</w:t>
      </w:r>
      <w:r w:rsidRPr="00777BCD">
        <w:rPr>
          <w:rFonts w:ascii="Calibri" w:hAnsi="Calibri" w:cs="Calibri"/>
          <w:bCs/>
          <w:color w:val="000000" w:themeColor="text1"/>
          <w:sz w:val="24"/>
        </w:rPr>
        <w:t>）保守基金商业秘密，不泄露基金投资计划、投资意向等。除《基金法》、《基金合同》及其他有关规定另有规定外，在基金信息公开披露前应予保密，不向他人泄露，</w:t>
      </w:r>
      <w:r w:rsidRPr="00777BCD">
        <w:rPr>
          <w:rFonts w:ascii="Calibri" w:hAnsi="Calibri" w:cs="Calibri"/>
          <w:bCs/>
          <w:color w:val="000000" w:themeColor="text1"/>
          <w:sz w:val="24"/>
          <w:szCs w:val="24"/>
        </w:rPr>
        <w:t>但根据监管机构、司法机关等有权机关的要求，或</w:t>
      </w:r>
      <w:r w:rsidRPr="00777BCD">
        <w:rPr>
          <w:rFonts w:ascii="Calibri" w:hAnsi="Calibri" w:cs="Calibri"/>
          <w:bCs/>
          <w:color w:val="000000" w:themeColor="text1"/>
          <w:sz w:val="24"/>
        </w:rPr>
        <w:t>因审计、法律等外部专业顾问提供服务而向其提供的情况除外；</w:t>
      </w:r>
    </w:p>
    <w:p w14:paraId="4F047A7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13</w:t>
      </w:r>
      <w:r w:rsidRPr="00777BCD">
        <w:rPr>
          <w:rFonts w:ascii="Calibri" w:hAnsi="Calibri" w:cs="Calibri"/>
          <w:bCs/>
          <w:color w:val="000000" w:themeColor="text1"/>
          <w:sz w:val="24"/>
        </w:rPr>
        <w:t>）按《基金合同》的约定确定基金收益分配方案，及时向基金份额持有人分配基金收益；</w:t>
      </w:r>
    </w:p>
    <w:p w14:paraId="79DC100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14</w:t>
      </w:r>
      <w:r w:rsidRPr="00777BCD">
        <w:rPr>
          <w:rFonts w:ascii="Calibri" w:hAnsi="Calibri" w:cs="Calibri"/>
          <w:bCs/>
          <w:color w:val="000000" w:themeColor="text1"/>
          <w:sz w:val="24"/>
        </w:rPr>
        <w:t>）按规定受理申购与赎回申请，及时、足额支付赎回款项；</w:t>
      </w:r>
    </w:p>
    <w:p w14:paraId="0A5F0D9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15</w:t>
      </w:r>
      <w:r w:rsidRPr="00777BCD">
        <w:rPr>
          <w:rFonts w:ascii="Calibri" w:hAnsi="Calibri" w:cs="Calibri"/>
          <w:bCs/>
          <w:color w:val="000000" w:themeColor="text1"/>
          <w:sz w:val="24"/>
        </w:rPr>
        <w:t>）依据《基金法》、《基金合同》及其他有关规定召集基金份额持有人大会或配合基金托管人、基金份额持有人依法召集基金份额持有人大会；</w:t>
      </w:r>
    </w:p>
    <w:p w14:paraId="7B9862C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16</w:t>
      </w:r>
      <w:r w:rsidRPr="00777BCD">
        <w:rPr>
          <w:rFonts w:ascii="Calibri" w:hAnsi="Calibri" w:cs="Calibri"/>
          <w:bCs/>
          <w:color w:val="000000" w:themeColor="text1"/>
          <w:sz w:val="24"/>
        </w:rPr>
        <w:t>）按规定保存基金财产管理业务活动的会计账册、报表、记录和其他相关资料</w:t>
      </w:r>
      <w:r w:rsidRPr="00777BCD">
        <w:rPr>
          <w:rFonts w:ascii="Calibri" w:hAnsi="Calibri" w:cs="Calibri"/>
          <w:bCs/>
          <w:color w:val="000000" w:themeColor="text1"/>
          <w:sz w:val="24"/>
        </w:rPr>
        <w:t>20</w:t>
      </w:r>
      <w:r w:rsidRPr="00777BCD">
        <w:rPr>
          <w:rFonts w:ascii="Calibri" w:hAnsi="Calibri" w:cs="Calibri"/>
          <w:bCs/>
          <w:color w:val="000000" w:themeColor="text1"/>
          <w:sz w:val="24"/>
        </w:rPr>
        <w:t>年以上，法律法规另有规定的从其规定；</w:t>
      </w:r>
    </w:p>
    <w:p w14:paraId="2012EDE6"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17</w:t>
      </w:r>
      <w:r w:rsidRPr="00777BCD">
        <w:rPr>
          <w:rFonts w:ascii="Calibri" w:hAnsi="Calibri" w:cs="Calibri"/>
          <w:bCs/>
          <w:color w:val="000000" w:themeColor="text1"/>
          <w:sz w:val="24"/>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113D569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18</w:t>
      </w:r>
      <w:r w:rsidRPr="00777BCD">
        <w:rPr>
          <w:rFonts w:ascii="Calibri" w:hAnsi="Calibri" w:cs="Calibri"/>
          <w:bCs/>
          <w:color w:val="000000" w:themeColor="text1"/>
          <w:sz w:val="24"/>
        </w:rPr>
        <w:t>）组织并参加基金财产清算小组，参与基金财产的保管、清理、估价、变现和分配；</w:t>
      </w:r>
    </w:p>
    <w:p w14:paraId="7930988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w:t>
      </w:r>
      <w:r w:rsidRPr="00777BCD">
        <w:rPr>
          <w:rFonts w:ascii="Calibri" w:hAnsi="Calibri" w:cs="Calibri"/>
          <w:bCs/>
          <w:color w:val="000000" w:themeColor="text1"/>
          <w:sz w:val="24"/>
        </w:rPr>
        <w:t>19</w:t>
      </w:r>
      <w:r w:rsidRPr="00777BCD">
        <w:rPr>
          <w:rFonts w:ascii="Calibri" w:hAnsi="Calibri" w:cs="Calibri"/>
          <w:bCs/>
          <w:color w:val="000000" w:themeColor="text1"/>
          <w:sz w:val="24"/>
        </w:rPr>
        <w:t>）面临解散、依法被撤销或者被依法宣告破产时，及时报告中国证监会并通知基金托管人；</w:t>
      </w:r>
    </w:p>
    <w:p w14:paraId="5857740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20</w:t>
      </w:r>
      <w:r w:rsidRPr="00777BCD">
        <w:rPr>
          <w:rFonts w:ascii="Calibri" w:hAnsi="Calibri" w:cs="Calibri"/>
          <w:bCs/>
          <w:color w:val="000000" w:themeColor="text1"/>
          <w:sz w:val="24"/>
        </w:rPr>
        <w:t>）因违反《基金合同》导致基金财产的损失或损害基金份额持有人合法权益时，应当承担赔偿责任，其赔偿责任不因其退任而免除；</w:t>
      </w:r>
    </w:p>
    <w:p w14:paraId="2E0B821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21</w:t>
      </w:r>
      <w:r w:rsidRPr="00777BCD">
        <w:rPr>
          <w:rFonts w:ascii="Calibri" w:hAnsi="Calibri" w:cs="Calibri"/>
          <w:bCs/>
          <w:color w:val="000000" w:themeColor="text1"/>
          <w:sz w:val="24"/>
        </w:rPr>
        <w:t>）监督基金托管人按法律法规和《基金合同》规定履行自己的义务，基金托管人违反《基金合同》造成基金财产损失时，基金管理人应为基金份额持有人利益向基金托管人追偿；</w:t>
      </w:r>
    </w:p>
    <w:p w14:paraId="0A8B949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22</w:t>
      </w:r>
      <w:r w:rsidRPr="00777BCD">
        <w:rPr>
          <w:rFonts w:ascii="Calibri" w:hAnsi="Calibri" w:cs="Calibri"/>
          <w:bCs/>
          <w:color w:val="000000" w:themeColor="text1"/>
          <w:sz w:val="24"/>
        </w:rPr>
        <w:t>）当基金管理人将其义务委托第三方处理时，应当对第三方处理有关基金事务的行为承担责任；</w:t>
      </w:r>
    </w:p>
    <w:p w14:paraId="27D10B1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23</w:t>
      </w:r>
      <w:r w:rsidRPr="00777BCD">
        <w:rPr>
          <w:rFonts w:ascii="Calibri" w:hAnsi="Calibri" w:cs="Calibri"/>
          <w:bCs/>
          <w:color w:val="000000" w:themeColor="text1"/>
          <w:sz w:val="24"/>
        </w:rPr>
        <w:t>）以基金管理人名义，代表基金份额持有人利益行使诉讼权利或实施其他法律行为；</w:t>
      </w:r>
    </w:p>
    <w:p w14:paraId="19A3A38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24</w:t>
      </w:r>
      <w:r w:rsidRPr="00777BCD">
        <w:rPr>
          <w:rFonts w:ascii="Calibri" w:hAnsi="Calibri" w:cs="Calibri"/>
          <w:bCs/>
          <w:color w:val="000000" w:themeColor="text1"/>
          <w:sz w:val="24"/>
        </w:rPr>
        <w:t>）基金管理人在募集期间未能达到基金的备案条件，《基金合同》不能生效，基金管理人承担全部募集费用，将已募集资金并加计银行同期活期存款利息（税后）在基金募集期结束后</w:t>
      </w:r>
      <w:r w:rsidRPr="00777BCD">
        <w:rPr>
          <w:rFonts w:ascii="Calibri" w:hAnsi="Calibri" w:cs="Calibri"/>
          <w:bCs/>
          <w:color w:val="000000" w:themeColor="text1"/>
          <w:sz w:val="24"/>
        </w:rPr>
        <w:t>30</w:t>
      </w:r>
      <w:r w:rsidRPr="00777BCD">
        <w:rPr>
          <w:rFonts w:ascii="Calibri" w:hAnsi="Calibri" w:cs="Calibri"/>
          <w:bCs/>
          <w:color w:val="000000" w:themeColor="text1"/>
          <w:sz w:val="24"/>
        </w:rPr>
        <w:t>日内退还基金认购人；</w:t>
      </w:r>
    </w:p>
    <w:p w14:paraId="35C5965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25</w:t>
      </w:r>
      <w:r w:rsidRPr="00777BCD">
        <w:rPr>
          <w:rFonts w:ascii="Calibri" w:hAnsi="Calibri" w:cs="Calibri"/>
          <w:bCs/>
          <w:color w:val="000000" w:themeColor="text1"/>
          <w:sz w:val="24"/>
        </w:rPr>
        <w:t>）执行生效的基金份额持有人大会的决议；</w:t>
      </w:r>
    </w:p>
    <w:p w14:paraId="78262E3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26</w:t>
      </w:r>
      <w:r w:rsidRPr="00777BCD">
        <w:rPr>
          <w:rFonts w:ascii="Calibri" w:hAnsi="Calibri" w:cs="Calibri"/>
          <w:bCs/>
          <w:color w:val="000000" w:themeColor="text1"/>
          <w:sz w:val="24"/>
        </w:rPr>
        <w:t>）建立并保存基金份额持有人名册；</w:t>
      </w:r>
    </w:p>
    <w:p w14:paraId="6BC822A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27</w:t>
      </w:r>
      <w:r w:rsidRPr="00777BCD">
        <w:rPr>
          <w:rFonts w:ascii="Calibri" w:hAnsi="Calibri" w:cs="Calibri"/>
          <w:bCs/>
          <w:color w:val="000000" w:themeColor="text1"/>
          <w:sz w:val="24"/>
        </w:rPr>
        <w:t>）法律法规及中国证监会规定的和《基金合同》约定的其他义务。</w:t>
      </w:r>
    </w:p>
    <w:p w14:paraId="77E5B0A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（三）</w:t>
      </w:r>
      <w:r w:rsidRPr="00777BCD">
        <w:rPr>
          <w:rFonts w:ascii="Calibri" w:hAnsi="Calibri" w:cs="Calibri"/>
          <w:bCs/>
          <w:color w:val="000000" w:themeColor="text1"/>
          <w:sz w:val="24"/>
        </w:rPr>
        <w:tab/>
      </w:r>
      <w:r w:rsidRPr="00777BCD">
        <w:rPr>
          <w:rFonts w:ascii="Calibri" w:hAnsi="Calibri" w:cs="Calibri"/>
          <w:bCs/>
          <w:color w:val="000000" w:themeColor="text1"/>
          <w:sz w:val="24"/>
        </w:rPr>
        <w:t>基金托管人的权利与义务</w:t>
      </w:r>
    </w:p>
    <w:p w14:paraId="41B64CE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、根据《基金法》、《运作办法》及其他有关规定，基金托管人的权利包括但不限于：</w:t>
      </w:r>
    </w:p>
    <w:p w14:paraId="09B2401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w:t>
      </w:r>
      <w:r w:rsidRPr="00777BCD">
        <w:rPr>
          <w:rFonts w:ascii="Calibri" w:hAnsi="Calibri" w:cs="Calibri"/>
          <w:bCs/>
          <w:color w:val="000000" w:themeColor="text1"/>
          <w:sz w:val="24"/>
        </w:rPr>
        <w:t>）自《基金合同》生效之日起，依法</w:t>
      </w:r>
      <w:proofErr w:type="gramStart"/>
      <w:r w:rsidRPr="00777BCD">
        <w:rPr>
          <w:rFonts w:ascii="Calibri" w:hAnsi="Calibri" w:cs="Calibri"/>
          <w:bCs/>
          <w:color w:val="000000" w:themeColor="text1"/>
          <w:sz w:val="24"/>
        </w:rPr>
        <w:t>律法规</w:t>
      </w:r>
      <w:proofErr w:type="gramEnd"/>
      <w:r w:rsidRPr="00777BCD">
        <w:rPr>
          <w:rFonts w:ascii="Calibri" w:hAnsi="Calibri" w:cs="Calibri"/>
          <w:bCs/>
          <w:color w:val="000000" w:themeColor="text1"/>
          <w:sz w:val="24"/>
        </w:rPr>
        <w:t>和《基金合同》的规定安全保管基金财产；</w:t>
      </w:r>
    </w:p>
    <w:p w14:paraId="1650C4D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2</w:t>
      </w:r>
      <w:r w:rsidRPr="00777BCD">
        <w:rPr>
          <w:rFonts w:ascii="Calibri" w:hAnsi="Calibri" w:cs="Calibri"/>
          <w:bCs/>
          <w:color w:val="000000" w:themeColor="text1"/>
          <w:sz w:val="24"/>
        </w:rPr>
        <w:t>）依《基金合同》约定获得基金托管费以及法律法规规定或监管部门批准的其他费用；</w:t>
      </w:r>
    </w:p>
    <w:p w14:paraId="339B23F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3</w:t>
      </w:r>
      <w:r w:rsidRPr="00777BCD">
        <w:rPr>
          <w:rFonts w:ascii="Calibri" w:hAnsi="Calibri" w:cs="Calibri"/>
          <w:bCs/>
          <w:color w:val="000000" w:themeColor="text1"/>
          <w:sz w:val="24"/>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61BFDB13" w14:textId="3DFC912D"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4</w:t>
      </w:r>
      <w:r w:rsidRPr="00777BCD">
        <w:rPr>
          <w:rFonts w:ascii="Calibri" w:hAnsi="Calibri" w:cs="Calibri"/>
          <w:bCs/>
          <w:color w:val="000000" w:themeColor="text1"/>
          <w:sz w:val="24"/>
        </w:rPr>
        <w:t>）根据相关市场规则，为基金开设证券账户、资金账户等投资所需账户</w:t>
      </w:r>
      <w:r w:rsidR="00FE0386">
        <w:rPr>
          <w:rFonts w:ascii="Calibri" w:hAnsi="Calibri" w:cs="Calibri" w:hint="eastAsia"/>
          <w:bCs/>
          <w:color w:val="000000" w:themeColor="text1"/>
          <w:sz w:val="24"/>
        </w:rPr>
        <w:t>，</w:t>
      </w:r>
      <w:r w:rsidRPr="00777BCD">
        <w:rPr>
          <w:rFonts w:ascii="Calibri" w:hAnsi="Calibri" w:cs="Calibri"/>
          <w:bCs/>
          <w:color w:val="000000" w:themeColor="text1"/>
          <w:sz w:val="24"/>
        </w:rPr>
        <w:t>为基金办理证券</w:t>
      </w:r>
      <w:r w:rsidRPr="00777BCD">
        <w:rPr>
          <w:rFonts w:ascii="Calibri" w:hAnsi="Calibri" w:cs="Calibri"/>
          <w:color w:val="000000" w:themeColor="text1"/>
          <w:sz w:val="24"/>
        </w:rPr>
        <w:t>、期货</w:t>
      </w:r>
      <w:r w:rsidRPr="00777BCD">
        <w:rPr>
          <w:rFonts w:ascii="Calibri" w:hAnsi="Calibri" w:cs="Calibri"/>
          <w:bCs/>
          <w:color w:val="000000" w:themeColor="text1"/>
          <w:sz w:val="24"/>
        </w:rPr>
        <w:t>交易资金清算；</w:t>
      </w:r>
    </w:p>
    <w:p w14:paraId="18445D05"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lastRenderedPageBreak/>
        <w:t>（</w:t>
      </w:r>
      <w:r w:rsidRPr="00777BCD">
        <w:rPr>
          <w:rFonts w:ascii="Calibri" w:hAnsi="Calibri" w:cs="Calibri"/>
          <w:bCs/>
          <w:color w:val="000000" w:themeColor="text1"/>
          <w:sz w:val="24"/>
          <w:szCs w:val="24"/>
        </w:rPr>
        <w:t>5</w:t>
      </w:r>
      <w:r w:rsidRPr="00777BCD">
        <w:rPr>
          <w:rFonts w:ascii="Calibri" w:hAnsi="Calibri" w:cs="Calibri"/>
          <w:bCs/>
          <w:color w:val="000000" w:themeColor="text1"/>
          <w:sz w:val="24"/>
          <w:szCs w:val="24"/>
        </w:rPr>
        <w:t>）提议召开或召集基金份额持有人大会；</w:t>
      </w:r>
    </w:p>
    <w:p w14:paraId="11B138A0"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6</w:t>
      </w:r>
      <w:r w:rsidRPr="00777BCD">
        <w:rPr>
          <w:rFonts w:ascii="Calibri" w:hAnsi="Calibri" w:cs="Calibri"/>
          <w:bCs/>
          <w:color w:val="000000" w:themeColor="text1"/>
          <w:sz w:val="24"/>
          <w:szCs w:val="24"/>
        </w:rPr>
        <w:t>）在基金管理人更换时，提名新的基金管理人；</w:t>
      </w:r>
    </w:p>
    <w:p w14:paraId="56D60141"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7</w:t>
      </w:r>
      <w:r w:rsidRPr="00777BCD">
        <w:rPr>
          <w:rFonts w:ascii="Calibri" w:hAnsi="Calibri" w:cs="Calibri"/>
          <w:bCs/>
          <w:color w:val="000000" w:themeColor="text1"/>
          <w:sz w:val="24"/>
          <w:szCs w:val="24"/>
        </w:rPr>
        <w:t>）法律法规及中国证监会规定的和《基金合同》约定的其他权利。</w:t>
      </w:r>
    </w:p>
    <w:p w14:paraId="6AFAFE1E"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、根据《基金法》、《运作办法》及其他有关规定，基金托管人的义务包括但不限于：</w:t>
      </w:r>
    </w:p>
    <w:p w14:paraId="39F3A721"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w:t>
      </w:r>
      <w:r w:rsidRPr="00777BCD">
        <w:rPr>
          <w:rFonts w:ascii="Calibri" w:hAnsi="Calibri" w:cs="Calibri"/>
          <w:bCs/>
          <w:color w:val="000000" w:themeColor="text1"/>
          <w:sz w:val="24"/>
          <w:szCs w:val="24"/>
        </w:rPr>
        <w:t>）以诚实信用、勤勉尽责的原则持有并安全保管基金财产；</w:t>
      </w:r>
    </w:p>
    <w:p w14:paraId="535F7BEC"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）设立专门的基金托管部门，具有符合要求的营业场所，配备足够的、合格的熟悉基金托管业务的专职人员，负责基金财产托管事宜；</w:t>
      </w:r>
    </w:p>
    <w:p w14:paraId="1121EBE6"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3</w:t>
      </w:r>
      <w:r w:rsidRPr="00777BCD">
        <w:rPr>
          <w:rFonts w:ascii="Calibri" w:hAnsi="Calibri" w:cs="Calibri"/>
          <w:bCs/>
          <w:color w:val="000000" w:themeColor="text1"/>
          <w:sz w:val="24"/>
          <w:szCs w:val="24"/>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5D637DE4"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4</w:t>
      </w:r>
      <w:r w:rsidRPr="00777BCD">
        <w:rPr>
          <w:rFonts w:ascii="Calibri" w:hAnsi="Calibri" w:cs="Calibri"/>
          <w:bCs/>
          <w:color w:val="000000" w:themeColor="text1"/>
          <w:sz w:val="24"/>
          <w:szCs w:val="24"/>
        </w:rPr>
        <w:t>）除依据《基金法》、《基金合同》及其他有关规定外，不得利用基金财产为自己及任何第三人谋取利益，不得委托第三人托管基金财产；</w:t>
      </w:r>
    </w:p>
    <w:p w14:paraId="4CE17B87"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5</w:t>
      </w:r>
      <w:r w:rsidRPr="00777BCD">
        <w:rPr>
          <w:rFonts w:ascii="Calibri" w:hAnsi="Calibri" w:cs="Calibri"/>
          <w:bCs/>
          <w:color w:val="000000" w:themeColor="text1"/>
          <w:sz w:val="24"/>
          <w:szCs w:val="24"/>
        </w:rPr>
        <w:t>）保管由基金管理人代表基金签订的与基金有关的重大合同及有关凭证；</w:t>
      </w:r>
    </w:p>
    <w:p w14:paraId="014CD2DF"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6</w:t>
      </w:r>
      <w:r w:rsidRPr="00777BCD">
        <w:rPr>
          <w:rFonts w:ascii="Calibri" w:hAnsi="Calibri" w:cs="Calibri"/>
          <w:bCs/>
          <w:color w:val="000000" w:themeColor="text1"/>
          <w:sz w:val="24"/>
          <w:szCs w:val="24"/>
        </w:rPr>
        <w:t>）按规定开设基金财产的资金账户和证券账户等投资所需账户，按照《基金合同》的约定，根据基金管理人的投资指令，及时办理清算、交割事宜；</w:t>
      </w:r>
    </w:p>
    <w:p w14:paraId="7B426CE8"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7</w:t>
      </w:r>
      <w:r w:rsidRPr="00777BCD">
        <w:rPr>
          <w:rFonts w:ascii="Calibri" w:hAnsi="Calibri" w:cs="Calibri"/>
          <w:bCs/>
          <w:color w:val="000000" w:themeColor="text1"/>
          <w:sz w:val="24"/>
          <w:szCs w:val="24"/>
        </w:rPr>
        <w:t>）</w:t>
      </w:r>
      <w:r w:rsidRPr="00777BCD">
        <w:rPr>
          <w:rFonts w:ascii="Calibri" w:hAnsi="Calibri" w:cs="Calibri"/>
          <w:bCs/>
          <w:color w:val="000000" w:themeColor="text1"/>
          <w:sz w:val="24"/>
        </w:rPr>
        <w:t>保守基金商业秘密，除《基金法》、《基金合同》及其他有关规定另有规定外，在基金信息公开披露前予以保密，不得向他人泄露，</w:t>
      </w:r>
      <w:r w:rsidRPr="00777BCD">
        <w:rPr>
          <w:rFonts w:ascii="Calibri" w:hAnsi="Calibri" w:cs="Calibri"/>
          <w:bCs/>
          <w:color w:val="000000" w:themeColor="text1"/>
          <w:sz w:val="24"/>
          <w:szCs w:val="24"/>
        </w:rPr>
        <w:t>但根据监管机构、司法机关等有权机关的要求，或</w:t>
      </w:r>
      <w:r w:rsidRPr="00777BCD">
        <w:rPr>
          <w:rFonts w:ascii="Calibri" w:hAnsi="Calibri" w:cs="Calibri"/>
          <w:bCs/>
          <w:color w:val="000000" w:themeColor="text1"/>
          <w:sz w:val="24"/>
        </w:rPr>
        <w:t>因审计、法律等外部专业顾问提供服务而向其提供的情况除外；</w:t>
      </w:r>
    </w:p>
    <w:p w14:paraId="3E58ED74"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8</w:t>
      </w:r>
      <w:r w:rsidRPr="00777BCD">
        <w:rPr>
          <w:rFonts w:ascii="Calibri" w:hAnsi="Calibri" w:cs="Calibri"/>
          <w:bCs/>
          <w:color w:val="000000" w:themeColor="text1"/>
          <w:sz w:val="24"/>
          <w:szCs w:val="24"/>
        </w:rPr>
        <w:t>）复核、审查基金管理人计算的基金资产净值、各类基金份额净值、基金份额申购、赎回价格；</w:t>
      </w:r>
    </w:p>
    <w:p w14:paraId="749A532E"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9</w:t>
      </w:r>
      <w:r w:rsidRPr="00777BCD">
        <w:rPr>
          <w:rFonts w:ascii="Calibri" w:hAnsi="Calibri" w:cs="Calibri"/>
          <w:bCs/>
          <w:color w:val="000000" w:themeColor="text1"/>
          <w:sz w:val="24"/>
          <w:szCs w:val="24"/>
        </w:rPr>
        <w:t>）办理与基金托管业务活动有关的信息披露事项；</w:t>
      </w:r>
    </w:p>
    <w:p w14:paraId="5F75F5F5"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10</w:t>
      </w:r>
      <w:r w:rsidRPr="00777BCD">
        <w:rPr>
          <w:rFonts w:ascii="Calibri" w:hAnsi="Calibri" w:cs="Calibri"/>
          <w:bCs/>
          <w:color w:val="000000" w:themeColor="text1"/>
          <w:sz w:val="24"/>
          <w:szCs w:val="24"/>
        </w:rPr>
        <w:t>）对基金财务会计报告、季度报告、中期报告和年度报告出具意见，说明基金管理人在各重要方面的运作是否严格按照《基金合同》的规定进行；</w:t>
      </w:r>
      <w:r w:rsidRPr="00777BCD">
        <w:rPr>
          <w:rFonts w:ascii="Calibri" w:hAnsi="Calibri" w:cs="Calibri"/>
          <w:bCs/>
          <w:color w:val="000000" w:themeColor="text1"/>
          <w:sz w:val="24"/>
          <w:szCs w:val="24"/>
        </w:rPr>
        <w:lastRenderedPageBreak/>
        <w:t>如果基金管理人有未执行《基金合同》规定的行为，还应当说明基金托管人是否采取了适当的措施；</w:t>
      </w:r>
    </w:p>
    <w:p w14:paraId="4B69A7B9"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11</w:t>
      </w:r>
      <w:r w:rsidRPr="00777BCD">
        <w:rPr>
          <w:rFonts w:ascii="Calibri" w:hAnsi="Calibri" w:cs="Calibri"/>
          <w:bCs/>
          <w:color w:val="000000" w:themeColor="text1"/>
          <w:sz w:val="24"/>
          <w:szCs w:val="24"/>
        </w:rPr>
        <w:t>）保存基金托管业务活动的记录、账册、报表和其他相关资料</w:t>
      </w:r>
      <w:r w:rsidRPr="00777BCD">
        <w:rPr>
          <w:rFonts w:ascii="Calibri" w:hAnsi="Calibri" w:cs="Calibri"/>
          <w:color w:val="000000" w:themeColor="text1"/>
          <w:sz w:val="24"/>
          <w:szCs w:val="24"/>
        </w:rPr>
        <w:t>20</w:t>
      </w:r>
      <w:r w:rsidRPr="00777BCD">
        <w:rPr>
          <w:rFonts w:ascii="Calibri" w:hAnsi="Calibri" w:cs="Calibri"/>
          <w:color w:val="000000" w:themeColor="text1"/>
          <w:sz w:val="24"/>
          <w:szCs w:val="24"/>
        </w:rPr>
        <w:t>年以上</w:t>
      </w:r>
      <w:r w:rsidRPr="00777BCD">
        <w:rPr>
          <w:rFonts w:ascii="Calibri" w:hAnsi="Calibri" w:cs="Calibri"/>
          <w:bCs/>
          <w:color w:val="000000" w:themeColor="text1"/>
          <w:sz w:val="24"/>
          <w:szCs w:val="24"/>
        </w:rPr>
        <w:t>，法律法规另有规定的从其规定；</w:t>
      </w:r>
    </w:p>
    <w:p w14:paraId="2F543761"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12</w:t>
      </w:r>
      <w:r w:rsidRPr="00777BCD">
        <w:rPr>
          <w:rFonts w:ascii="Calibri" w:hAnsi="Calibri" w:cs="Calibri"/>
          <w:bCs/>
          <w:color w:val="000000" w:themeColor="text1"/>
          <w:sz w:val="24"/>
          <w:szCs w:val="24"/>
        </w:rPr>
        <w:t>）从基金管理人或其委托的登记机构处接收并保存基金份额持有人名册；</w:t>
      </w:r>
    </w:p>
    <w:p w14:paraId="4CDD4F8A"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13</w:t>
      </w:r>
      <w:r w:rsidRPr="00777BCD">
        <w:rPr>
          <w:rFonts w:ascii="Calibri" w:hAnsi="Calibri" w:cs="Calibri"/>
          <w:bCs/>
          <w:color w:val="000000" w:themeColor="text1"/>
          <w:sz w:val="24"/>
          <w:szCs w:val="24"/>
        </w:rPr>
        <w:t>）按规定制作相关账册并与基金管理人核对；</w:t>
      </w:r>
    </w:p>
    <w:p w14:paraId="61415006"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14</w:t>
      </w:r>
      <w:r w:rsidRPr="00777BCD">
        <w:rPr>
          <w:rFonts w:ascii="Calibri" w:hAnsi="Calibri" w:cs="Calibri"/>
          <w:bCs/>
          <w:color w:val="000000" w:themeColor="text1"/>
          <w:sz w:val="24"/>
          <w:szCs w:val="24"/>
        </w:rPr>
        <w:t>）依据基金管理人的指令或有关规定向基金份额持有人支付基金收益和赎回款项；</w:t>
      </w:r>
    </w:p>
    <w:p w14:paraId="21A7EFCA"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15</w:t>
      </w:r>
      <w:r w:rsidRPr="00777BCD">
        <w:rPr>
          <w:rFonts w:ascii="Calibri" w:hAnsi="Calibri" w:cs="Calibri"/>
          <w:bCs/>
          <w:color w:val="000000" w:themeColor="text1"/>
          <w:sz w:val="24"/>
          <w:szCs w:val="24"/>
        </w:rPr>
        <w:t>）依据《基金法》、《基金合同》及其他有关规定，召集基金份额持有人大会或配合基金管理人、基金份额持有人依法召集基金份额持有人大会；</w:t>
      </w:r>
    </w:p>
    <w:p w14:paraId="42A6EAA7"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16</w:t>
      </w:r>
      <w:r w:rsidRPr="00777BCD">
        <w:rPr>
          <w:rFonts w:ascii="Calibri" w:hAnsi="Calibri" w:cs="Calibri"/>
          <w:bCs/>
          <w:color w:val="000000" w:themeColor="text1"/>
          <w:sz w:val="24"/>
          <w:szCs w:val="24"/>
        </w:rPr>
        <w:t>）按照法律法规和《基金合同》的规定监督基金管理人的投资运作；</w:t>
      </w:r>
    </w:p>
    <w:p w14:paraId="1884F372"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17</w:t>
      </w:r>
      <w:r w:rsidRPr="00777BCD">
        <w:rPr>
          <w:rFonts w:ascii="Calibri" w:hAnsi="Calibri" w:cs="Calibri"/>
          <w:bCs/>
          <w:color w:val="000000" w:themeColor="text1"/>
          <w:sz w:val="24"/>
          <w:szCs w:val="24"/>
        </w:rPr>
        <w:t>）参加基金财产清算小组，参与基金财产的保管、清理、估价、变现和分配；</w:t>
      </w:r>
    </w:p>
    <w:p w14:paraId="3F7C09AC"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18</w:t>
      </w:r>
      <w:r w:rsidRPr="00777BCD">
        <w:rPr>
          <w:rFonts w:ascii="Calibri" w:hAnsi="Calibri" w:cs="Calibri"/>
          <w:bCs/>
          <w:color w:val="000000" w:themeColor="text1"/>
          <w:sz w:val="24"/>
          <w:szCs w:val="24"/>
        </w:rPr>
        <w:t>）面临解散、依法被撤销或者被依法宣告破产时，及时报告中国证监会和</w:t>
      </w:r>
      <w:bookmarkStart w:id="557" w:name="_Hlk160520880"/>
      <w:r w:rsidRPr="00777BCD">
        <w:rPr>
          <w:rFonts w:ascii="Calibri" w:hAnsi="Calibri" w:cs="Calibri"/>
          <w:bCs/>
          <w:color w:val="000000" w:themeColor="text1"/>
          <w:sz w:val="24"/>
          <w:szCs w:val="24"/>
        </w:rPr>
        <w:t>银行业</w:t>
      </w:r>
      <w:bookmarkEnd w:id="557"/>
      <w:r w:rsidRPr="00777BCD">
        <w:rPr>
          <w:rFonts w:ascii="Calibri" w:hAnsi="Calibri" w:cs="Calibri"/>
          <w:bCs/>
          <w:color w:val="000000" w:themeColor="text1"/>
          <w:sz w:val="24"/>
          <w:szCs w:val="24"/>
        </w:rPr>
        <w:t>监督管理机构，并通知基金管理人；</w:t>
      </w:r>
    </w:p>
    <w:p w14:paraId="148BDA3D"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19</w:t>
      </w:r>
      <w:r w:rsidRPr="00777BCD">
        <w:rPr>
          <w:rFonts w:ascii="Calibri" w:hAnsi="Calibri" w:cs="Calibri"/>
          <w:bCs/>
          <w:color w:val="000000" w:themeColor="text1"/>
          <w:sz w:val="24"/>
          <w:szCs w:val="24"/>
        </w:rPr>
        <w:t>）因违反《基金合同》导致基金财产损失时，应承担赔偿责任，其赔偿责任不因其退任而免除；</w:t>
      </w:r>
    </w:p>
    <w:p w14:paraId="544005F7"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20</w:t>
      </w:r>
      <w:r w:rsidRPr="00777BCD">
        <w:rPr>
          <w:rFonts w:ascii="Calibri" w:hAnsi="Calibri" w:cs="Calibri"/>
          <w:bCs/>
          <w:color w:val="000000" w:themeColor="text1"/>
          <w:sz w:val="24"/>
          <w:szCs w:val="24"/>
        </w:rPr>
        <w:t>）</w:t>
      </w:r>
      <w:r w:rsidRPr="00777BCD">
        <w:rPr>
          <w:rFonts w:ascii="Calibri" w:hAnsi="Calibri" w:cs="Calibri"/>
          <w:bCs/>
          <w:color w:val="000000" w:themeColor="text1"/>
          <w:sz w:val="24"/>
        </w:rPr>
        <w:t>按规定监督基金管理人按法律法规和《基金合同》规定履行自己的义务，</w:t>
      </w:r>
      <w:r w:rsidRPr="00777BCD">
        <w:rPr>
          <w:rFonts w:ascii="Calibri" w:hAnsi="Calibri" w:cs="Calibri"/>
          <w:bCs/>
          <w:color w:val="000000" w:themeColor="text1"/>
          <w:sz w:val="24"/>
          <w:szCs w:val="24"/>
        </w:rPr>
        <w:t>基金管理人因违反《基金合同》造成基金财产损失时，应为基金份额持有人利益向基金管理人追偿；</w:t>
      </w:r>
    </w:p>
    <w:p w14:paraId="3731AA39"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21</w:t>
      </w:r>
      <w:r w:rsidRPr="00777BCD">
        <w:rPr>
          <w:rFonts w:ascii="Calibri" w:hAnsi="Calibri" w:cs="Calibri"/>
          <w:bCs/>
          <w:color w:val="000000" w:themeColor="text1"/>
          <w:sz w:val="24"/>
          <w:szCs w:val="24"/>
        </w:rPr>
        <w:t>）执行生效的基金份额持有人大会的决议；</w:t>
      </w:r>
    </w:p>
    <w:p w14:paraId="075C3037"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22</w:t>
      </w:r>
      <w:r w:rsidRPr="00777BCD">
        <w:rPr>
          <w:rFonts w:ascii="Calibri" w:hAnsi="Calibri" w:cs="Calibri"/>
          <w:bCs/>
          <w:color w:val="000000" w:themeColor="text1"/>
          <w:sz w:val="24"/>
          <w:szCs w:val="24"/>
        </w:rPr>
        <w:t>）法律法规及中国证监会规定的和《基金合同》约定的其他义务。</w:t>
      </w:r>
    </w:p>
    <w:p w14:paraId="76B269D8" w14:textId="77777777" w:rsidR="007149DF" w:rsidRPr="00777BCD" w:rsidRDefault="007149DF">
      <w:pPr>
        <w:ind w:firstLine="480"/>
        <w:rPr>
          <w:rFonts w:ascii="Calibri" w:hAnsi="Calibri" w:cs="Calibri"/>
          <w:bCs/>
          <w:color w:val="000000" w:themeColor="text1"/>
          <w:sz w:val="24"/>
        </w:rPr>
      </w:pPr>
    </w:p>
    <w:p w14:paraId="359388B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color w:val="000000" w:themeColor="text1"/>
          <w:sz w:val="24"/>
        </w:rPr>
        <w:t>二、基金份额持有人大会召集、议事及表决的程序和规则</w:t>
      </w:r>
    </w:p>
    <w:p w14:paraId="77EFC6A3" w14:textId="1D5A4663"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rPr>
        <w:t>基金份额持有人大会由基金份额持有人组成，基金份额持有人的合法授权代表有权代表基金份额持有人出席会议并表决。除法律法规另有规定或基金合同另有约定外，基金份额持有人持有的每一基金份额拥有平等的投票权。</w:t>
      </w:r>
    </w:p>
    <w:p w14:paraId="44A46156"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lastRenderedPageBreak/>
        <w:t>本基金未设立基金份额持有人大会的日常机构，如今后设立基金份额持有人大会的日常机构，按照相关法律法规的要求执行。</w:t>
      </w:r>
    </w:p>
    <w:p w14:paraId="7136FF7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（一）召开事由</w:t>
      </w:r>
    </w:p>
    <w:p w14:paraId="65F3BFFD"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w:t>
      </w:r>
      <w:r w:rsidRPr="00777BCD">
        <w:rPr>
          <w:rFonts w:ascii="Calibri" w:hAnsi="Calibri" w:cs="Calibri"/>
          <w:bCs/>
          <w:color w:val="000000" w:themeColor="text1"/>
          <w:sz w:val="24"/>
          <w:szCs w:val="24"/>
        </w:rPr>
        <w:t>除法律法规、中国证监会或《基金合同》另有规定外，当出现或需要决定下列事由之一的，应当召开基金份额持有人大会：</w:t>
      </w:r>
    </w:p>
    <w:p w14:paraId="531930A4" w14:textId="77777777" w:rsidR="007149DF" w:rsidRPr="00777BCD" w:rsidRDefault="00284640">
      <w:pPr>
        <w:ind w:firstLine="480"/>
        <w:rPr>
          <w:rFonts w:ascii="Calibri" w:hAnsi="Calibri" w:cs="Calibri"/>
          <w:color w:val="000000" w:themeColor="text1"/>
          <w:sz w:val="24"/>
          <w:szCs w:val="24"/>
        </w:rPr>
      </w:pPr>
      <w:r w:rsidRPr="00777BCD">
        <w:rPr>
          <w:rFonts w:ascii="Calibri" w:hAnsi="Calibri" w:cs="Calibri"/>
          <w:color w:val="000000" w:themeColor="text1"/>
          <w:sz w:val="24"/>
          <w:szCs w:val="24"/>
        </w:rPr>
        <w:t>（</w:t>
      </w:r>
      <w:r w:rsidRPr="00777BCD">
        <w:rPr>
          <w:rFonts w:ascii="Calibri" w:hAnsi="Calibri" w:cs="Calibri"/>
          <w:color w:val="000000" w:themeColor="text1"/>
          <w:sz w:val="24"/>
          <w:szCs w:val="24"/>
        </w:rPr>
        <w:t>1</w:t>
      </w:r>
      <w:r w:rsidRPr="00777BCD">
        <w:rPr>
          <w:rFonts w:ascii="Calibri" w:hAnsi="Calibri" w:cs="Calibri"/>
          <w:color w:val="000000" w:themeColor="text1"/>
          <w:sz w:val="24"/>
          <w:szCs w:val="24"/>
        </w:rPr>
        <w:t>）终止《基金合同》；</w:t>
      </w:r>
    </w:p>
    <w:p w14:paraId="086BD45B" w14:textId="77777777" w:rsidR="007149DF" w:rsidRPr="00777BCD" w:rsidRDefault="00284640">
      <w:pPr>
        <w:ind w:firstLine="480"/>
        <w:rPr>
          <w:rFonts w:ascii="Calibri" w:hAnsi="Calibri" w:cs="Calibri"/>
          <w:color w:val="000000" w:themeColor="text1"/>
          <w:sz w:val="24"/>
          <w:szCs w:val="24"/>
        </w:rPr>
      </w:pPr>
      <w:r w:rsidRPr="00777BCD">
        <w:rPr>
          <w:rFonts w:ascii="Calibri" w:hAnsi="Calibri" w:cs="Calibri"/>
          <w:color w:val="000000" w:themeColor="text1"/>
          <w:sz w:val="24"/>
          <w:szCs w:val="24"/>
        </w:rPr>
        <w:t>（</w:t>
      </w:r>
      <w:r w:rsidRPr="00777BCD">
        <w:rPr>
          <w:rFonts w:ascii="Calibri" w:hAnsi="Calibri" w:cs="Calibri"/>
          <w:color w:val="000000" w:themeColor="text1"/>
          <w:sz w:val="24"/>
          <w:szCs w:val="24"/>
        </w:rPr>
        <w:t>2</w:t>
      </w:r>
      <w:r w:rsidRPr="00777BCD">
        <w:rPr>
          <w:rFonts w:ascii="Calibri" w:hAnsi="Calibri" w:cs="Calibri"/>
          <w:color w:val="000000" w:themeColor="text1"/>
          <w:sz w:val="24"/>
          <w:szCs w:val="24"/>
        </w:rPr>
        <w:t>）更换基金管理人；</w:t>
      </w:r>
    </w:p>
    <w:p w14:paraId="2BBE5331"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3</w:t>
      </w:r>
      <w:r w:rsidRPr="00777BCD">
        <w:rPr>
          <w:rFonts w:ascii="Calibri" w:hAnsi="Calibri" w:cs="Calibri"/>
          <w:bCs/>
          <w:color w:val="000000" w:themeColor="text1"/>
          <w:sz w:val="24"/>
          <w:szCs w:val="24"/>
        </w:rPr>
        <w:t>）更换基金托管人；</w:t>
      </w:r>
    </w:p>
    <w:p w14:paraId="3F8A581E"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4</w:t>
      </w:r>
      <w:r w:rsidRPr="00777BCD">
        <w:rPr>
          <w:rFonts w:ascii="Calibri" w:hAnsi="Calibri" w:cs="Calibri"/>
          <w:bCs/>
          <w:color w:val="000000" w:themeColor="text1"/>
          <w:sz w:val="24"/>
          <w:szCs w:val="24"/>
        </w:rPr>
        <w:t>）转换基金运作方式；</w:t>
      </w:r>
    </w:p>
    <w:p w14:paraId="39633E28"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5</w:t>
      </w:r>
      <w:r w:rsidRPr="00777BCD">
        <w:rPr>
          <w:rFonts w:ascii="Calibri" w:hAnsi="Calibri" w:cs="Calibri"/>
          <w:bCs/>
          <w:color w:val="000000" w:themeColor="text1"/>
          <w:sz w:val="24"/>
          <w:szCs w:val="24"/>
        </w:rPr>
        <w:t>）调整基金管理人、基金托管人的报酬标准或提高销售服务费率；</w:t>
      </w:r>
    </w:p>
    <w:p w14:paraId="2F545468"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6</w:t>
      </w:r>
      <w:r w:rsidRPr="00777BCD">
        <w:rPr>
          <w:rFonts w:ascii="Calibri" w:hAnsi="Calibri" w:cs="Calibri"/>
          <w:bCs/>
          <w:color w:val="000000" w:themeColor="text1"/>
          <w:sz w:val="24"/>
          <w:szCs w:val="24"/>
        </w:rPr>
        <w:t>）变更基金类别；</w:t>
      </w:r>
    </w:p>
    <w:p w14:paraId="5136E562"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7</w:t>
      </w:r>
      <w:r w:rsidRPr="00777BCD">
        <w:rPr>
          <w:rFonts w:ascii="Calibri" w:hAnsi="Calibri" w:cs="Calibri"/>
          <w:bCs/>
          <w:color w:val="000000" w:themeColor="text1"/>
          <w:sz w:val="24"/>
          <w:szCs w:val="24"/>
        </w:rPr>
        <w:t>）本基金与其他基金的合并；</w:t>
      </w:r>
    </w:p>
    <w:p w14:paraId="420AC501"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8</w:t>
      </w:r>
      <w:r w:rsidRPr="00777BCD">
        <w:rPr>
          <w:rFonts w:ascii="Calibri" w:hAnsi="Calibri" w:cs="Calibri"/>
          <w:bCs/>
          <w:color w:val="000000" w:themeColor="text1"/>
          <w:sz w:val="24"/>
          <w:szCs w:val="24"/>
        </w:rPr>
        <w:t>）变更基金投资目标、范围或策略；</w:t>
      </w:r>
    </w:p>
    <w:p w14:paraId="3234A07D"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9</w:t>
      </w:r>
      <w:r w:rsidRPr="00777BCD">
        <w:rPr>
          <w:rFonts w:ascii="Calibri" w:hAnsi="Calibri" w:cs="Calibri"/>
          <w:bCs/>
          <w:color w:val="000000" w:themeColor="text1"/>
          <w:sz w:val="24"/>
          <w:szCs w:val="24"/>
        </w:rPr>
        <w:t>）变更基金份额持有人大会程序；</w:t>
      </w:r>
    </w:p>
    <w:p w14:paraId="27FDAF2F"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10</w:t>
      </w:r>
      <w:r w:rsidRPr="00777BCD">
        <w:rPr>
          <w:rFonts w:ascii="Calibri" w:hAnsi="Calibri" w:cs="Calibri"/>
          <w:bCs/>
          <w:color w:val="000000" w:themeColor="text1"/>
          <w:sz w:val="24"/>
          <w:szCs w:val="24"/>
        </w:rPr>
        <w:t>）基金管理人或基金托管人要求召开基金份额持有人大会；</w:t>
      </w:r>
    </w:p>
    <w:p w14:paraId="4A365466"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11</w:t>
      </w:r>
      <w:r w:rsidRPr="00777BCD">
        <w:rPr>
          <w:rFonts w:ascii="Calibri" w:hAnsi="Calibri" w:cs="Calibri"/>
          <w:bCs/>
          <w:color w:val="000000" w:themeColor="text1"/>
          <w:sz w:val="24"/>
          <w:szCs w:val="24"/>
        </w:rPr>
        <w:t>）单独或合计持有本基金总份额</w:t>
      </w:r>
      <w:r w:rsidRPr="00777BCD">
        <w:rPr>
          <w:rFonts w:ascii="Calibri" w:hAnsi="Calibri" w:cs="Calibri"/>
          <w:bCs/>
          <w:color w:val="000000" w:themeColor="text1"/>
          <w:sz w:val="24"/>
          <w:szCs w:val="24"/>
        </w:rPr>
        <w:t>10%</w:t>
      </w:r>
      <w:r w:rsidRPr="00777BCD">
        <w:rPr>
          <w:rFonts w:ascii="Calibri" w:hAnsi="Calibri" w:cs="Calibri"/>
          <w:bCs/>
          <w:color w:val="000000" w:themeColor="text1"/>
          <w:sz w:val="24"/>
          <w:szCs w:val="24"/>
        </w:rPr>
        <w:t>以上（含</w:t>
      </w:r>
      <w:r w:rsidRPr="00777BCD">
        <w:rPr>
          <w:rFonts w:ascii="Calibri" w:hAnsi="Calibri" w:cs="Calibri"/>
          <w:bCs/>
          <w:color w:val="000000" w:themeColor="text1"/>
          <w:sz w:val="24"/>
          <w:szCs w:val="24"/>
        </w:rPr>
        <w:t>10%</w:t>
      </w:r>
      <w:r w:rsidRPr="00777BCD">
        <w:rPr>
          <w:rFonts w:ascii="Calibri" w:hAnsi="Calibri" w:cs="Calibri"/>
          <w:bCs/>
          <w:color w:val="000000" w:themeColor="text1"/>
          <w:sz w:val="24"/>
          <w:szCs w:val="24"/>
        </w:rPr>
        <w:t>）基金份额的基金份额持有人（以基金管理人收到提议当日的基金份额计算，下同）就同一事项书面要求召开基金份额持有人大会；</w:t>
      </w:r>
    </w:p>
    <w:p w14:paraId="21509AFB"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12</w:t>
      </w:r>
      <w:r w:rsidRPr="00777BCD">
        <w:rPr>
          <w:rFonts w:ascii="Calibri" w:hAnsi="Calibri" w:cs="Calibri"/>
          <w:bCs/>
          <w:color w:val="000000" w:themeColor="text1"/>
          <w:sz w:val="24"/>
          <w:szCs w:val="24"/>
        </w:rPr>
        <w:t>）对《基金合同》当事人权利和义务产生重大影响的其他事项；</w:t>
      </w:r>
    </w:p>
    <w:p w14:paraId="2C56656D"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13</w:t>
      </w:r>
      <w:r w:rsidRPr="00777BCD">
        <w:rPr>
          <w:rFonts w:ascii="Calibri" w:hAnsi="Calibri" w:cs="Calibri"/>
          <w:bCs/>
          <w:color w:val="000000" w:themeColor="text1"/>
          <w:sz w:val="24"/>
          <w:szCs w:val="24"/>
        </w:rPr>
        <w:t>）法律法规、《基金合同》或中国证监会规定的其他应当召开基金份额持有人大会的事项。</w:t>
      </w:r>
    </w:p>
    <w:p w14:paraId="097DE310"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、在法律法规规定和《基金合同》约定的范围内且对基金份额持有人利益无实质性不利影响的前提下，以下情况可由基金管理人和基金托管人协商后修改，不需召开基金份额持有人大会：</w:t>
      </w:r>
    </w:p>
    <w:p w14:paraId="3D7C95D5"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w:t>
      </w:r>
      <w:r w:rsidRPr="00777BCD">
        <w:rPr>
          <w:rFonts w:ascii="Calibri" w:hAnsi="Calibri" w:cs="Calibri"/>
          <w:bCs/>
          <w:color w:val="000000" w:themeColor="text1"/>
          <w:sz w:val="24"/>
          <w:szCs w:val="24"/>
        </w:rPr>
        <w:t>）法律法规要求增加的基金费用的收取；</w:t>
      </w:r>
    </w:p>
    <w:p w14:paraId="6F8CEEFB"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）调整本基金的申购费率、调低销售服务费率、调整基金份额类别、变更收费方式或对基金份额分类办法及规则进行调整；</w:t>
      </w:r>
    </w:p>
    <w:p w14:paraId="33630C20"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3</w:t>
      </w:r>
      <w:r w:rsidRPr="00777BCD">
        <w:rPr>
          <w:rFonts w:ascii="Calibri" w:hAnsi="Calibri" w:cs="Calibri"/>
          <w:bCs/>
          <w:color w:val="000000" w:themeColor="text1"/>
          <w:sz w:val="24"/>
          <w:szCs w:val="24"/>
        </w:rPr>
        <w:t>）</w:t>
      </w:r>
      <w:proofErr w:type="gramStart"/>
      <w:r w:rsidRPr="00777BCD">
        <w:rPr>
          <w:rFonts w:ascii="Calibri" w:hAnsi="Calibri" w:cs="Calibri"/>
          <w:bCs/>
          <w:color w:val="000000" w:themeColor="text1"/>
          <w:sz w:val="24"/>
          <w:szCs w:val="24"/>
        </w:rPr>
        <w:t>因相应</w:t>
      </w:r>
      <w:proofErr w:type="gramEnd"/>
      <w:r w:rsidRPr="00777BCD">
        <w:rPr>
          <w:rFonts w:ascii="Calibri" w:hAnsi="Calibri" w:cs="Calibri"/>
          <w:bCs/>
          <w:color w:val="000000" w:themeColor="text1"/>
          <w:sz w:val="24"/>
          <w:szCs w:val="24"/>
        </w:rPr>
        <w:t>的法律法规发生变动而应当对《基金合同》进行修改；</w:t>
      </w:r>
    </w:p>
    <w:p w14:paraId="79D50249"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lastRenderedPageBreak/>
        <w:t>（</w:t>
      </w:r>
      <w:r w:rsidRPr="00777BCD">
        <w:rPr>
          <w:rFonts w:ascii="Calibri" w:hAnsi="Calibri" w:cs="Calibri"/>
          <w:bCs/>
          <w:color w:val="000000" w:themeColor="text1"/>
          <w:sz w:val="24"/>
          <w:szCs w:val="24"/>
        </w:rPr>
        <w:t>4</w:t>
      </w:r>
      <w:r w:rsidRPr="00777BCD">
        <w:rPr>
          <w:rFonts w:ascii="Calibri" w:hAnsi="Calibri" w:cs="Calibri"/>
          <w:bCs/>
          <w:color w:val="000000" w:themeColor="text1"/>
          <w:sz w:val="24"/>
          <w:szCs w:val="24"/>
        </w:rPr>
        <w:t>）对《基金合同》的修改对基金份额持有人利益无实质性不利影响或修改不涉及《基金合同》当事人权利义务关系发生重大变化；</w:t>
      </w:r>
    </w:p>
    <w:p w14:paraId="0B7C7745" w14:textId="66E16729" w:rsidR="00632A10" w:rsidRPr="00777BCD" w:rsidRDefault="00284640" w:rsidP="00632A10">
      <w:pPr>
        <w:ind w:firstLine="480"/>
        <w:rPr>
          <w:rFonts w:ascii="Calibri" w:hAnsi="Calibri" w:cs="Calibri"/>
          <w:bCs/>
          <w:color w:val="000000" w:themeColor="text1"/>
          <w:sz w:val="24"/>
          <w:szCs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5</w:t>
      </w:r>
      <w:r w:rsidRPr="00777BCD">
        <w:rPr>
          <w:rFonts w:ascii="Calibri" w:hAnsi="Calibri" w:cs="Calibri"/>
          <w:bCs/>
          <w:color w:val="000000" w:themeColor="text1"/>
          <w:sz w:val="24"/>
          <w:szCs w:val="24"/>
        </w:rPr>
        <w:t>）基金管理人、登记机构、基金销售机构调整有关</w:t>
      </w:r>
      <w:r w:rsidR="00C105C1">
        <w:rPr>
          <w:rFonts w:ascii="Calibri" w:hAnsi="Calibri" w:cs="Calibri" w:hint="eastAsia"/>
          <w:bCs/>
          <w:color w:val="000000" w:themeColor="text1"/>
          <w:sz w:val="24"/>
          <w:szCs w:val="24"/>
        </w:rPr>
        <w:t>基金</w:t>
      </w:r>
      <w:r w:rsidRPr="00777BCD">
        <w:rPr>
          <w:rFonts w:ascii="Calibri" w:hAnsi="Calibri" w:cs="Calibri"/>
          <w:bCs/>
          <w:color w:val="000000" w:themeColor="text1"/>
          <w:sz w:val="24"/>
          <w:szCs w:val="24"/>
        </w:rPr>
        <w:t>认购、申购、赎回、转换、</w:t>
      </w:r>
      <w:proofErr w:type="gramStart"/>
      <w:r w:rsidRPr="00777BCD">
        <w:rPr>
          <w:rFonts w:ascii="Calibri" w:hAnsi="Calibri" w:cs="Calibri"/>
          <w:bCs/>
          <w:color w:val="000000" w:themeColor="text1"/>
          <w:sz w:val="24"/>
          <w:szCs w:val="24"/>
        </w:rPr>
        <w:t>非交易</w:t>
      </w:r>
      <w:proofErr w:type="gramEnd"/>
      <w:r w:rsidRPr="00777BCD">
        <w:rPr>
          <w:rFonts w:ascii="Calibri" w:hAnsi="Calibri" w:cs="Calibri"/>
          <w:bCs/>
          <w:color w:val="000000" w:themeColor="text1"/>
          <w:sz w:val="24"/>
          <w:szCs w:val="24"/>
        </w:rPr>
        <w:t>过户、转托管等业务规则</w:t>
      </w:r>
      <w:r w:rsidR="00632A10" w:rsidRPr="005E2A0B">
        <w:rPr>
          <w:rFonts w:ascii="Calibri" w:hAnsi="Calibri" w:cs="Calibri" w:hint="eastAsia"/>
          <w:bCs/>
          <w:color w:val="000000" w:themeColor="text1"/>
          <w:sz w:val="24"/>
          <w:szCs w:val="24"/>
        </w:rPr>
        <w:t>，法律法规及中国证监会规定的除外；</w:t>
      </w:r>
    </w:p>
    <w:p w14:paraId="67F71B2D"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6</w:t>
      </w:r>
      <w:r w:rsidRPr="00777BCD">
        <w:rPr>
          <w:rFonts w:ascii="Calibri" w:hAnsi="Calibri" w:cs="Calibri"/>
          <w:bCs/>
          <w:color w:val="000000" w:themeColor="text1"/>
          <w:sz w:val="24"/>
          <w:szCs w:val="24"/>
        </w:rPr>
        <w:t>）在履行适当程序后，基金推出新业务或服务；</w:t>
      </w:r>
    </w:p>
    <w:p w14:paraId="0DDA8D1B"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7</w:t>
      </w:r>
      <w:r w:rsidRPr="00777BCD">
        <w:rPr>
          <w:rFonts w:ascii="Calibri" w:hAnsi="Calibri" w:cs="Calibri"/>
          <w:bCs/>
          <w:color w:val="000000" w:themeColor="text1"/>
          <w:sz w:val="24"/>
          <w:szCs w:val="24"/>
        </w:rPr>
        <w:t>）按照法律法规和《基金合同》规定不需召开基金份额持有人大会的其他情形。</w:t>
      </w:r>
    </w:p>
    <w:p w14:paraId="1463ECAC"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（二）会议召集人及召集方式</w:t>
      </w:r>
    </w:p>
    <w:p w14:paraId="587B4E3C"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1</w:t>
      </w:r>
      <w:r w:rsidRPr="00777BCD">
        <w:rPr>
          <w:rFonts w:ascii="Calibri" w:hAnsi="Calibri" w:cs="Calibri"/>
          <w:bCs/>
          <w:color w:val="000000" w:themeColor="text1"/>
          <w:sz w:val="24"/>
          <w:szCs w:val="24"/>
        </w:rPr>
        <w:t>、除法律法规规定或《基金合同》另有约定外，基金份额持有人大会由基金管理人召集。</w:t>
      </w:r>
    </w:p>
    <w:p w14:paraId="0D754624"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、基金管理人未按规定召集或不能召集时，由基金托管人召集。</w:t>
      </w:r>
    </w:p>
    <w:p w14:paraId="67108D98"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3</w:t>
      </w:r>
      <w:r w:rsidRPr="00777BCD">
        <w:rPr>
          <w:rFonts w:ascii="Calibri" w:hAnsi="Calibri" w:cs="Calibri"/>
          <w:bCs/>
          <w:color w:val="000000" w:themeColor="text1"/>
          <w:sz w:val="24"/>
          <w:szCs w:val="24"/>
        </w:rPr>
        <w:t>、基金托管人认为有必要召开基金份额持有人大会的，应当向基金管理人提出书面提议。基金管理人应当自收到书面提议之日起</w:t>
      </w:r>
      <w:r w:rsidRPr="00777BCD">
        <w:rPr>
          <w:rFonts w:ascii="Calibri" w:hAnsi="Calibri" w:cs="Calibri"/>
          <w:bCs/>
          <w:color w:val="000000" w:themeColor="text1"/>
          <w:sz w:val="24"/>
          <w:szCs w:val="24"/>
        </w:rPr>
        <w:t>10</w:t>
      </w:r>
      <w:r w:rsidRPr="00777BCD">
        <w:rPr>
          <w:rFonts w:ascii="Calibri" w:hAnsi="Calibri" w:cs="Calibri"/>
          <w:bCs/>
          <w:color w:val="000000" w:themeColor="text1"/>
          <w:sz w:val="24"/>
          <w:szCs w:val="24"/>
        </w:rPr>
        <w:t>日内决定是否召集，并书面告知基金托管人。基金管理人决定召集的，应当自出具书面决定之日起</w:t>
      </w:r>
      <w:r w:rsidRPr="00777BCD">
        <w:rPr>
          <w:rFonts w:ascii="Calibri" w:hAnsi="Calibri" w:cs="Calibri"/>
          <w:bCs/>
          <w:color w:val="000000" w:themeColor="text1"/>
          <w:sz w:val="24"/>
          <w:szCs w:val="24"/>
        </w:rPr>
        <w:t>60</w:t>
      </w:r>
      <w:r w:rsidRPr="00777BCD">
        <w:rPr>
          <w:rFonts w:ascii="Calibri" w:hAnsi="Calibri" w:cs="Calibri"/>
          <w:bCs/>
          <w:color w:val="000000" w:themeColor="text1"/>
          <w:sz w:val="24"/>
          <w:szCs w:val="24"/>
        </w:rPr>
        <w:t>日内召开；基金管理人决定不召集，基金托管人仍认为有必要召开的，应当由基金托管人自行召集，并自出具书面决定之日起</w:t>
      </w:r>
      <w:r w:rsidRPr="00777BCD">
        <w:rPr>
          <w:rFonts w:ascii="Calibri" w:hAnsi="Calibri" w:cs="Calibri"/>
          <w:bCs/>
          <w:color w:val="000000" w:themeColor="text1"/>
          <w:sz w:val="24"/>
          <w:szCs w:val="24"/>
        </w:rPr>
        <w:t>60</w:t>
      </w:r>
      <w:r w:rsidRPr="00777BCD">
        <w:rPr>
          <w:rFonts w:ascii="Calibri" w:hAnsi="Calibri" w:cs="Calibri"/>
          <w:bCs/>
          <w:color w:val="000000" w:themeColor="text1"/>
          <w:sz w:val="24"/>
          <w:szCs w:val="24"/>
        </w:rPr>
        <w:t>日内召开并告知基金管理人，基金管理人应当配合。</w:t>
      </w:r>
    </w:p>
    <w:p w14:paraId="0114FB1B" w14:textId="77777777" w:rsidR="007149DF" w:rsidRPr="00777BCD" w:rsidRDefault="00284640">
      <w:pPr>
        <w:ind w:firstLine="480"/>
        <w:jc w:val="left"/>
        <w:rPr>
          <w:rFonts w:ascii="Calibri" w:hAnsi="Calibri" w:cs="Calibri"/>
          <w:bCs/>
          <w:color w:val="000000" w:themeColor="text1"/>
          <w:sz w:val="24"/>
          <w:szCs w:val="24"/>
        </w:rPr>
      </w:pPr>
      <w:r w:rsidRPr="00777BCD">
        <w:rPr>
          <w:rFonts w:ascii="Calibri" w:hAnsi="Calibri" w:cs="Calibri"/>
          <w:bCs/>
          <w:color w:val="000000" w:themeColor="text1"/>
          <w:sz w:val="24"/>
          <w:szCs w:val="24"/>
        </w:rPr>
        <w:t>4</w:t>
      </w:r>
      <w:r w:rsidRPr="00777BCD">
        <w:rPr>
          <w:rFonts w:ascii="Calibri" w:hAnsi="Calibri" w:cs="Calibri"/>
          <w:bCs/>
          <w:color w:val="000000" w:themeColor="text1"/>
          <w:sz w:val="24"/>
          <w:szCs w:val="24"/>
        </w:rPr>
        <w:t>、代表基金份额</w:t>
      </w:r>
      <w:r w:rsidRPr="00777BCD">
        <w:rPr>
          <w:rFonts w:ascii="Calibri" w:hAnsi="Calibri" w:cs="Calibri"/>
          <w:bCs/>
          <w:color w:val="000000" w:themeColor="text1"/>
          <w:sz w:val="24"/>
          <w:szCs w:val="24"/>
        </w:rPr>
        <w:t>10%</w:t>
      </w:r>
      <w:r w:rsidRPr="00777BCD">
        <w:rPr>
          <w:rFonts w:ascii="Calibri" w:hAnsi="Calibri" w:cs="Calibri"/>
          <w:bCs/>
          <w:color w:val="000000" w:themeColor="text1"/>
          <w:sz w:val="24"/>
          <w:szCs w:val="24"/>
        </w:rPr>
        <w:t>以上（含</w:t>
      </w:r>
      <w:r w:rsidRPr="00777BCD">
        <w:rPr>
          <w:rFonts w:ascii="Calibri" w:hAnsi="Calibri" w:cs="Calibri"/>
          <w:bCs/>
          <w:color w:val="000000" w:themeColor="text1"/>
          <w:sz w:val="24"/>
          <w:szCs w:val="24"/>
        </w:rPr>
        <w:t>10%</w:t>
      </w:r>
      <w:r w:rsidRPr="00777BCD">
        <w:rPr>
          <w:rFonts w:ascii="Calibri" w:hAnsi="Calibri" w:cs="Calibri"/>
          <w:bCs/>
          <w:color w:val="000000" w:themeColor="text1"/>
          <w:sz w:val="24"/>
          <w:szCs w:val="24"/>
        </w:rPr>
        <w:t>）的基金份额持有人就同一事项书面要求召开基金份额持有人大会，应当向基金管理人提出书面提议。基金管理人应当自收到书面提议之日起</w:t>
      </w:r>
      <w:r w:rsidRPr="00777BCD">
        <w:rPr>
          <w:rFonts w:ascii="Calibri" w:hAnsi="Calibri" w:cs="Calibri"/>
          <w:bCs/>
          <w:color w:val="000000" w:themeColor="text1"/>
          <w:sz w:val="24"/>
          <w:szCs w:val="24"/>
        </w:rPr>
        <w:t>10</w:t>
      </w:r>
      <w:r w:rsidRPr="00777BCD">
        <w:rPr>
          <w:rFonts w:ascii="Calibri" w:hAnsi="Calibri" w:cs="Calibri"/>
          <w:bCs/>
          <w:color w:val="000000" w:themeColor="text1"/>
          <w:sz w:val="24"/>
          <w:szCs w:val="24"/>
        </w:rPr>
        <w:t>日内决定是否召集，并书面告知提出提议的基金份额持有人代表和基金托管人。基金管理人决定召集的，应当自出具书面决定之日起</w:t>
      </w:r>
      <w:r w:rsidRPr="00777BCD">
        <w:rPr>
          <w:rFonts w:ascii="Calibri" w:hAnsi="Calibri" w:cs="Calibri"/>
          <w:bCs/>
          <w:color w:val="000000" w:themeColor="text1"/>
          <w:sz w:val="24"/>
          <w:szCs w:val="24"/>
        </w:rPr>
        <w:t>60</w:t>
      </w:r>
      <w:r w:rsidRPr="00777BCD">
        <w:rPr>
          <w:rFonts w:ascii="Calibri" w:hAnsi="Calibri" w:cs="Calibri"/>
          <w:bCs/>
          <w:color w:val="000000" w:themeColor="text1"/>
          <w:sz w:val="24"/>
          <w:szCs w:val="24"/>
        </w:rPr>
        <w:t>日内召开；基金管理人决定不召集，代表基金份额</w:t>
      </w:r>
      <w:r w:rsidRPr="00777BCD">
        <w:rPr>
          <w:rFonts w:ascii="Calibri" w:hAnsi="Calibri" w:cs="Calibri"/>
          <w:bCs/>
          <w:color w:val="000000" w:themeColor="text1"/>
          <w:sz w:val="24"/>
          <w:szCs w:val="24"/>
        </w:rPr>
        <w:t>10%</w:t>
      </w:r>
      <w:r w:rsidRPr="00777BCD">
        <w:rPr>
          <w:rFonts w:ascii="Calibri" w:hAnsi="Calibri" w:cs="Calibri"/>
          <w:bCs/>
          <w:color w:val="000000" w:themeColor="text1"/>
          <w:sz w:val="24"/>
          <w:szCs w:val="24"/>
        </w:rPr>
        <w:t>以上（含</w:t>
      </w:r>
      <w:r w:rsidRPr="00777BCD">
        <w:rPr>
          <w:rFonts w:ascii="Calibri" w:hAnsi="Calibri" w:cs="Calibri"/>
          <w:bCs/>
          <w:color w:val="000000" w:themeColor="text1"/>
          <w:sz w:val="24"/>
          <w:szCs w:val="24"/>
        </w:rPr>
        <w:t>10%</w:t>
      </w:r>
      <w:r w:rsidRPr="00777BCD">
        <w:rPr>
          <w:rFonts w:ascii="Calibri" w:hAnsi="Calibri" w:cs="Calibri"/>
          <w:bCs/>
          <w:color w:val="000000" w:themeColor="text1"/>
          <w:sz w:val="24"/>
          <w:szCs w:val="24"/>
        </w:rPr>
        <w:t>）的基金份额持有人仍认为有必要召开的，应当向基金托管人提出书面提议。基金托管人应当自收到书面提议之日起</w:t>
      </w:r>
      <w:r w:rsidRPr="00777BCD">
        <w:rPr>
          <w:rFonts w:ascii="Calibri" w:hAnsi="Calibri" w:cs="Calibri"/>
          <w:bCs/>
          <w:color w:val="000000" w:themeColor="text1"/>
          <w:sz w:val="24"/>
          <w:szCs w:val="24"/>
        </w:rPr>
        <w:t>10</w:t>
      </w:r>
      <w:r w:rsidRPr="00777BCD">
        <w:rPr>
          <w:rFonts w:ascii="Calibri" w:hAnsi="Calibri" w:cs="Calibri"/>
          <w:bCs/>
          <w:color w:val="000000" w:themeColor="text1"/>
          <w:sz w:val="24"/>
          <w:szCs w:val="24"/>
        </w:rPr>
        <w:t>日内决定是否召集，并书面告知提出提议的基金份额持有人代表和基金管理人；基金托管人决定召集的，应当自出具书面决定之日起</w:t>
      </w:r>
      <w:r w:rsidRPr="00777BCD">
        <w:rPr>
          <w:rFonts w:ascii="Calibri" w:hAnsi="Calibri" w:cs="Calibri"/>
          <w:bCs/>
          <w:color w:val="000000" w:themeColor="text1"/>
          <w:sz w:val="24"/>
          <w:szCs w:val="24"/>
        </w:rPr>
        <w:t>60</w:t>
      </w:r>
      <w:r w:rsidRPr="00777BCD">
        <w:rPr>
          <w:rFonts w:ascii="Calibri" w:hAnsi="Calibri" w:cs="Calibri"/>
          <w:bCs/>
          <w:color w:val="000000" w:themeColor="text1"/>
          <w:sz w:val="24"/>
          <w:szCs w:val="24"/>
        </w:rPr>
        <w:t>日内召开并告知基金管理人，基金管理人应当配合。</w:t>
      </w:r>
    </w:p>
    <w:p w14:paraId="1CF1EA17"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5</w:t>
      </w:r>
      <w:r w:rsidRPr="00777BCD">
        <w:rPr>
          <w:rFonts w:ascii="Calibri" w:hAnsi="Calibri" w:cs="Calibri"/>
          <w:bCs/>
          <w:color w:val="000000" w:themeColor="text1"/>
          <w:sz w:val="24"/>
          <w:szCs w:val="24"/>
        </w:rPr>
        <w:t>、代表基金份额</w:t>
      </w:r>
      <w:r w:rsidRPr="00777BCD">
        <w:rPr>
          <w:rFonts w:ascii="Calibri" w:hAnsi="Calibri" w:cs="Calibri"/>
          <w:bCs/>
          <w:color w:val="000000" w:themeColor="text1"/>
          <w:sz w:val="24"/>
          <w:szCs w:val="24"/>
        </w:rPr>
        <w:t>10%</w:t>
      </w:r>
      <w:r w:rsidRPr="00777BCD">
        <w:rPr>
          <w:rFonts w:ascii="Calibri" w:hAnsi="Calibri" w:cs="Calibri"/>
          <w:bCs/>
          <w:color w:val="000000" w:themeColor="text1"/>
          <w:sz w:val="24"/>
          <w:szCs w:val="24"/>
        </w:rPr>
        <w:t>以上（含</w:t>
      </w:r>
      <w:r w:rsidRPr="00777BCD">
        <w:rPr>
          <w:rFonts w:ascii="Calibri" w:hAnsi="Calibri" w:cs="Calibri"/>
          <w:bCs/>
          <w:color w:val="000000" w:themeColor="text1"/>
          <w:sz w:val="24"/>
          <w:szCs w:val="24"/>
        </w:rPr>
        <w:t>10%</w:t>
      </w:r>
      <w:r w:rsidRPr="00777BCD">
        <w:rPr>
          <w:rFonts w:ascii="Calibri" w:hAnsi="Calibri" w:cs="Calibri"/>
          <w:bCs/>
          <w:color w:val="000000" w:themeColor="text1"/>
          <w:sz w:val="24"/>
          <w:szCs w:val="24"/>
        </w:rPr>
        <w:t>）的基金份额持有人就同一事项要求召开基金份额持有人大会，而基金管理人、基金托管人都不召集的，单独或合计</w:t>
      </w:r>
      <w:r w:rsidRPr="00777BCD">
        <w:rPr>
          <w:rFonts w:ascii="Calibri" w:hAnsi="Calibri" w:cs="Calibri"/>
          <w:bCs/>
          <w:color w:val="000000" w:themeColor="text1"/>
          <w:sz w:val="24"/>
          <w:szCs w:val="24"/>
        </w:rPr>
        <w:lastRenderedPageBreak/>
        <w:t>代表基金份额</w:t>
      </w:r>
      <w:r w:rsidRPr="00777BCD">
        <w:rPr>
          <w:rFonts w:ascii="Calibri" w:hAnsi="Calibri" w:cs="Calibri"/>
          <w:bCs/>
          <w:color w:val="000000" w:themeColor="text1"/>
          <w:sz w:val="24"/>
          <w:szCs w:val="24"/>
        </w:rPr>
        <w:t>10%</w:t>
      </w:r>
      <w:r w:rsidRPr="00777BCD">
        <w:rPr>
          <w:rFonts w:ascii="Calibri" w:hAnsi="Calibri" w:cs="Calibri"/>
          <w:bCs/>
          <w:color w:val="000000" w:themeColor="text1"/>
          <w:sz w:val="24"/>
          <w:szCs w:val="24"/>
        </w:rPr>
        <w:t>以上（含</w:t>
      </w:r>
      <w:r w:rsidRPr="00777BCD">
        <w:rPr>
          <w:rFonts w:ascii="Calibri" w:hAnsi="Calibri" w:cs="Calibri"/>
          <w:bCs/>
          <w:color w:val="000000" w:themeColor="text1"/>
          <w:sz w:val="24"/>
          <w:szCs w:val="24"/>
        </w:rPr>
        <w:t>10%</w:t>
      </w:r>
      <w:r w:rsidRPr="00777BCD">
        <w:rPr>
          <w:rFonts w:ascii="Calibri" w:hAnsi="Calibri" w:cs="Calibri"/>
          <w:bCs/>
          <w:color w:val="000000" w:themeColor="text1"/>
          <w:sz w:val="24"/>
          <w:szCs w:val="24"/>
        </w:rPr>
        <w:t>）的基金份额持有人有权自行召集，并至少提前</w:t>
      </w:r>
      <w:r w:rsidRPr="00777BCD">
        <w:rPr>
          <w:rFonts w:ascii="Calibri" w:hAnsi="Calibri" w:cs="Calibri"/>
          <w:bCs/>
          <w:color w:val="000000" w:themeColor="text1"/>
          <w:sz w:val="24"/>
          <w:szCs w:val="24"/>
        </w:rPr>
        <w:t>30</w:t>
      </w:r>
      <w:r w:rsidRPr="00777BCD">
        <w:rPr>
          <w:rFonts w:ascii="Calibri" w:hAnsi="Calibri" w:cs="Calibri"/>
          <w:bCs/>
          <w:color w:val="000000" w:themeColor="text1"/>
          <w:sz w:val="24"/>
          <w:szCs w:val="24"/>
        </w:rPr>
        <w:t>日报中国证监会备案。基金份额持有人依法自行召集基金份额持有人大会的，基金管理人、基金托管人应当配合，不得阻碍、干扰。</w:t>
      </w:r>
    </w:p>
    <w:p w14:paraId="07AE3F70"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6</w:t>
      </w:r>
      <w:r w:rsidRPr="00777BCD">
        <w:rPr>
          <w:rFonts w:ascii="Calibri" w:hAnsi="Calibri" w:cs="Calibri"/>
          <w:bCs/>
          <w:color w:val="000000" w:themeColor="text1"/>
          <w:sz w:val="24"/>
          <w:szCs w:val="24"/>
        </w:rPr>
        <w:t>、基金份额持有人会议的召集人负责选择确定开会时间、地点、方式和权益登记日。</w:t>
      </w:r>
    </w:p>
    <w:p w14:paraId="42C46AD1"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（三）召开基金份额持有人大会的通知时间、通知内容、通知方式</w:t>
      </w:r>
    </w:p>
    <w:p w14:paraId="04429BD3"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1</w:t>
      </w:r>
      <w:r w:rsidRPr="00777BCD">
        <w:rPr>
          <w:rFonts w:ascii="Calibri" w:hAnsi="Calibri" w:cs="Calibri"/>
          <w:bCs/>
          <w:color w:val="000000" w:themeColor="text1"/>
          <w:sz w:val="24"/>
          <w:szCs w:val="24"/>
        </w:rPr>
        <w:t>、召开基金份额持有人大会，召集人应于会议召开前</w:t>
      </w:r>
      <w:r w:rsidRPr="00777BCD">
        <w:rPr>
          <w:rFonts w:ascii="Calibri" w:hAnsi="Calibri" w:cs="Calibri"/>
          <w:bCs/>
          <w:color w:val="000000" w:themeColor="text1"/>
          <w:sz w:val="24"/>
          <w:szCs w:val="24"/>
        </w:rPr>
        <w:t>30</w:t>
      </w:r>
      <w:r w:rsidRPr="00777BCD">
        <w:rPr>
          <w:rFonts w:ascii="Calibri" w:hAnsi="Calibri" w:cs="Calibri"/>
          <w:bCs/>
          <w:color w:val="000000" w:themeColor="text1"/>
          <w:sz w:val="24"/>
          <w:szCs w:val="24"/>
        </w:rPr>
        <w:t>日，在规定媒介公告。基金份额持有人大会通知应至少载明以下内容：</w:t>
      </w:r>
    </w:p>
    <w:p w14:paraId="0A6098D1"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w:t>
      </w:r>
      <w:r w:rsidRPr="00777BCD">
        <w:rPr>
          <w:rFonts w:ascii="Calibri" w:hAnsi="Calibri" w:cs="Calibri"/>
          <w:bCs/>
          <w:color w:val="000000" w:themeColor="text1"/>
          <w:sz w:val="24"/>
          <w:szCs w:val="24"/>
        </w:rPr>
        <w:t>）会议召开的时间、地点和会议形式；</w:t>
      </w:r>
    </w:p>
    <w:p w14:paraId="36D32F04"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）会议</w:t>
      </w:r>
      <w:proofErr w:type="gramStart"/>
      <w:r w:rsidRPr="00777BCD">
        <w:rPr>
          <w:rFonts w:ascii="Calibri" w:hAnsi="Calibri" w:cs="Calibri"/>
          <w:bCs/>
          <w:color w:val="000000" w:themeColor="text1"/>
          <w:sz w:val="24"/>
          <w:szCs w:val="24"/>
        </w:rPr>
        <w:t>拟审议</w:t>
      </w:r>
      <w:proofErr w:type="gramEnd"/>
      <w:r w:rsidRPr="00777BCD">
        <w:rPr>
          <w:rFonts w:ascii="Calibri" w:hAnsi="Calibri" w:cs="Calibri"/>
          <w:bCs/>
          <w:color w:val="000000" w:themeColor="text1"/>
          <w:sz w:val="24"/>
          <w:szCs w:val="24"/>
        </w:rPr>
        <w:t>的事项、议事程序和表决方式；</w:t>
      </w:r>
    </w:p>
    <w:p w14:paraId="5EBF82EB"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3</w:t>
      </w:r>
      <w:r w:rsidRPr="00777BCD">
        <w:rPr>
          <w:rFonts w:ascii="Calibri" w:hAnsi="Calibri" w:cs="Calibri"/>
          <w:bCs/>
          <w:color w:val="000000" w:themeColor="text1"/>
          <w:sz w:val="24"/>
          <w:szCs w:val="24"/>
        </w:rPr>
        <w:t>）有权出席基金份额持有人大会的基金份额持有人的权益登记日；</w:t>
      </w:r>
    </w:p>
    <w:p w14:paraId="740E62BC"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4</w:t>
      </w:r>
      <w:r w:rsidRPr="00777BCD">
        <w:rPr>
          <w:rFonts w:ascii="Calibri" w:hAnsi="Calibri" w:cs="Calibri"/>
          <w:bCs/>
          <w:color w:val="000000" w:themeColor="text1"/>
          <w:sz w:val="24"/>
          <w:szCs w:val="24"/>
        </w:rPr>
        <w:t>）授权委托证明的内容要求（包括但不限于代理人身份，代理权限和代理有效期限等）、送达时间和地点；</w:t>
      </w:r>
    </w:p>
    <w:p w14:paraId="66EEBFAE"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5</w:t>
      </w:r>
      <w:r w:rsidRPr="00777BCD">
        <w:rPr>
          <w:rFonts w:ascii="Calibri" w:hAnsi="Calibri" w:cs="Calibri"/>
          <w:bCs/>
          <w:color w:val="000000" w:themeColor="text1"/>
          <w:sz w:val="24"/>
          <w:szCs w:val="24"/>
        </w:rPr>
        <w:t>）会务常设联系人姓名及联系电话；</w:t>
      </w:r>
    </w:p>
    <w:p w14:paraId="703C59F0"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6</w:t>
      </w:r>
      <w:r w:rsidRPr="00777BCD">
        <w:rPr>
          <w:rFonts w:ascii="Calibri" w:hAnsi="Calibri" w:cs="Calibri"/>
          <w:bCs/>
          <w:color w:val="000000" w:themeColor="text1"/>
          <w:sz w:val="24"/>
          <w:szCs w:val="24"/>
        </w:rPr>
        <w:t>）出席会议者必须准备的文件和必须履行的手续；</w:t>
      </w:r>
    </w:p>
    <w:p w14:paraId="56534353"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7</w:t>
      </w:r>
      <w:r w:rsidRPr="00777BCD">
        <w:rPr>
          <w:rFonts w:ascii="Calibri" w:hAnsi="Calibri" w:cs="Calibri"/>
          <w:bCs/>
          <w:color w:val="000000" w:themeColor="text1"/>
          <w:sz w:val="24"/>
          <w:szCs w:val="24"/>
        </w:rPr>
        <w:t>）召集人需要通知的其他事项。</w:t>
      </w:r>
    </w:p>
    <w:p w14:paraId="534A99CC"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、采取通讯开会方式并进行表决的情况下，由会议召集人决定在会议通知中说明本次基金份额持有人大会所采取的具体通讯方式、委托的公证机关及其联系方式和联系人、表决意见寄交的截止时间和收取方式。</w:t>
      </w:r>
    </w:p>
    <w:p w14:paraId="6FFB0E5C"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3</w:t>
      </w:r>
      <w:r w:rsidRPr="00777BCD">
        <w:rPr>
          <w:rFonts w:ascii="Calibri" w:hAnsi="Calibri" w:cs="Calibri"/>
          <w:bCs/>
          <w:color w:val="000000" w:themeColor="text1"/>
          <w:sz w:val="24"/>
          <w:szCs w:val="24"/>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w:t>
      </w:r>
      <w:proofErr w:type="gramStart"/>
      <w:r w:rsidRPr="00777BCD">
        <w:rPr>
          <w:rFonts w:ascii="Calibri" w:hAnsi="Calibri" w:cs="Calibri"/>
          <w:bCs/>
          <w:color w:val="000000" w:themeColor="text1"/>
          <w:sz w:val="24"/>
          <w:szCs w:val="24"/>
        </w:rPr>
        <w:t>拒不派</w:t>
      </w:r>
      <w:proofErr w:type="gramEnd"/>
      <w:r w:rsidRPr="00777BCD">
        <w:rPr>
          <w:rFonts w:ascii="Calibri" w:hAnsi="Calibri" w:cs="Calibri"/>
          <w:bCs/>
          <w:color w:val="000000" w:themeColor="text1"/>
          <w:sz w:val="24"/>
          <w:szCs w:val="24"/>
        </w:rPr>
        <w:t>代表对表决意见的计票进行监督的，不影响表决意见的计票效力。</w:t>
      </w:r>
    </w:p>
    <w:p w14:paraId="0D62C4CE"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（四）基金份额持有人出席会议的方式</w:t>
      </w:r>
    </w:p>
    <w:p w14:paraId="2124BD2C"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基金份额持有人大会可通过现场开会方式、通讯开会方式或法律法规、监管机构允许的其他方式召开，会议的召开方式由会议召集人确定。</w:t>
      </w:r>
    </w:p>
    <w:p w14:paraId="197A0C84"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lastRenderedPageBreak/>
        <w:t>1</w:t>
      </w:r>
      <w:r w:rsidRPr="00777BCD">
        <w:rPr>
          <w:rFonts w:ascii="Calibri" w:hAnsi="Calibri" w:cs="Calibri"/>
          <w:bCs/>
          <w:color w:val="000000" w:themeColor="text1"/>
          <w:sz w:val="24"/>
          <w:szCs w:val="24"/>
        </w:rPr>
        <w:t>、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会同时符合以下条件时，可以进行基金份额持有人大会议程：</w:t>
      </w:r>
    </w:p>
    <w:p w14:paraId="7A3EDB06"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w:t>
      </w:r>
      <w:r w:rsidRPr="00777BCD">
        <w:rPr>
          <w:rFonts w:ascii="Calibri" w:hAnsi="Calibri" w:cs="Calibri"/>
          <w:bCs/>
          <w:color w:val="000000" w:themeColor="text1"/>
          <w:sz w:val="24"/>
          <w:szCs w:val="24"/>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14:paraId="5865626D"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经核对，汇总到会者出示的在权益登记日持有基金份额的凭证显示，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w:t>
      </w:r>
      <w:r w:rsidRPr="00777BCD">
        <w:rPr>
          <w:rFonts w:ascii="Calibri" w:hAnsi="Calibri" w:cs="Calibri"/>
          <w:bCs/>
          <w:color w:val="000000" w:themeColor="text1"/>
          <w:sz w:val="24"/>
          <w:szCs w:val="24"/>
        </w:rPr>
        <w:t>3</w:t>
      </w:r>
      <w:r w:rsidRPr="00777BCD">
        <w:rPr>
          <w:rFonts w:ascii="Calibri" w:hAnsi="Calibri" w:cs="Calibri"/>
          <w:bCs/>
          <w:color w:val="000000" w:themeColor="text1"/>
          <w:sz w:val="24"/>
          <w:szCs w:val="24"/>
        </w:rPr>
        <w:t>个月以后、</w:t>
      </w:r>
      <w:r w:rsidRPr="00777BCD">
        <w:rPr>
          <w:rFonts w:ascii="Calibri" w:hAnsi="Calibri" w:cs="Calibri"/>
          <w:bCs/>
          <w:color w:val="000000" w:themeColor="text1"/>
          <w:sz w:val="24"/>
          <w:szCs w:val="24"/>
        </w:rPr>
        <w:t>6</w:t>
      </w:r>
      <w:r w:rsidRPr="00777BCD">
        <w:rPr>
          <w:rFonts w:ascii="Calibri" w:hAnsi="Calibri" w:cs="Calibri"/>
          <w:bCs/>
          <w:color w:val="000000" w:themeColor="text1"/>
          <w:sz w:val="24"/>
          <w:szCs w:val="24"/>
        </w:rPr>
        <w:t>个月以内，就原定审议事项重新召集基金份额持有人大会。重新召集的基金份额持有人大会到会者在权益登记日代表的有效的基金份额应不少于本基金在权益登记日基金总份额的三分之一（含三分之一）。</w:t>
      </w:r>
    </w:p>
    <w:p w14:paraId="447DC325" w14:textId="7FDB9DF9"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、通讯开会。通讯开会系指基金份额持有人将其对表决事项的投票以书面形式或</w:t>
      </w:r>
      <w:r w:rsidRPr="00777BCD">
        <w:rPr>
          <w:rFonts w:ascii="Calibri" w:hAnsi="Calibri" w:cs="Calibri"/>
          <w:color w:val="000000" w:themeColor="text1"/>
          <w:sz w:val="24"/>
          <w:szCs w:val="24"/>
        </w:rPr>
        <w:t>会议通知载明的其他形式</w:t>
      </w:r>
      <w:r w:rsidRPr="00777BCD">
        <w:rPr>
          <w:rFonts w:ascii="Calibri" w:hAnsi="Calibri" w:cs="Calibri"/>
          <w:bCs/>
          <w:color w:val="000000" w:themeColor="text1"/>
          <w:sz w:val="24"/>
          <w:szCs w:val="24"/>
        </w:rPr>
        <w:t>在表决截止日以前送达至召集人指定的地址</w:t>
      </w:r>
      <w:r w:rsidR="003465FF" w:rsidRPr="00777BCD">
        <w:rPr>
          <w:rFonts w:ascii="Calibri" w:hAnsi="Calibri" w:cs="Calibri"/>
          <w:bCs/>
          <w:color w:val="000000" w:themeColor="text1"/>
          <w:sz w:val="24"/>
          <w:szCs w:val="24"/>
        </w:rPr>
        <w:t>或系统</w:t>
      </w:r>
      <w:r w:rsidRPr="00777BCD">
        <w:rPr>
          <w:rFonts w:ascii="Calibri" w:hAnsi="Calibri" w:cs="Calibri"/>
          <w:bCs/>
          <w:color w:val="000000" w:themeColor="text1"/>
          <w:sz w:val="24"/>
          <w:szCs w:val="24"/>
        </w:rPr>
        <w:t>。通讯开会应以书面方式或会议通知载明的其他形式进行表决。</w:t>
      </w:r>
    </w:p>
    <w:p w14:paraId="27B42A39"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在同时符合以下条件时，通讯开会的方式视为有效：</w:t>
      </w:r>
    </w:p>
    <w:p w14:paraId="45C4A6FF"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w:t>
      </w:r>
      <w:r w:rsidRPr="00777BCD">
        <w:rPr>
          <w:rFonts w:ascii="Calibri" w:hAnsi="Calibri" w:cs="Calibri"/>
          <w:bCs/>
          <w:color w:val="000000" w:themeColor="text1"/>
          <w:sz w:val="24"/>
          <w:szCs w:val="24"/>
        </w:rPr>
        <w:t>）会议召集人按《基金合同》约定公布会议通知后，在</w:t>
      </w: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个工作日内连续公布相关提示性公告；</w:t>
      </w:r>
    </w:p>
    <w:p w14:paraId="244759C2"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召集人按基金合同约定通知基金托管人（如果基金托管人为召集人，则为基金管理人）到指定地点对表决意见的计票进行监督。会议召集人在基金托管人（如果基金托管人为召集人，则为基金管理人）和公证机关的监督下按照会议通知规定的方式收取基金份额持有人的表决意见；基金托管人或基金管理人经通知不参加收取表决意见的，不影响表决效力；</w:t>
      </w:r>
    </w:p>
    <w:p w14:paraId="604B2823" w14:textId="3422EE6F" w:rsidR="007149DF" w:rsidRPr="00777BCD" w:rsidRDefault="00284640">
      <w:pPr>
        <w:ind w:firstLine="54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3</w:t>
      </w:r>
      <w:r w:rsidRPr="00777BCD">
        <w:rPr>
          <w:rFonts w:ascii="Calibri" w:hAnsi="Calibri" w:cs="Calibri"/>
          <w:bCs/>
          <w:color w:val="000000" w:themeColor="text1"/>
          <w:sz w:val="24"/>
          <w:szCs w:val="24"/>
        </w:rPr>
        <w:t>）本人直接出具表决意见或授权他人代表出具表决意见的，基金份额持有人所持有的基金份额不小于在权益登记日基金总份额的二分之一（含二分之一）；若本人直接出具表决意见或授权他人代表出具表决意见</w:t>
      </w:r>
      <w:r w:rsidR="003465FF">
        <w:rPr>
          <w:rFonts w:ascii="Calibri" w:hAnsi="Calibri" w:cs="Calibri" w:hint="eastAsia"/>
          <w:bCs/>
          <w:color w:val="000000" w:themeColor="text1"/>
          <w:sz w:val="24"/>
          <w:szCs w:val="24"/>
        </w:rPr>
        <w:t>的</w:t>
      </w:r>
      <w:r w:rsidRPr="00777BCD">
        <w:rPr>
          <w:rFonts w:ascii="Calibri" w:hAnsi="Calibri" w:cs="Calibri"/>
          <w:bCs/>
          <w:color w:val="000000" w:themeColor="text1"/>
          <w:sz w:val="24"/>
          <w:szCs w:val="24"/>
        </w:rPr>
        <w:t>基金份额持</w:t>
      </w:r>
      <w:r w:rsidRPr="00777BCD">
        <w:rPr>
          <w:rFonts w:ascii="Calibri" w:hAnsi="Calibri" w:cs="Calibri"/>
          <w:bCs/>
          <w:color w:val="000000" w:themeColor="text1"/>
          <w:sz w:val="24"/>
          <w:szCs w:val="24"/>
        </w:rPr>
        <w:lastRenderedPageBreak/>
        <w:t>有人所持有的基金份额小于在权益登记日基金总份额的二分之一，召集人可以在原公告的基金份额持有人大会召开时间的</w:t>
      </w:r>
      <w:r w:rsidRPr="00777BCD">
        <w:rPr>
          <w:rFonts w:ascii="Calibri" w:hAnsi="Calibri" w:cs="Calibri"/>
          <w:bCs/>
          <w:color w:val="000000" w:themeColor="text1"/>
          <w:sz w:val="24"/>
          <w:szCs w:val="24"/>
        </w:rPr>
        <w:t>3</w:t>
      </w:r>
      <w:r w:rsidRPr="00777BCD">
        <w:rPr>
          <w:rFonts w:ascii="Calibri" w:hAnsi="Calibri" w:cs="Calibri"/>
          <w:bCs/>
          <w:color w:val="000000" w:themeColor="text1"/>
          <w:sz w:val="24"/>
          <w:szCs w:val="24"/>
        </w:rPr>
        <w:t>个月以后、</w:t>
      </w:r>
      <w:r w:rsidRPr="00777BCD">
        <w:rPr>
          <w:rFonts w:ascii="Calibri" w:hAnsi="Calibri" w:cs="Calibri"/>
          <w:bCs/>
          <w:color w:val="000000" w:themeColor="text1"/>
          <w:sz w:val="24"/>
          <w:szCs w:val="24"/>
        </w:rPr>
        <w:t>6</w:t>
      </w:r>
      <w:r w:rsidRPr="00777BCD">
        <w:rPr>
          <w:rFonts w:ascii="Calibri" w:hAnsi="Calibri" w:cs="Calibri"/>
          <w:bCs/>
          <w:color w:val="000000" w:themeColor="text1"/>
          <w:sz w:val="24"/>
          <w:szCs w:val="24"/>
        </w:rPr>
        <w:t>个月以内，就原定审议事项重新召集基金份额持有人大会。重新召集的基金份额持有人大会应当有代表三分之一以上（含三分之一）基金份额的持有人直接出具表决意见或授权他人代表出具表决意见；</w:t>
      </w:r>
    </w:p>
    <w:p w14:paraId="3E4FBD8D"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4</w:t>
      </w:r>
      <w:r w:rsidRPr="00777BCD">
        <w:rPr>
          <w:rFonts w:ascii="Calibri" w:hAnsi="Calibri" w:cs="Calibri"/>
          <w:bCs/>
          <w:color w:val="000000" w:themeColor="text1"/>
          <w:sz w:val="24"/>
          <w:szCs w:val="24"/>
        </w:rPr>
        <w:t>）上述第（</w:t>
      </w:r>
      <w:r w:rsidRPr="00777BCD">
        <w:rPr>
          <w:rFonts w:ascii="Calibri" w:hAnsi="Calibri" w:cs="Calibri"/>
          <w:bCs/>
          <w:color w:val="000000" w:themeColor="text1"/>
          <w:sz w:val="24"/>
          <w:szCs w:val="24"/>
        </w:rPr>
        <w:t>3</w:t>
      </w:r>
      <w:r w:rsidRPr="00777BCD">
        <w:rPr>
          <w:rFonts w:ascii="Calibri" w:hAnsi="Calibri" w:cs="Calibri"/>
          <w:bCs/>
          <w:color w:val="000000" w:themeColor="text1"/>
          <w:sz w:val="24"/>
          <w:szCs w:val="24"/>
        </w:rPr>
        <w:t>）项中直接出具表决意见的基金份额持有人或受托代表他人出具表决意见的代理人，同时提交的持有基金份额的凭证、受托出具表决意见的代理人出具的委托人持有基金份额的凭证及委托人的代理投票授权委托证明符合法律法规、《基金合同》和会议通知的规定，并与基金登记机构记录相符。</w:t>
      </w:r>
    </w:p>
    <w:p w14:paraId="1427A736"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3</w:t>
      </w:r>
      <w:r w:rsidRPr="00777BCD">
        <w:rPr>
          <w:rFonts w:ascii="Calibri" w:hAnsi="Calibri" w:cs="Calibri"/>
          <w:bCs/>
          <w:color w:val="000000" w:themeColor="text1"/>
          <w:sz w:val="24"/>
          <w:szCs w:val="24"/>
        </w:rPr>
        <w:t>、在法律法规或监管机构允许的情况下，</w:t>
      </w:r>
      <w:r w:rsidRPr="00777BCD">
        <w:rPr>
          <w:rFonts w:ascii="Calibri" w:hAnsi="Calibri" w:cs="Calibri"/>
          <w:bCs/>
          <w:color w:val="000000" w:themeColor="text1"/>
          <w:sz w:val="24"/>
        </w:rPr>
        <w:t>本基金的基金份额持有人亦可采用其他书面或非书面方式授权其代理人出席基金份额持有人大会并行使表决权，具体方式在会议通知中列明</w:t>
      </w:r>
      <w:r w:rsidRPr="00777BCD">
        <w:rPr>
          <w:rFonts w:ascii="Calibri" w:hAnsi="Calibri" w:cs="Calibri"/>
          <w:bCs/>
          <w:color w:val="000000" w:themeColor="text1"/>
          <w:sz w:val="24"/>
          <w:szCs w:val="24"/>
        </w:rPr>
        <w:t>。</w:t>
      </w:r>
    </w:p>
    <w:p w14:paraId="5046860D"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4</w:t>
      </w:r>
      <w:r w:rsidRPr="00777BCD">
        <w:rPr>
          <w:rFonts w:ascii="Calibri" w:hAnsi="Calibri" w:cs="Calibri"/>
          <w:bCs/>
          <w:color w:val="000000" w:themeColor="text1"/>
          <w:sz w:val="24"/>
          <w:szCs w:val="24"/>
        </w:rPr>
        <w:t>、在法律法规和监管机关允许的情况下，本基金亦可采用其他非现场方式或者以非现场方式与现场方式相结合的方式召开基金份额持有人大会，会议程序比照现场开会和通讯方式开会的程序进行。</w:t>
      </w:r>
      <w:r w:rsidRPr="00777BCD">
        <w:rPr>
          <w:rFonts w:ascii="Calibri" w:hAnsi="Calibri" w:cs="Calibri"/>
          <w:bCs/>
          <w:color w:val="000000" w:themeColor="text1"/>
          <w:sz w:val="24"/>
        </w:rPr>
        <w:t>基金份额持有人可以采用书面、网络、电话、短信或其他方式进行表决，具体方式由会议召集人确定并在会议通知中列明。</w:t>
      </w:r>
    </w:p>
    <w:p w14:paraId="3C918CD8"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（五）议事内容与程序</w:t>
      </w:r>
    </w:p>
    <w:p w14:paraId="36D5186E"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1</w:t>
      </w:r>
      <w:r w:rsidRPr="00777BCD">
        <w:rPr>
          <w:rFonts w:ascii="Calibri" w:hAnsi="Calibri" w:cs="Calibri"/>
          <w:bCs/>
          <w:color w:val="000000" w:themeColor="text1"/>
          <w:sz w:val="24"/>
          <w:szCs w:val="24"/>
        </w:rPr>
        <w:t>、议事内容及提案权</w:t>
      </w:r>
    </w:p>
    <w:p w14:paraId="28170543"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163191E4"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基金份额持有人大会的召集人发出召集会议的通知后，对原有提案的修改应当在基金份额持有人大会召开前及时公告。</w:t>
      </w:r>
    </w:p>
    <w:p w14:paraId="06B6944D"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基金份额持有人大会不得对未事先公告的议事内容进行表决。</w:t>
      </w:r>
    </w:p>
    <w:p w14:paraId="2563F17E"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、议事程序</w:t>
      </w:r>
    </w:p>
    <w:p w14:paraId="06342600"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w:t>
      </w:r>
      <w:r w:rsidRPr="00777BCD">
        <w:rPr>
          <w:rFonts w:ascii="Calibri" w:hAnsi="Calibri" w:cs="Calibri"/>
          <w:bCs/>
          <w:color w:val="000000" w:themeColor="text1"/>
          <w:sz w:val="24"/>
          <w:szCs w:val="24"/>
        </w:rPr>
        <w:t>）现场开会</w:t>
      </w:r>
    </w:p>
    <w:p w14:paraId="19A27C75"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lastRenderedPageBreak/>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二分之一以上（含二分之一）选举产生一名基金份额持有人作为该次基金份额持有人大会的主持人。基金管理人和基金托管人拒不出席或主持基金份额持有人大会，不影响基金份额持有人大会</w:t>
      </w:r>
      <w:proofErr w:type="gramStart"/>
      <w:r w:rsidRPr="00777BCD">
        <w:rPr>
          <w:rFonts w:ascii="Calibri" w:hAnsi="Calibri" w:cs="Calibri"/>
          <w:bCs/>
          <w:color w:val="000000" w:themeColor="text1"/>
          <w:sz w:val="24"/>
          <w:szCs w:val="24"/>
        </w:rPr>
        <w:t>作出</w:t>
      </w:r>
      <w:proofErr w:type="gramEnd"/>
      <w:r w:rsidRPr="00777BCD">
        <w:rPr>
          <w:rFonts w:ascii="Calibri" w:hAnsi="Calibri" w:cs="Calibri"/>
          <w:bCs/>
          <w:color w:val="000000" w:themeColor="text1"/>
          <w:sz w:val="24"/>
          <w:szCs w:val="24"/>
        </w:rPr>
        <w:t>的决议的效力。</w:t>
      </w:r>
    </w:p>
    <w:p w14:paraId="098D5FA9"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会议召集人应当制作出席会议人员的签名册。签名</w:t>
      </w:r>
      <w:proofErr w:type="gramStart"/>
      <w:r w:rsidRPr="00777BCD">
        <w:rPr>
          <w:rFonts w:ascii="Calibri" w:hAnsi="Calibri" w:cs="Calibri"/>
          <w:bCs/>
          <w:color w:val="000000" w:themeColor="text1"/>
          <w:sz w:val="24"/>
          <w:szCs w:val="24"/>
        </w:rPr>
        <w:t>册</w:t>
      </w:r>
      <w:proofErr w:type="gramEnd"/>
      <w:r w:rsidRPr="00777BCD">
        <w:rPr>
          <w:rFonts w:ascii="Calibri" w:hAnsi="Calibri" w:cs="Calibri"/>
          <w:bCs/>
          <w:color w:val="000000" w:themeColor="text1"/>
          <w:sz w:val="24"/>
          <w:szCs w:val="24"/>
        </w:rPr>
        <w:t>载明参加会议人员姓名（或单位名称）、身份证明文件号码、持有或代表有表决权的基金份额、委托人姓名（或单位名称）和联系方式等事项。</w:t>
      </w:r>
    </w:p>
    <w:p w14:paraId="0F9B90FE"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）通讯开会</w:t>
      </w:r>
    </w:p>
    <w:p w14:paraId="5E161565"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在通讯开会的情况下，首先由召集人提前</w:t>
      </w:r>
      <w:r w:rsidRPr="00777BCD">
        <w:rPr>
          <w:rFonts w:ascii="Calibri" w:hAnsi="Calibri" w:cs="Calibri"/>
          <w:bCs/>
          <w:color w:val="000000" w:themeColor="text1"/>
          <w:sz w:val="24"/>
          <w:szCs w:val="24"/>
        </w:rPr>
        <w:t>30</w:t>
      </w:r>
      <w:r w:rsidRPr="00777BCD">
        <w:rPr>
          <w:rFonts w:ascii="Calibri" w:hAnsi="Calibri" w:cs="Calibri"/>
          <w:bCs/>
          <w:color w:val="000000" w:themeColor="text1"/>
          <w:sz w:val="24"/>
          <w:szCs w:val="24"/>
        </w:rPr>
        <w:t>日公布提案，在所通知的表决截止日期后</w:t>
      </w: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个工作日内在公证机关监督下由召集人统计全部有效表决，在公证机关监督下形成决议。</w:t>
      </w:r>
    </w:p>
    <w:p w14:paraId="103FBB94"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（六）表决</w:t>
      </w:r>
    </w:p>
    <w:p w14:paraId="780BE837"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基金份额持有人所持每份基金份额有一票表决权。</w:t>
      </w:r>
    </w:p>
    <w:p w14:paraId="7BD882CF"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基金份额持有人大会决议分为一般决议和特别决议：</w:t>
      </w:r>
    </w:p>
    <w:p w14:paraId="3C1F30B7"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1</w:t>
      </w:r>
      <w:r w:rsidRPr="00777BCD">
        <w:rPr>
          <w:rFonts w:ascii="Calibri" w:hAnsi="Calibri" w:cs="Calibri"/>
          <w:bCs/>
          <w:color w:val="000000" w:themeColor="text1"/>
          <w:sz w:val="24"/>
          <w:szCs w:val="24"/>
        </w:rPr>
        <w:t>、一般决议，一般决议须经参加大会的基金份额持有人或其代理人所持表决权的二分之一以上（含二分之一）通过方为有效；除下列第</w:t>
      </w: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项所规定的须以特别决议通过事项以外的其他事项均以一般决议的方式通过。</w:t>
      </w:r>
    </w:p>
    <w:p w14:paraId="139CBD84"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特别决议，特别决议应当经参加大会的基金份额持有人或其代理人所持表决权的三分之二以上（含三分之二）通过方可做出。除法律法规、中国证监会或《基金合同》另有规定外，转换基金运作方式、更换基金管理人或者基金托管人、终止《基金合同》、本基金与其他基金合并以特别决议通过方为有效。</w:t>
      </w:r>
    </w:p>
    <w:p w14:paraId="7F1F2D0B"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基金份额持有人大会采取记名方式进行投票表决。</w:t>
      </w:r>
    </w:p>
    <w:p w14:paraId="6A0FF2C2"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lastRenderedPageBreak/>
        <w:t>采取通讯方式进行表决时，除非在计票时有充分的相反证据证明，否则提交符合会议通知中规定的确认投资者身份文件的表决视为有效出席的投资者，表面符合会议通知规定的表决意见视为有效表决，表决意见模糊不清或相互矛盾的视为弃权表决，但应当计入出具表决意见的基金份额持有人所代表的基金份额总数。</w:t>
      </w:r>
    </w:p>
    <w:p w14:paraId="00E0EEBF"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基金份额持有人大会的各项提案或同一项提案内并列的各项议题应当分开审议、逐项表决。</w:t>
      </w:r>
    </w:p>
    <w:p w14:paraId="5033C8F0"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在符合上述规则的前提下，具体规则以召集人发布的基金份额持有人大会通知为准。</w:t>
      </w:r>
    </w:p>
    <w:p w14:paraId="6DB077D4"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（七）计票</w:t>
      </w:r>
    </w:p>
    <w:p w14:paraId="25F1E0C0"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1</w:t>
      </w:r>
      <w:r w:rsidRPr="00777BCD">
        <w:rPr>
          <w:rFonts w:ascii="Calibri" w:hAnsi="Calibri" w:cs="Calibri"/>
          <w:bCs/>
          <w:color w:val="000000" w:themeColor="text1"/>
          <w:sz w:val="24"/>
          <w:szCs w:val="24"/>
        </w:rPr>
        <w:t>、现场开会</w:t>
      </w:r>
    </w:p>
    <w:p w14:paraId="4B47EC68"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1</w:t>
      </w:r>
      <w:r w:rsidRPr="00777BCD">
        <w:rPr>
          <w:rFonts w:ascii="Calibri" w:hAnsi="Calibri" w:cs="Calibri"/>
          <w:bCs/>
          <w:color w:val="000000" w:themeColor="text1"/>
          <w:sz w:val="24"/>
          <w:szCs w:val="24"/>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w:t>
      </w:r>
      <w:proofErr w:type="gramStart"/>
      <w:r w:rsidRPr="00777BCD">
        <w:rPr>
          <w:rFonts w:ascii="Calibri" w:hAnsi="Calibri" w:cs="Calibri"/>
          <w:bCs/>
          <w:color w:val="000000" w:themeColor="text1"/>
          <w:sz w:val="24"/>
          <w:szCs w:val="24"/>
        </w:rPr>
        <w:t>或大会</w:t>
      </w:r>
      <w:proofErr w:type="gramEnd"/>
      <w:r w:rsidRPr="00777BCD">
        <w:rPr>
          <w:rFonts w:ascii="Calibri" w:hAnsi="Calibri" w:cs="Calibri"/>
          <w:bCs/>
          <w:color w:val="000000" w:themeColor="text1"/>
          <w:sz w:val="24"/>
          <w:szCs w:val="24"/>
        </w:rPr>
        <w:t>虽然由基金管理人或基金托管人召集，但是基金管理人或基金托管人未出席大会的，基金份额持有人大会的主持人应当在会议开始后宣布在出席会议的基金份额持有人和代理人中选举三名基金份额持有人代表担任监票人。基金管理人或基金托管人不出席大会的，不影响计票的效力。</w:t>
      </w:r>
    </w:p>
    <w:p w14:paraId="214536A3"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）监票人应当在基金份额持有人表决后立即进行清点并由大会主持人当场公布计票结果。</w:t>
      </w:r>
    </w:p>
    <w:p w14:paraId="774DD16B"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3</w:t>
      </w:r>
      <w:r w:rsidRPr="00777BCD">
        <w:rPr>
          <w:rFonts w:ascii="Calibri" w:hAnsi="Calibri" w:cs="Calibri"/>
          <w:bCs/>
          <w:color w:val="000000" w:themeColor="text1"/>
          <w:sz w:val="24"/>
          <w:szCs w:val="24"/>
        </w:rPr>
        <w:t>）如果会议主持人或基金份额持有人或代理人对于提交的表决结果有异议，可以在宣布表决结果后立即对所投票</w:t>
      </w:r>
      <w:proofErr w:type="gramStart"/>
      <w:r w:rsidRPr="00777BCD">
        <w:rPr>
          <w:rFonts w:ascii="Calibri" w:hAnsi="Calibri" w:cs="Calibri"/>
          <w:bCs/>
          <w:color w:val="000000" w:themeColor="text1"/>
          <w:sz w:val="24"/>
          <w:szCs w:val="24"/>
        </w:rPr>
        <w:t>数要求</w:t>
      </w:r>
      <w:proofErr w:type="gramEnd"/>
      <w:r w:rsidRPr="00777BCD">
        <w:rPr>
          <w:rFonts w:ascii="Calibri" w:hAnsi="Calibri" w:cs="Calibri"/>
          <w:bCs/>
          <w:color w:val="000000" w:themeColor="text1"/>
          <w:sz w:val="24"/>
          <w:szCs w:val="24"/>
        </w:rPr>
        <w:t>进行重新清点。监票人应当进行重新清点，重新清点以一次为限。重新清点后，大会主持人应当当场公布重新清点结果。</w:t>
      </w:r>
    </w:p>
    <w:p w14:paraId="7F67FDA3"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w:t>
      </w:r>
      <w:r w:rsidRPr="00777BCD">
        <w:rPr>
          <w:rFonts w:ascii="Calibri" w:hAnsi="Calibri" w:cs="Calibri"/>
          <w:bCs/>
          <w:color w:val="000000" w:themeColor="text1"/>
          <w:sz w:val="24"/>
          <w:szCs w:val="24"/>
        </w:rPr>
        <w:t>4</w:t>
      </w:r>
      <w:r w:rsidRPr="00777BCD">
        <w:rPr>
          <w:rFonts w:ascii="Calibri" w:hAnsi="Calibri" w:cs="Calibri"/>
          <w:bCs/>
          <w:color w:val="000000" w:themeColor="text1"/>
          <w:sz w:val="24"/>
          <w:szCs w:val="24"/>
        </w:rPr>
        <w:t>）计票过程应由公证机关予以公证，基金管理人或基金托管人拒不出席大会的，不影响计票的效力。</w:t>
      </w:r>
    </w:p>
    <w:p w14:paraId="537A5B83"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、通讯开会</w:t>
      </w:r>
    </w:p>
    <w:p w14:paraId="18158FD4"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lastRenderedPageBreak/>
        <w:t>在通讯开会的情况下，计票方式为：由大会召集人授权的两名监督员在基金托管人授权代表（若由基金托管人召集，则为基金管理人授权代表）的监督下进行计票，并由公证机关对其计票过程予以公证。基金管理人或基金托管</w:t>
      </w:r>
      <w:proofErr w:type="gramStart"/>
      <w:r w:rsidRPr="00777BCD">
        <w:rPr>
          <w:rFonts w:ascii="Calibri" w:hAnsi="Calibri" w:cs="Calibri"/>
          <w:bCs/>
          <w:color w:val="000000" w:themeColor="text1"/>
          <w:sz w:val="24"/>
          <w:szCs w:val="24"/>
        </w:rPr>
        <w:t>人拒派</w:t>
      </w:r>
      <w:proofErr w:type="gramEnd"/>
      <w:r w:rsidRPr="00777BCD">
        <w:rPr>
          <w:rFonts w:ascii="Calibri" w:hAnsi="Calibri" w:cs="Calibri"/>
          <w:bCs/>
          <w:color w:val="000000" w:themeColor="text1"/>
          <w:sz w:val="24"/>
          <w:szCs w:val="24"/>
        </w:rPr>
        <w:t>代表对表决意见的计票进行监督的，不影响计票和表决结果。</w:t>
      </w:r>
    </w:p>
    <w:p w14:paraId="0E3B6653"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（八）生效与公告</w:t>
      </w:r>
    </w:p>
    <w:p w14:paraId="17D13B5F"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基金份额持有人大会的决议，召集人应当自通过之日起</w:t>
      </w:r>
      <w:r w:rsidRPr="00777BCD">
        <w:rPr>
          <w:rFonts w:ascii="Calibri" w:hAnsi="Calibri" w:cs="Calibri"/>
          <w:bCs/>
          <w:color w:val="000000" w:themeColor="text1"/>
          <w:sz w:val="24"/>
          <w:szCs w:val="24"/>
        </w:rPr>
        <w:t>5</w:t>
      </w:r>
      <w:r w:rsidRPr="00777BCD">
        <w:rPr>
          <w:rFonts w:ascii="Calibri" w:hAnsi="Calibri" w:cs="Calibri"/>
          <w:bCs/>
          <w:color w:val="000000" w:themeColor="text1"/>
          <w:sz w:val="24"/>
          <w:szCs w:val="24"/>
        </w:rPr>
        <w:t>日内报中国证监会备案。</w:t>
      </w:r>
    </w:p>
    <w:p w14:paraId="50DF6E59"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基金份额持有人大会的决议自表决通过之日起生效。</w:t>
      </w:r>
    </w:p>
    <w:p w14:paraId="26992712"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基金份额持有人大会决议自生效之日起</w:t>
      </w:r>
      <w:r w:rsidRPr="00777BCD">
        <w:rPr>
          <w:rFonts w:ascii="Calibri" w:hAnsi="Calibri" w:cs="Calibri"/>
          <w:bCs/>
          <w:color w:val="000000" w:themeColor="text1"/>
          <w:sz w:val="24"/>
          <w:szCs w:val="24"/>
        </w:rPr>
        <w:t>2</w:t>
      </w:r>
      <w:r w:rsidRPr="00777BCD">
        <w:rPr>
          <w:rFonts w:ascii="Calibri" w:hAnsi="Calibri" w:cs="Calibri"/>
          <w:bCs/>
          <w:color w:val="000000" w:themeColor="text1"/>
          <w:sz w:val="24"/>
          <w:szCs w:val="24"/>
        </w:rPr>
        <w:t>日内在规定媒介上公告。如果采用通讯方式进行表决，在公告基金份额持有人大会决议时，必须将公证书全文、公证机构、公证员姓名等一同公告。</w:t>
      </w:r>
    </w:p>
    <w:p w14:paraId="5C7CB61A" w14:textId="77777777" w:rsidR="007149DF" w:rsidRPr="00777BCD" w:rsidRDefault="00284640">
      <w:pPr>
        <w:ind w:firstLine="480"/>
        <w:rPr>
          <w:rFonts w:ascii="Calibri" w:hAnsi="Calibri" w:cs="Calibri"/>
          <w:bCs/>
          <w:color w:val="000000" w:themeColor="text1"/>
          <w:sz w:val="24"/>
          <w:szCs w:val="24"/>
        </w:rPr>
      </w:pPr>
      <w:r w:rsidRPr="00777BCD">
        <w:rPr>
          <w:rFonts w:ascii="Calibri" w:hAnsi="Calibri" w:cs="Calibri"/>
          <w:bCs/>
          <w:color w:val="000000" w:themeColor="text1"/>
          <w:sz w:val="24"/>
          <w:szCs w:val="24"/>
        </w:rPr>
        <w:t>基金管理人、基金托管人和基金份额持有人应当执行生效的基金份额持有人大会的决议。生效的基金份额持有人大会决议对全体基金份额持有人、基金管理人、基金托管人均有约束力。</w:t>
      </w:r>
    </w:p>
    <w:p w14:paraId="3762F81C" w14:textId="77777777" w:rsidR="007149DF" w:rsidRPr="00777BCD" w:rsidRDefault="00284640">
      <w:pPr>
        <w:ind w:firstLine="480"/>
        <w:rPr>
          <w:rFonts w:ascii="Calibri" w:hAnsi="Calibri" w:cs="Calibri"/>
          <w:color w:val="000000" w:themeColor="text1"/>
          <w:sz w:val="24"/>
          <w:szCs w:val="24"/>
        </w:rPr>
      </w:pPr>
      <w:r w:rsidRPr="00777BCD">
        <w:rPr>
          <w:rFonts w:ascii="Calibri" w:hAnsi="Calibri" w:cs="Calibri"/>
          <w:color w:val="000000" w:themeColor="text1"/>
          <w:sz w:val="24"/>
          <w:szCs w:val="24"/>
        </w:rPr>
        <w:t>（九）实施</w:t>
      </w:r>
      <w:proofErr w:type="gramStart"/>
      <w:r w:rsidRPr="00777BCD">
        <w:rPr>
          <w:rFonts w:ascii="Calibri" w:hAnsi="Calibri" w:cs="Calibri"/>
          <w:color w:val="000000" w:themeColor="text1"/>
          <w:sz w:val="24"/>
          <w:szCs w:val="24"/>
        </w:rPr>
        <w:t>侧袋机制</w:t>
      </w:r>
      <w:proofErr w:type="gramEnd"/>
      <w:r w:rsidRPr="00777BCD">
        <w:rPr>
          <w:rFonts w:ascii="Calibri" w:hAnsi="Calibri" w:cs="Calibri"/>
          <w:color w:val="000000" w:themeColor="text1"/>
          <w:sz w:val="24"/>
          <w:szCs w:val="24"/>
        </w:rPr>
        <w:t>期间基金份额持有人大会的特殊约定</w:t>
      </w:r>
    </w:p>
    <w:p w14:paraId="6AD51CE4" w14:textId="77777777" w:rsidR="007149DF" w:rsidRPr="00777BCD" w:rsidRDefault="00284640">
      <w:pPr>
        <w:ind w:firstLine="480"/>
        <w:rPr>
          <w:rFonts w:ascii="Calibri" w:hAnsi="Calibri" w:cs="Calibri"/>
          <w:color w:val="000000" w:themeColor="text1"/>
          <w:sz w:val="24"/>
          <w:szCs w:val="24"/>
        </w:rPr>
      </w:pPr>
      <w:r w:rsidRPr="00777BCD">
        <w:rPr>
          <w:rFonts w:ascii="Calibri" w:hAnsi="Calibri" w:cs="Calibri"/>
          <w:color w:val="000000" w:themeColor="text1"/>
          <w:sz w:val="24"/>
          <w:szCs w:val="24"/>
        </w:rPr>
        <w:t>若本基金</w:t>
      </w:r>
      <w:proofErr w:type="gramStart"/>
      <w:r w:rsidRPr="00777BCD">
        <w:rPr>
          <w:rFonts w:ascii="Calibri" w:hAnsi="Calibri" w:cs="Calibri"/>
          <w:color w:val="000000" w:themeColor="text1"/>
          <w:sz w:val="24"/>
          <w:szCs w:val="24"/>
        </w:rPr>
        <w:t>实施侧袋机制</w:t>
      </w:r>
      <w:proofErr w:type="gramEnd"/>
      <w:r w:rsidRPr="00777BCD">
        <w:rPr>
          <w:rFonts w:ascii="Calibri" w:hAnsi="Calibri" w:cs="Calibri"/>
          <w:color w:val="000000" w:themeColor="text1"/>
          <w:sz w:val="24"/>
          <w:szCs w:val="24"/>
        </w:rPr>
        <w:t>，</w:t>
      </w:r>
      <w:proofErr w:type="gramStart"/>
      <w:r w:rsidRPr="00777BCD">
        <w:rPr>
          <w:rFonts w:ascii="Calibri" w:hAnsi="Calibri" w:cs="Calibri"/>
          <w:color w:val="000000" w:themeColor="text1"/>
          <w:sz w:val="24"/>
          <w:szCs w:val="24"/>
        </w:rPr>
        <w:t>则相关</w:t>
      </w:r>
      <w:proofErr w:type="gramEnd"/>
      <w:r w:rsidRPr="00777BCD">
        <w:rPr>
          <w:rFonts w:ascii="Calibri" w:hAnsi="Calibri" w:cs="Calibri"/>
          <w:color w:val="000000" w:themeColor="text1"/>
          <w:sz w:val="24"/>
          <w:szCs w:val="24"/>
        </w:rPr>
        <w:t>基金份额或表决权的比例</w:t>
      </w:r>
      <w:proofErr w:type="gramStart"/>
      <w:r w:rsidRPr="00777BCD">
        <w:rPr>
          <w:rFonts w:ascii="Calibri" w:hAnsi="Calibri" w:cs="Calibri"/>
          <w:color w:val="000000" w:themeColor="text1"/>
          <w:sz w:val="24"/>
          <w:szCs w:val="24"/>
        </w:rPr>
        <w:t>指主袋份额</w:t>
      </w:r>
      <w:proofErr w:type="gramEnd"/>
      <w:r w:rsidRPr="00777BCD">
        <w:rPr>
          <w:rFonts w:ascii="Calibri" w:hAnsi="Calibri" w:cs="Calibri"/>
          <w:color w:val="000000" w:themeColor="text1"/>
          <w:sz w:val="24"/>
          <w:szCs w:val="24"/>
        </w:rPr>
        <w:t>持有</w:t>
      </w:r>
      <w:proofErr w:type="gramStart"/>
      <w:r w:rsidRPr="00777BCD">
        <w:rPr>
          <w:rFonts w:ascii="Calibri" w:hAnsi="Calibri" w:cs="Calibri"/>
          <w:color w:val="000000" w:themeColor="text1"/>
          <w:sz w:val="24"/>
          <w:szCs w:val="24"/>
        </w:rPr>
        <w:t>人和侧袋份额</w:t>
      </w:r>
      <w:proofErr w:type="gramEnd"/>
      <w:r w:rsidRPr="00777BCD">
        <w:rPr>
          <w:rFonts w:ascii="Calibri" w:hAnsi="Calibri" w:cs="Calibri"/>
          <w:color w:val="000000" w:themeColor="text1"/>
          <w:sz w:val="24"/>
          <w:szCs w:val="24"/>
        </w:rPr>
        <w:t>持有人分别持有或代表的基金份额或表决权符合该等比例，但</w:t>
      </w:r>
      <w:proofErr w:type="gramStart"/>
      <w:r w:rsidRPr="00777BCD">
        <w:rPr>
          <w:rFonts w:ascii="Calibri" w:hAnsi="Calibri" w:cs="Calibri"/>
          <w:color w:val="000000" w:themeColor="text1"/>
          <w:sz w:val="24"/>
          <w:szCs w:val="24"/>
        </w:rPr>
        <w:t>若相关</w:t>
      </w:r>
      <w:proofErr w:type="gramEnd"/>
      <w:r w:rsidRPr="00777BCD">
        <w:rPr>
          <w:rFonts w:ascii="Calibri" w:hAnsi="Calibri" w:cs="Calibri"/>
          <w:color w:val="000000" w:themeColor="text1"/>
          <w:sz w:val="24"/>
          <w:szCs w:val="24"/>
        </w:rPr>
        <w:t>基金份额持有人大会召集和审议事项不</w:t>
      </w:r>
      <w:proofErr w:type="gramStart"/>
      <w:r w:rsidRPr="00777BCD">
        <w:rPr>
          <w:rFonts w:ascii="Calibri" w:hAnsi="Calibri" w:cs="Calibri"/>
          <w:color w:val="000000" w:themeColor="text1"/>
          <w:sz w:val="24"/>
          <w:szCs w:val="24"/>
        </w:rPr>
        <w:t>涉及侧袋账户</w:t>
      </w:r>
      <w:proofErr w:type="gramEnd"/>
      <w:r w:rsidRPr="00777BCD">
        <w:rPr>
          <w:rFonts w:ascii="Calibri" w:hAnsi="Calibri" w:cs="Calibri"/>
          <w:color w:val="000000" w:themeColor="text1"/>
          <w:sz w:val="24"/>
          <w:szCs w:val="24"/>
        </w:rPr>
        <w:t>的，则仅</w:t>
      </w:r>
      <w:proofErr w:type="gramStart"/>
      <w:r w:rsidRPr="00777BCD">
        <w:rPr>
          <w:rFonts w:ascii="Calibri" w:hAnsi="Calibri" w:cs="Calibri"/>
          <w:color w:val="000000" w:themeColor="text1"/>
          <w:sz w:val="24"/>
          <w:szCs w:val="24"/>
        </w:rPr>
        <w:t>指主袋份额</w:t>
      </w:r>
      <w:proofErr w:type="gramEnd"/>
      <w:r w:rsidRPr="00777BCD">
        <w:rPr>
          <w:rFonts w:ascii="Calibri" w:hAnsi="Calibri" w:cs="Calibri"/>
          <w:color w:val="000000" w:themeColor="text1"/>
          <w:sz w:val="24"/>
          <w:szCs w:val="24"/>
        </w:rPr>
        <w:t>持有人持有或代表的基金份额或表决权符合该等比例：</w:t>
      </w:r>
    </w:p>
    <w:p w14:paraId="0CC2450D" w14:textId="77777777" w:rsidR="007149DF" w:rsidRPr="00777BCD" w:rsidRDefault="00284640">
      <w:pPr>
        <w:ind w:firstLine="480"/>
        <w:rPr>
          <w:rFonts w:ascii="Calibri" w:hAnsi="Calibri" w:cs="Calibri"/>
          <w:color w:val="000000" w:themeColor="text1"/>
          <w:sz w:val="24"/>
          <w:szCs w:val="24"/>
        </w:rPr>
      </w:pPr>
      <w:r w:rsidRPr="00777BCD">
        <w:rPr>
          <w:rFonts w:ascii="Calibri" w:hAnsi="Calibri" w:cs="Calibri"/>
          <w:color w:val="000000" w:themeColor="text1"/>
          <w:sz w:val="24"/>
          <w:szCs w:val="24"/>
        </w:rPr>
        <w:t>1</w:t>
      </w:r>
      <w:r w:rsidRPr="00777BCD">
        <w:rPr>
          <w:rFonts w:ascii="Calibri" w:hAnsi="Calibri" w:cs="Calibri"/>
          <w:color w:val="000000" w:themeColor="text1"/>
          <w:sz w:val="24"/>
          <w:szCs w:val="24"/>
        </w:rPr>
        <w:t>、基金份额持有人行使提议权、召集权、提名权所需单独或合计代表相关基金份额</w:t>
      </w:r>
      <w:r w:rsidRPr="00777BCD">
        <w:rPr>
          <w:rFonts w:ascii="Calibri" w:hAnsi="Calibri" w:cs="Calibri"/>
          <w:color w:val="000000" w:themeColor="text1"/>
          <w:sz w:val="24"/>
          <w:szCs w:val="24"/>
        </w:rPr>
        <w:t>10%</w:t>
      </w:r>
      <w:r w:rsidRPr="00777BCD">
        <w:rPr>
          <w:rFonts w:ascii="Calibri" w:hAnsi="Calibri" w:cs="Calibri"/>
          <w:color w:val="000000" w:themeColor="text1"/>
          <w:sz w:val="24"/>
          <w:szCs w:val="24"/>
        </w:rPr>
        <w:t>以上（含</w:t>
      </w:r>
      <w:r w:rsidRPr="00777BCD">
        <w:rPr>
          <w:rFonts w:ascii="Calibri" w:hAnsi="Calibri" w:cs="Calibri"/>
          <w:color w:val="000000" w:themeColor="text1"/>
          <w:sz w:val="24"/>
          <w:szCs w:val="24"/>
        </w:rPr>
        <w:t>10%</w:t>
      </w:r>
      <w:r w:rsidRPr="00777BCD">
        <w:rPr>
          <w:rFonts w:ascii="Calibri" w:hAnsi="Calibri" w:cs="Calibri"/>
          <w:color w:val="000000" w:themeColor="text1"/>
          <w:sz w:val="24"/>
          <w:szCs w:val="24"/>
        </w:rPr>
        <w:t>）；</w:t>
      </w:r>
    </w:p>
    <w:p w14:paraId="13DFBEB2" w14:textId="77777777" w:rsidR="007149DF" w:rsidRPr="00777BCD" w:rsidRDefault="00284640">
      <w:pPr>
        <w:ind w:firstLine="480"/>
        <w:rPr>
          <w:rFonts w:ascii="Calibri" w:hAnsi="Calibri" w:cs="Calibri"/>
          <w:color w:val="000000" w:themeColor="text1"/>
          <w:sz w:val="24"/>
          <w:szCs w:val="24"/>
        </w:rPr>
      </w:pPr>
      <w:r w:rsidRPr="00777BCD">
        <w:rPr>
          <w:rFonts w:ascii="Calibri" w:hAnsi="Calibri" w:cs="Calibri"/>
          <w:color w:val="000000" w:themeColor="text1"/>
          <w:sz w:val="24"/>
          <w:szCs w:val="24"/>
        </w:rPr>
        <w:t>2</w:t>
      </w:r>
      <w:r w:rsidRPr="00777BCD">
        <w:rPr>
          <w:rFonts w:ascii="Calibri" w:hAnsi="Calibri" w:cs="Calibri"/>
          <w:color w:val="000000" w:themeColor="text1"/>
          <w:sz w:val="24"/>
          <w:szCs w:val="24"/>
        </w:rPr>
        <w:t>、现场开会的到会者在权益登记日代表的基金份额不少于本基金在权益登记</w:t>
      </w:r>
      <w:proofErr w:type="gramStart"/>
      <w:r w:rsidRPr="00777BCD">
        <w:rPr>
          <w:rFonts w:ascii="Calibri" w:hAnsi="Calibri" w:cs="Calibri"/>
          <w:color w:val="000000" w:themeColor="text1"/>
          <w:sz w:val="24"/>
          <w:szCs w:val="24"/>
        </w:rPr>
        <w:t>日相关</w:t>
      </w:r>
      <w:proofErr w:type="gramEnd"/>
      <w:r w:rsidRPr="00777BCD">
        <w:rPr>
          <w:rFonts w:ascii="Calibri" w:hAnsi="Calibri" w:cs="Calibri"/>
          <w:color w:val="000000" w:themeColor="text1"/>
          <w:sz w:val="24"/>
          <w:szCs w:val="24"/>
        </w:rPr>
        <w:t>基金份额的二分之一（含二分之一）；</w:t>
      </w:r>
    </w:p>
    <w:p w14:paraId="09A36445" w14:textId="77777777" w:rsidR="007149DF" w:rsidRPr="00777BCD" w:rsidRDefault="00284640">
      <w:pPr>
        <w:ind w:firstLine="480"/>
        <w:rPr>
          <w:rFonts w:ascii="Calibri" w:hAnsi="Calibri" w:cs="Calibri"/>
          <w:color w:val="000000" w:themeColor="text1"/>
          <w:sz w:val="24"/>
          <w:szCs w:val="24"/>
        </w:rPr>
      </w:pPr>
      <w:r w:rsidRPr="00777BCD">
        <w:rPr>
          <w:rFonts w:ascii="Calibri" w:hAnsi="Calibri" w:cs="Calibri"/>
          <w:color w:val="000000" w:themeColor="text1"/>
          <w:sz w:val="24"/>
          <w:szCs w:val="24"/>
        </w:rPr>
        <w:t>3</w:t>
      </w:r>
      <w:r w:rsidRPr="00777BCD">
        <w:rPr>
          <w:rFonts w:ascii="Calibri" w:hAnsi="Calibri" w:cs="Calibri"/>
          <w:color w:val="000000" w:themeColor="text1"/>
          <w:sz w:val="24"/>
          <w:szCs w:val="24"/>
        </w:rPr>
        <w:t>、通讯开会的直接出具表决意见或授权他人代表出具表决意见的基金份额持有人所持有的基金份额不小于在权益登记</w:t>
      </w:r>
      <w:proofErr w:type="gramStart"/>
      <w:r w:rsidRPr="00777BCD">
        <w:rPr>
          <w:rFonts w:ascii="Calibri" w:hAnsi="Calibri" w:cs="Calibri"/>
          <w:color w:val="000000" w:themeColor="text1"/>
          <w:sz w:val="24"/>
          <w:szCs w:val="24"/>
        </w:rPr>
        <w:t>日相关</w:t>
      </w:r>
      <w:proofErr w:type="gramEnd"/>
      <w:r w:rsidRPr="00777BCD">
        <w:rPr>
          <w:rFonts w:ascii="Calibri" w:hAnsi="Calibri" w:cs="Calibri"/>
          <w:color w:val="000000" w:themeColor="text1"/>
          <w:sz w:val="24"/>
          <w:szCs w:val="24"/>
        </w:rPr>
        <w:t>基金份额的二分之一（含二分之一）；</w:t>
      </w:r>
    </w:p>
    <w:p w14:paraId="5C4A67FB" w14:textId="77777777" w:rsidR="007149DF" w:rsidRPr="00777BCD" w:rsidRDefault="00284640">
      <w:pPr>
        <w:ind w:firstLine="480"/>
        <w:rPr>
          <w:rFonts w:ascii="Calibri" w:hAnsi="Calibri" w:cs="Calibri"/>
          <w:color w:val="000000" w:themeColor="text1"/>
          <w:sz w:val="24"/>
          <w:szCs w:val="24"/>
        </w:rPr>
      </w:pPr>
      <w:r w:rsidRPr="00777BCD">
        <w:rPr>
          <w:rFonts w:ascii="Calibri" w:hAnsi="Calibri" w:cs="Calibri"/>
          <w:color w:val="000000" w:themeColor="text1"/>
          <w:sz w:val="24"/>
          <w:szCs w:val="24"/>
        </w:rPr>
        <w:t>4</w:t>
      </w:r>
      <w:r w:rsidRPr="00777BCD">
        <w:rPr>
          <w:rFonts w:ascii="Calibri" w:hAnsi="Calibri" w:cs="Calibri"/>
          <w:color w:val="000000" w:themeColor="text1"/>
          <w:sz w:val="24"/>
          <w:szCs w:val="24"/>
        </w:rPr>
        <w:t>、</w:t>
      </w:r>
      <w:proofErr w:type="gramStart"/>
      <w:r w:rsidRPr="00777BCD">
        <w:rPr>
          <w:rFonts w:ascii="Calibri" w:hAnsi="Calibri" w:cs="Calibri"/>
          <w:color w:val="000000" w:themeColor="text1"/>
          <w:sz w:val="24"/>
          <w:szCs w:val="24"/>
        </w:rPr>
        <w:t>若参</w:t>
      </w:r>
      <w:proofErr w:type="gramEnd"/>
      <w:r w:rsidRPr="00777BCD">
        <w:rPr>
          <w:rFonts w:ascii="Calibri" w:hAnsi="Calibri" w:cs="Calibri"/>
          <w:color w:val="000000" w:themeColor="text1"/>
          <w:sz w:val="24"/>
          <w:szCs w:val="24"/>
        </w:rPr>
        <w:t>与基金份额持有人大会投票的基金份额持有人所持有的基金份额小于在权益登记</w:t>
      </w:r>
      <w:proofErr w:type="gramStart"/>
      <w:r w:rsidRPr="00777BCD">
        <w:rPr>
          <w:rFonts w:ascii="Calibri" w:hAnsi="Calibri" w:cs="Calibri"/>
          <w:color w:val="000000" w:themeColor="text1"/>
          <w:sz w:val="24"/>
          <w:szCs w:val="24"/>
        </w:rPr>
        <w:t>日相关</w:t>
      </w:r>
      <w:proofErr w:type="gramEnd"/>
      <w:r w:rsidRPr="00777BCD">
        <w:rPr>
          <w:rFonts w:ascii="Calibri" w:hAnsi="Calibri" w:cs="Calibri"/>
          <w:color w:val="000000" w:themeColor="text1"/>
          <w:sz w:val="24"/>
          <w:szCs w:val="24"/>
        </w:rPr>
        <w:t>基金份额的二分之一，召集人在原公告的基金份额持有人大会召开时间的</w:t>
      </w:r>
      <w:r w:rsidRPr="00777BCD">
        <w:rPr>
          <w:rFonts w:ascii="Calibri" w:hAnsi="Calibri" w:cs="Calibri"/>
          <w:color w:val="000000" w:themeColor="text1"/>
          <w:sz w:val="24"/>
          <w:szCs w:val="24"/>
        </w:rPr>
        <w:t>3</w:t>
      </w:r>
      <w:r w:rsidRPr="00777BCD">
        <w:rPr>
          <w:rFonts w:ascii="Calibri" w:hAnsi="Calibri" w:cs="Calibri"/>
          <w:color w:val="000000" w:themeColor="text1"/>
          <w:sz w:val="24"/>
          <w:szCs w:val="24"/>
        </w:rPr>
        <w:t>个月以后、</w:t>
      </w:r>
      <w:r w:rsidRPr="00777BCD">
        <w:rPr>
          <w:rFonts w:ascii="Calibri" w:hAnsi="Calibri" w:cs="Calibri"/>
          <w:color w:val="000000" w:themeColor="text1"/>
          <w:sz w:val="24"/>
          <w:szCs w:val="24"/>
        </w:rPr>
        <w:t>6</w:t>
      </w:r>
      <w:r w:rsidRPr="00777BCD">
        <w:rPr>
          <w:rFonts w:ascii="Calibri" w:hAnsi="Calibri" w:cs="Calibri"/>
          <w:color w:val="000000" w:themeColor="text1"/>
          <w:sz w:val="24"/>
          <w:szCs w:val="24"/>
        </w:rPr>
        <w:t>个月以内就原定审议事项重新召集的基金份额持</w:t>
      </w:r>
      <w:r w:rsidRPr="00777BCD">
        <w:rPr>
          <w:rFonts w:ascii="Calibri" w:hAnsi="Calibri" w:cs="Calibri"/>
          <w:color w:val="000000" w:themeColor="text1"/>
          <w:sz w:val="24"/>
          <w:szCs w:val="24"/>
        </w:rPr>
        <w:lastRenderedPageBreak/>
        <w:t>有人大会应当有代表三分之一以上（含三分之一）相关基金份额的持有人参与或授权他人参与基金份额持有人大会投票；</w:t>
      </w:r>
    </w:p>
    <w:p w14:paraId="2D83FBE0" w14:textId="77777777" w:rsidR="007149DF" w:rsidRPr="00777BCD" w:rsidRDefault="00284640">
      <w:pPr>
        <w:pBdr>
          <w:bottom w:val="none" w:sz="0" w:space="1" w:color="000000"/>
        </w:pBdr>
        <w:ind w:firstLine="480"/>
        <w:rPr>
          <w:rFonts w:ascii="Calibri" w:hAnsi="Calibri" w:cs="Calibri"/>
          <w:color w:val="000000" w:themeColor="text1"/>
          <w:sz w:val="24"/>
          <w:szCs w:val="24"/>
        </w:rPr>
      </w:pPr>
      <w:r w:rsidRPr="00777BCD">
        <w:rPr>
          <w:rFonts w:ascii="Calibri" w:hAnsi="Calibri" w:cs="Calibri"/>
          <w:color w:val="000000" w:themeColor="text1"/>
          <w:sz w:val="24"/>
          <w:szCs w:val="24"/>
        </w:rPr>
        <w:t>5</w:t>
      </w:r>
      <w:r w:rsidRPr="00777BCD">
        <w:rPr>
          <w:rFonts w:ascii="Calibri" w:hAnsi="Calibri" w:cs="Calibri"/>
          <w:color w:val="000000" w:themeColor="text1"/>
          <w:sz w:val="24"/>
          <w:szCs w:val="24"/>
        </w:rPr>
        <w:t>、现场开会由出席大会的基金份额持有人和代理人所持表决权的二分之一以上（含二分之一）选举产生一名基金份额持有人作为该次基金份额持有人大会的主持人；</w:t>
      </w:r>
    </w:p>
    <w:p w14:paraId="3B62853C" w14:textId="77777777" w:rsidR="007149DF" w:rsidRPr="00777BCD" w:rsidRDefault="00284640">
      <w:pPr>
        <w:pBdr>
          <w:bottom w:val="none" w:sz="0" w:space="1" w:color="000000"/>
        </w:pBdr>
        <w:ind w:firstLine="480"/>
        <w:rPr>
          <w:rFonts w:ascii="Calibri" w:hAnsi="Calibri" w:cs="Calibri"/>
          <w:color w:val="000000" w:themeColor="text1"/>
          <w:sz w:val="24"/>
          <w:szCs w:val="24"/>
        </w:rPr>
      </w:pPr>
      <w:r w:rsidRPr="00777BCD">
        <w:rPr>
          <w:rFonts w:ascii="Calibri" w:hAnsi="Calibri" w:cs="Calibri"/>
          <w:color w:val="000000" w:themeColor="text1"/>
          <w:sz w:val="24"/>
          <w:szCs w:val="24"/>
        </w:rPr>
        <w:t>6</w:t>
      </w:r>
      <w:r w:rsidRPr="00777BCD">
        <w:rPr>
          <w:rFonts w:ascii="Calibri" w:hAnsi="Calibri" w:cs="Calibri"/>
          <w:color w:val="000000" w:themeColor="text1"/>
          <w:sz w:val="24"/>
          <w:szCs w:val="24"/>
        </w:rPr>
        <w:t>、一般决议须经参加大会的基金份额持有人或其代理人所持表决权的二分之一以上（含二分之一）通过；</w:t>
      </w:r>
    </w:p>
    <w:p w14:paraId="4D9E25DD" w14:textId="77777777" w:rsidR="007149DF" w:rsidRPr="00777BCD" w:rsidRDefault="00284640">
      <w:pPr>
        <w:pBdr>
          <w:bottom w:val="none" w:sz="0" w:space="1" w:color="000000"/>
        </w:pBdr>
        <w:ind w:firstLine="480"/>
        <w:rPr>
          <w:rFonts w:ascii="Calibri" w:hAnsi="Calibri" w:cs="Calibri"/>
          <w:color w:val="000000" w:themeColor="text1"/>
          <w:sz w:val="24"/>
          <w:szCs w:val="24"/>
        </w:rPr>
      </w:pPr>
      <w:r w:rsidRPr="00777BCD">
        <w:rPr>
          <w:rFonts w:ascii="Calibri" w:hAnsi="Calibri" w:cs="Calibri"/>
          <w:color w:val="000000" w:themeColor="text1"/>
          <w:sz w:val="24"/>
          <w:szCs w:val="24"/>
        </w:rPr>
        <w:t>7</w:t>
      </w:r>
      <w:r w:rsidRPr="00777BCD">
        <w:rPr>
          <w:rFonts w:ascii="Calibri" w:hAnsi="Calibri" w:cs="Calibri"/>
          <w:color w:val="000000" w:themeColor="text1"/>
          <w:sz w:val="24"/>
          <w:szCs w:val="24"/>
        </w:rPr>
        <w:t>、特别决议应当经参加大会的基金份额持有人或其代理人所持表决权的三分之二以上（含三分之二）通过。</w:t>
      </w:r>
    </w:p>
    <w:p w14:paraId="471F6BAC" w14:textId="6A5318C8" w:rsidR="007149DF" w:rsidRPr="00777BCD" w:rsidRDefault="00284640">
      <w:pPr>
        <w:pBdr>
          <w:bottom w:val="none" w:sz="0" w:space="1" w:color="000000"/>
        </w:pBdr>
        <w:ind w:firstLine="480"/>
        <w:rPr>
          <w:rFonts w:ascii="Calibri" w:hAnsi="Calibri" w:cs="Calibri"/>
          <w:bCs/>
          <w:color w:val="000000" w:themeColor="text1"/>
          <w:sz w:val="24"/>
          <w:szCs w:val="24"/>
        </w:rPr>
      </w:pPr>
      <w:proofErr w:type="gramStart"/>
      <w:r w:rsidRPr="00777BCD">
        <w:rPr>
          <w:rFonts w:ascii="Calibri" w:hAnsi="Calibri" w:cs="Calibri"/>
          <w:bCs/>
          <w:color w:val="000000" w:themeColor="text1"/>
          <w:sz w:val="24"/>
          <w:szCs w:val="24"/>
        </w:rPr>
        <w:t>侧袋机制</w:t>
      </w:r>
      <w:proofErr w:type="gramEnd"/>
      <w:r w:rsidRPr="00777BCD">
        <w:rPr>
          <w:rFonts w:ascii="Calibri" w:hAnsi="Calibri" w:cs="Calibri"/>
          <w:bCs/>
          <w:color w:val="000000" w:themeColor="text1"/>
          <w:sz w:val="24"/>
          <w:szCs w:val="24"/>
        </w:rPr>
        <w:t>实施期间，基金份额持有人大会审议事项</w:t>
      </w:r>
      <w:proofErr w:type="gramStart"/>
      <w:r w:rsidRPr="00777BCD">
        <w:rPr>
          <w:rFonts w:ascii="Calibri" w:hAnsi="Calibri" w:cs="Calibri"/>
          <w:bCs/>
          <w:color w:val="000000" w:themeColor="text1"/>
          <w:sz w:val="24"/>
          <w:szCs w:val="24"/>
        </w:rPr>
        <w:t>涉及主袋账户</w:t>
      </w:r>
      <w:proofErr w:type="gramEnd"/>
      <w:r w:rsidRPr="00777BCD">
        <w:rPr>
          <w:rFonts w:ascii="Calibri" w:hAnsi="Calibri" w:cs="Calibri"/>
          <w:bCs/>
          <w:color w:val="000000" w:themeColor="text1"/>
          <w:sz w:val="24"/>
          <w:szCs w:val="24"/>
        </w:rPr>
        <w:t>和</w:t>
      </w:r>
      <w:proofErr w:type="gramStart"/>
      <w:r w:rsidRPr="00777BCD">
        <w:rPr>
          <w:rFonts w:ascii="Calibri" w:hAnsi="Calibri" w:cs="Calibri"/>
          <w:bCs/>
          <w:color w:val="000000" w:themeColor="text1"/>
          <w:sz w:val="24"/>
          <w:szCs w:val="24"/>
        </w:rPr>
        <w:t>侧袋</w:t>
      </w:r>
      <w:proofErr w:type="gramEnd"/>
      <w:r w:rsidRPr="00777BCD">
        <w:rPr>
          <w:rFonts w:ascii="Calibri" w:hAnsi="Calibri" w:cs="Calibri"/>
          <w:bCs/>
          <w:color w:val="000000" w:themeColor="text1"/>
          <w:sz w:val="24"/>
          <w:szCs w:val="24"/>
        </w:rPr>
        <w:t>账户的，应分别</w:t>
      </w:r>
      <w:proofErr w:type="gramStart"/>
      <w:r w:rsidRPr="00777BCD">
        <w:rPr>
          <w:rFonts w:ascii="Calibri" w:hAnsi="Calibri" w:cs="Calibri"/>
          <w:bCs/>
          <w:color w:val="000000" w:themeColor="text1"/>
          <w:sz w:val="24"/>
          <w:szCs w:val="24"/>
        </w:rPr>
        <w:t>由主袋账户</w:t>
      </w:r>
      <w:proofErr w:type="gramEnd"/>
      <w:r w:rsidRPr="00777BCD">
        <w:rPr>
          <w:rFonts w:ascii="Calibri" w:hAnsi="Calibri" w:cs="Calibri"/>
          <w:bCs/>
          <w:color w:val="000000" w:themeColor="text1"/>
          <w:sz w:val="24"/>
          <w:szCs w:val="24"/>
        </w:rPr>
        <w:t>、</w:t>
      </w:r>
      <w:proofErr w:type="gramStart"/>
      <w:r w:rsidRPr="00777BCD">
        <w:rPr>
          <w:rFonts w:ascii="Calibri" w:hAnsi="Calibri" w:cs="Calibri"/>
          <w:bCs/>
          <w:color w:val="000000" w:themeColor="text1"/>
          <w:sz w:val="24"/>
          <w:szCs w:val="24"/>
        </w:rPr>
        <w:t>侧袋账户</w:t>
      </w:r>
      <w:proofErr w:type="gramEnd"/>
      <w:r w:rsidRPr="00777BCD">
        <w:rPr>
          <w:rFonts w:ascii="Calibri" w:hAnsi="Calibri" w:cs="Calibri"/>
          <w:bCs/>
          <w:color w:val="000000" w:themeColor="text1"/>
          <w:sz w:val="24"/>
          <w:szCs w:val="24"/>
        </w:rPr>
        <w:t>的基金份额持有人进行表决，</w:t>
      </w:r>
      <w:r w:rsidRPr="00777BCD">
        <w:rPr>
          <w:rFonts w:ascii="Calibri" w:hAnsi="Calibri" w:cs="Calibri"/>
          <w:color w:val="000000" w:themeColor="text1"/>
          <w:sz w:val="24"/>
          <w:szCs w:val="24"/>
        </w:rPr>
        <w:t>同</w:t>
      </w:r>
      <w:proofErr w:type="gramStart"/>
      <w:r w:rsidRPr="00777BCD">
        <w:rPr>
          <w:rFonts w:ascii="Calibri" w:hAnsi="Calibri" w:cs="Calibri"/>
          <w:color w:val="000000" w:themeColor="text1"/>
          <w:sz w:val="24"/>
          <w:szCs w:val="24"/>
        </w:rPr>
        <w:t>一主侧袋账户</w:t>
      </w:r>
      <w:proofErr w:type="gramEnd"/>
      <w:r w:rsidRPr="00777BCD">
        <w:rPr>
          <w:rFonts w:ascii="Calibri" w:hAnsi="Calibri" w:cs="Calibri"/>
          <w:color w:val="000000" w:themeColor="text1"/>
          <w:sz w:val="24"/>
          <w:szCs w:val="24"/>
        </w:rPr>
        <w:t>内的每份基金份额具有平等的表决权。</w:t>
      </w:r>
      <w:r w:rsidRPr="00777BCD">
        <w:rPr>
          <w:rFonts w:ascii="Calibri" w:hAnsi="Calibri" w:cs="Calibri"/>
          <w:bCs/>
          <w:color w:val="000000" w:themeColor="text1"/>
          <w:sz w:val="24"/>
          <w:szCs w:val="24"/>
        </w:rPr>
        <w:t>表决事项未</w:t>
      </w:r>
      <w:proofErr w:type="gramStart"/>
      <w:r w:rsidRPr="00777BCD">
        <w:rPr>
          <w:rFonts w:ascii="Calibri" w:hAnsi="Calibri" w:cs="Calibri"/>
          <w:bCs/>
          <w:color w:val="000000" w:themeColor="text1"/>
          <w:sz w:val="24"/>
          <w:szCs w:val="24"/>
        </w:rPr>
        <w:t>涉及侧袋账户</w:t>
      </w:r>
      <w:proofErr w:type="gramEnd"/>
      <w:r w:rsidRPr="00777BCD">
        <w:rPr>
          <w:rFonts w:ascii="Calibri" w:hAnsi="Calibri" w:cs="Calibri"/>
          <w:bCs/>
          <w:color w:val="000000" w:themeColor="text1"/>
          <w:sz w:val="24"/>
          <w:szCs w:val="24"/>
        </w:rPr>
        <w:t>的，</w:t>
      </w:r>
      <w:proofErr w:type="gramStart"/>
      <w:r w:rsidRPr="00777BCD">
        <w:rPr>
          <w:rFonts w:ascii="Calibri" w:hAnsi="Calibri" w:cs="Calibri"/>
          <w:bCs/>
          <w:color w:val="000000" w:themeColor="text1"/>
          <w:sz w:val="24"/>
          <w:szCs w:val="24"/>
        </w:rPr>
        <w:t>侧袋账户</w:t>
      </w:r>
      <w:proofErr w:type="gramEnd"/>
      <w:r w:rsidRPr="00777BCD">
        <w:rPr>
          <w:rFonts w:ascii="Calibri" w:hAnsi="Calibri" w:cs="Calibri"/>
          <w:bCs/>
          <w:color w:val="000000" w:themeColor="text1"/>
          <w:sz w:val="24"/>
          <w:szCs w:val="24"/>
        </w:rPr>
        <w:t>份额无表决权。</w:t>
      </w:r>
    </w:p>
    <w:p w14:paraId="1B727DE7" w14:textId="77777777" w:rsidR="007149DF" w:rsidRPr="00777BCD" w:rsidRDefault="00284640">
      <w:pPr>
        <w:pBdr>
          <w:bottom w:val="none" w:sz="0" w:space="1" w:color="000000"/>
        </w:pBdr>
        <w:ind w:firstLine="480"/>
        <w:rPr>
          <w:rFonts w:ascii="Calibri" w:hAnsi="Calibri" w:cs="Calibri"/>
          <w:color w:val="000000" w:themeColor="text1"/>
          <w:sz w:val="24"/>
          <w:szCs w:val="24"/>
        </w:rPr>
      </w:pPr>
      <w:proofErr w:type="gramStart"/>
      <w:r w:rsidRPr="00777BCD">
        <w:rPr>
          <w:rFonts w:ascii="Calibri" w:hAnsi="Calibri" w:cs="Calibri"/>
          <w:bCs/>
          <w:color w:val="000000" w:themeColor="text1"/>
          <w:sz w:val="24"/>
          <w:szCs w:val="24"/>
        </w:rPr>
        <w:t>侧袋机制</w:t>
      </w:r>
      <w:proofErr w:type="gramEnd"/>
      <w:r w:rsidRPr="00777BCD">
        <w:rPr>
          <w:rFonts w:ascii="Calibri" w:hAnsi="Calibri" w:cs="Calibri"/>
          <w:bCs/>
          <w:color w:val="000000" w:themeColor="text1"/>
          <w:sz w:val="24"/>
          <w:szCs w:val="24"/>
        </w:rPr>
        <w:t>实施期间，关于基金份额持有人大会的相关规定以本节特殊约定内容为准，本节没有规定的适用本部分的相关规定。</w:t>
      </w:r>
    </w:p>
    <w:p w14:paraId="1254C749" w14:textId="10EA90CB" w:rsidR="007149DF" w:rsidRPr="00777BCD" w:rsidRDefault="00284640">
      <w:pPr>
        <w:pBdr>
          <w:bottom w:val="none" w:sz="0" w:space="1" w:color="000000"/>
        </w:pBdr>
        <w:ind w:firstLine="480"/>
        <w:rPr>
          <w:rFonts w:ascii="Calibri" w:hAnsi="Calibri" w:cs="Calibri"/>
          <w:color w:val="000000" w:themeColor="text1"/>
          <w:sz w:val="24"/>
        </w:rPr>
      </w:pPr>
      <w:r w:rsidRPr="00777BCD">
        <w:rPr>
          <w:rFonts w:ascii="Calibri" w:hAnsi="Calibri" w:cs="Calibri"/>
          <w:bCs/>
          <w:color w:val="000000" w:themeColor="text1"/>
          <w:sz w:val="24"/>
          <w:szCs w:val="24"/>
        </w:rPr>
        <w:t>（十）本部</w:t>
      </w:r>
      <w:proofErr w:type="gramStart"/>
      <w:r w:rsidRPr="00777BCD">
        <w:rPr>
          <w:rFonts w:ascii="Calibri" w:hAnsi="Calibri" w:cs="Calibri"/>
          <w:bCs/>
          <w:color w:val="000000" w:themeColor="text1"/>
          <w:sz w:val="24"/>
          <w:szCs w:val="24"/>
        </w:rPr>
        <w:t>分关于</w:t>
      </w:r>
      <w:proofErr w:type="gramEnd"/>
      <w:r w:rsidRPr="00777BCD">
        <w:rPr>
          <w:rFonts w:ascii="Calibri" w:hAnsi="Calibri" w:cs="Calibri"/>
          <w:bCs/>
          <w:color w:val="000000" w:themeColor="text1"/>
          <w:sz w:val="24"/>
          <w:szCs w:val="24"/>
        </w:rPr>
        <w:t>基金份额持有人大会召开事由、召开条件、议事程序、表决条件等规定，凡是直接引用法律法规或监管规则的部分，如将来法律法规或监管规则修改导致相关内容被取消或变更的，基金管理人经与基金托管人协商一致并提前公告后，可直接对本部分内容按照法律法规或监管规则的规定进行修改和调整，无需召开基金份额持有人大会审议。</w:t>
      </w:r>
    </w:p>
    <w:p w14:paraId="596DF01E" w14:textId="77777777" w:rsidR="007149DF" w:rsidRPr="00777BCD" w:rsidRDefault="007149DF">
      <w:pPr>
        <w:pBdr>
          <w:bottom w:val="none" w:sz="0" w:space="1" w:color="000000"/>
        </w:pBdr>
        <w:ind w:firstLine="480"/>
        <w:rPr>
          <w:rFonts w:ascii="Calibri" w:hAnsi="Calibri" w:cs="Calibri"/>
          <w:color w:val="000000" w:themeColor="text1"/>
          <w:sz w:val="24"/>
        </w:rPr>
      </w:pPr>
    </w:p>
    <w:p w14:paraId="69A19C5E" w14:textId="77777777" w:rsidR="007149DF" w:rsidRPr="00777BCD" w:rsidRDefault="00284640">
      <w:pPr>
        <w:pBdr>
          <w:bottom w:val="none" w:sz="0" w:space="1" w:color="000000"/>
        </w:pBdr>
        <w:ind w:firstLine="480"/>
        <w:rPr>
          <w:rFonts w:ascii="Calibri" w:hAnsi="Calibri" w:cs="Calibri"/>
          <w:color w:val="000000" w:themeColor="text1"/>
          <w:sz w:val="24"/>
        </w:rPr>
      </w:pPr>
      <w:r w:rsidRPr="00777BCD">
        <w:rPr>
          <w:rFonts w:ascii="Calibri" w:hAnsi="Calibri" w:cs="Calibri"/>
          <w:color w:val="000000" w:themeColor="text1"/>
          <w:sz w:val="24"/>
        </w:rPr>
        <w:t>三、基金收益分配原则、执行方式</w:t>
      </w:r>
    </w:p>
    <w:p w14:paraId="77F8AA72" w14:textId="77777777" w:rsidR="007149DF" w:rsidRPr="00777BCD" w:rsidRDefault="00284640">
      <w:pPr>
        <w:pBdr>
          <w:bottom w:val="none" w:sz="0" w:space="1" w:color="000000"/>
        </w:pBdr>
        <w:ind w:firstLine="540"/>
        <w:rPr>
          <w:rFonts w:ascii="Calibri" w:hAnsi="Calibri" w:cs="Calibri"/>
          <w:bCs/>
          <w:color w:val="000000" w:themeColor="text1"/>
          <w:sz w:val="24"/>
        </w:rPr>
      </w:pPr>
      <w:r w:rsidRPr="00777BCD">
        <w:rPr>
          <w:rFonts w:ascii="Calibri" w:hAnsi="Calibri" w:cs="Calibri"/>
          <w:bCs/>
          <w:color w:val="000000" w:themeColor="text1"/>
          <w:sz w:val="24"/>
        </w:rPr>
        <w:t>（一）基金利润的构成</w:t>
      </w:r>
    </w:p>
    <w:p w14:paraId="19AFD1A0" w14:textId="77777777" w:rsidR="007149DF" w:rsidRPr="00777BCD" w:rsidRDefault="00284640">
      <w:pPr>
        <w:pBdr>
          <w:bottom w:val="none" w:sz="0" w:space="1" w:color="000000"/>
        </w:pBdr>
        <w:ind w:firstLine="540"/>
        <w:rPr>
          <w:rFonts w:ascii="Calibri" w:hAnsi="Calibri" w:cs="Calibri"/>
          <w:bCs/>
          <w:color w:val="000000" w:themeColor="text1"/>
          <w:sz w:val="24"/>
        </w:rPr>
      </w:pPr>
      <w:r w:rsidRPr="00777BCD">
        <w:rPr>
          <w:rFonts w:ascii="Calibri" w:hAnsi="Calibri" w:cs="Calibri"/>
          <w:bCs/>
          <w:color w:val="000000" w:themeColor="text1"/>
          <w:sz w:val="24"/>
        </w:rPr>
        <w:t>基金利润指基金利息收入、投资收益、公允价值变动收益和其他收入扣除相关费用后的余额，基金已实现收益指基金利润减去公允价值变动收益后的余额。</w:t>
      </w:r>
    </w:p>
    <w:p w14:paraId="0909A47F" w14:textId="77777777" w:rsidR="007149DF" w:rsidRPr="00777BCD" w:rsidRDefault="00284640">
      <w:pPr>
        <w:pBdr>
          <w:bottom w:val="none" w:sz="0" w:space="1" w:color="000000"/>
        </w:pBdr>
        <w:ind w:firstLine="540"/>
        <w:rPr>
          <w:rFonts w:ascii="Calibri" w:hAnsi="Calibri" w:cs="Calibri"/>
          <w:bCs/>
          <w:color w:val="000000" w:themeColor="text1"/>
          <w:sz w:val="24"/>
        </w:rPr>
      </w:pPr>
      <w:r w:rsidRPr="00777BCD">
        <w:rPr>
          <w:rFonts w:ascii="Calibri" w:hAnsi="Calibri" w:cs="Calibri"/>
          <w:bCs/>
          <w:color w:val="000000" w:themeColor="text1"/>
          <w:sz w:val="24"/>
        </w:rPr>
        <w:t>（二）基金可供分配利润</w:t>
      </w:r>
    </w:p>
    <w:p w14:paraId="51F8468C" w14:textId="77777777" w:rsidR="007149DF" w:rsidRPr="00777BCD" w:rsidRDefault="00284640">
      <w:pPr>
        <w:pBdr>
          <w:bottom w:val="none" w:sz="0" w:space="1" w:color="000000"/>
        </w:pBdr>
        <w:ind w:firstLine="540"/>
        <w:rPr>
          <w:rFonts w:ascii="Calibri" w:hAnsi="Calibri" w:cs="Calibri"/>
          <w:bCs/>
          <w:color w:val="000000" w:themeColor="text1"/>
          <w:sz w:val="24"/>
        </w:rPr>
      </w:pPr>
      <w:r w:rsidRPr="00777BCD">
        <w:rPr>
          <w:rFonts w:ascii="Calibri" w:hAnsi="Calibri" w:cs="Calibri"/>
          <w:bCs/>
          <w:color w:val="000000" w:themeColor="text1"/>
          <w:sz w:val="24"/>
        </w:rPr>
        <w:t>基金可供分配利润指截至收益分配基准日基金未分配利润与未分配利润中已实现收益的孰低数。</w:t>
      </w:r>
    </w:p>
    <w:p w14:paraId="3CB73B5B" w14:textId="77777777" w:rsidR="007149DF" w:rsidRPr="00777BCD" w:rsidRDefault="00284640">
      <w:pPr>
        <w:pBdr>
          <w:bottom w:val="none" w:sz="0" w:space="1" w:color="000000"/>
        </w:pBdr>
        <w:ind w:firstLine="540"/>
        <w:rPr>
          <w:rFonts w:ascii="Calibri" w:hAnsi="Calibri" w:cs="Calibri"/>
          <w:bCs/>
          <w:color w:val="000000" w:themeColor="text1"/>
          <w:sz w:val="24"/>
        </w:rPr>
      </w:pPr>
      <w:r w:rsidRPr="00777BCD">
        <w:rPr>
          <w:rFonts w:ascii="Calibri" w:hAnsi="Calibri" w:cs="Calibri"/>
          <w:bCs/>
          <w:color w:val="000000" w:themeColor="text1"/>
          <w:sz w:val="24"/>
        </w:rPr>
        <w:lastRenderedPageBreak/>
        <w:t>（三）基金收益分配原则</w:t>
      </w:r>
    </w:p>
    <w:p w14:paraId="5C6CEB5F" w14:textId="77777777" w:rsidR="007149DF" w:rsidRPr="00777BCD" w:rsidRDefault="00284640">
      <w:pPr>
        <w:ind w:firstLine="54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、在符合有关基金分红条件的前提下，本基金可进行收益分配，具体分红方案</w:t>
      </w:r>
      <w:proofErr w:type="gramStart"/>
      <w:r w:rsidRPr="00777BCD">
        <w:rPr>
          <w:rFonts w:ascii="Calibri" w:hAnsi="Calibri" w:cs="Calibri"/>
          <w:bCs/>
          <w:color w:val="000000" w:themeColor="text1"/>
          <w:sz w:val="24"/>
        </w:rPr>
        <w:t>见基金</w:t>
      </w:r>
      <w:proofErr w:type="gramEnd"/>
      <w:r w:rsidRPr="00777BCD">
        <w:rPr>
          <w:rFonts w:ascii="Calibri" w:hAnsi="Calibri" w:cs="Calibri"/>
          <w:bCs/>
          <w:color w:val="000000" w:themeColor="text1"/>
          <w:sz w:val="24"/>
        </w:rPr>
        <w:t>管理人根据基金运作情况届时不定期发布的相关分红公告；若《基金合同》生效不满</w:t>
      </w:r>
      <w:r w:rsidRPr="00777BCD">
        <w:rPr>
          <w:rFonts w:ascii="Calibri" w:hAnsi="Calibri" w:cs="Calibri"/>
          <w:bCs/>
          <w:color w:val="000000" w:themeColor="text1"/>
          <w:sz w:val="24"/>
        </w:rPr>
        <w:t>3</w:t>
      </w:r>
      <w:r w:rsidRPr="00777BCD">
        <w:rPr>
          <w:rFonts w:ascii="Calibri" w:hAnsi="Calibri" w:cs="Calibri"/>
          <w:bCs/>
          <w:color w:val="000000" w:themeColor="text1"/>
          <w:sz w:val="24"/>
        </w:rPr>
        <w:t>个月可不进行收益分配；</w:t>
      </w:r>
    </w:p>
    <w:p w14:paraId="598E8921" w14:textId="77777777" w:rsidR="007149DF" w:rsidRPr="00777BCD" w:rsidRDefault="00284640">
      <w:pPr>
        <w:ind w:firstLine="54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、本基金收益分配方式分两种：现金分红与红利再投资，投资者可选择现金红利或将现金红利自动转为相应类别的基金份额进行再投资；若投资者不选择，本基金默认的收益分配方式是现金分红；</w:t>
      </w:r>
    </w:p>
    <w:p w14:paraId="4C2FAD3A" w14:textId="77777777" w:rsidR="007149DF" w:rsidRPr="00777BCD" w:rsidRDefault="00284640">
      <w:pPr>
        <w:ind w:firstLine="54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、基金收益分配后各类基金份额净值不能低于面值，即基金收益分配基准日的各类基金份额净值减去每单位该类基金份额收益分配金额后不能低于面值；</w:t>
      </w:r>
    </w:p>
    <w:p w14:paraId="5C1555AC" w14:textId="11C170F3" w:rsidR="007149DF" w:rsidRPr="00777BCD" w:rsidRDefault="00284640">
      <w:pPr>
        <w:ind w:firstLine="540"/>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、由于本基金各类基金份额的费用不同，各基金份额类别对应的可</w:t>
      </w:r>
      <w:r w:rsidR="003465FF">
        <w:rPr>
          <w:rFonts w:ascii="Calibri" w:hAnsi="Calibri" w:cs="Calibri" w:hint="eastAsia"/>
          <w:bCs/>
          <w:color w:val="000000" w:themeColor="text1"/>
          <w:sz w:val="24"/>
        </w:rPr>
        <w:t>供</w:t>
      </w:r>
      <w:r w:rsidRPr="00777BCD">
        <w:rPr>
          <w:rFonts w:ascii="Calibri" w:hAnsi="Calibri" w:cs="Calibri"/>
          <w:bCs/>
          <w:color w:val="000000" w:themeColor="text1"/>
          <w:sz w:val="24"/>
        </w:rPr>
        <w:t>分配</w:t>
      </w:r>
      <w:r w:rsidR="003465FF">
        <w:rPr>
          <w:rFonts w:ascii="Calibri" w:hAnsi="Calibri" w:cs="Calibri" w:hint="eastAsia"/>
          <w:bCs/>
          <w:color w:val="000000" w:themeColor="text1"/>
          <w:sz w:val="24"/>
        </w:rPr>
        <w:t>利润</w:t>
      </w:r>
      <w:r w:rsidRPr="00777BCD">
        <w:rPr>
          <w:rFonts w:ascii="Calibri" w:hAnsi="Calibri" w:cs="Calibri"/>
          <w:bCs/>
          <w:color w:val="000000" w:themeColor="text1"/>
          <w:sz w:val="24"/>
        </w:rPr>
        <w:t>将有所不同，本基金同一类别的</w:t>
      </w:r>
      <w:r w:rsidRPr="00777BCD">
        <w:rPr>
          <w:rFonts w:ascii="Calibri" w:hAnsi="Calibri" w:cs="Calibri"/>
          <w:bCs/>
          <w:color w:val="000000" w:themeColor="text1"/>
          <w:sz w:val="24"/>
          <w:szCs w:val="24"/>
        </w:rPr>
        <w:t>每一基金份额享有同等分配权</w:t>
      </w:r>
      <w:r w:rsidRPr="00777BCD">
        <w:rPr>
          <w:rFonts w:ascii="Calibri" w:hAnsi="Calibri" w:cs="Calibri"/>
          <w:bCs/>
          <w:color w:val="000000" w:themeColor="text1"/>
          <w:sz w:val="24"/>
        </w:rPr>
        <w:t>；</w:t>
      </w:r>
    </w:p>
    <w:p w14:paraId="39848BE4" w14:textId="77777777" w:rsidR="007149DF" w:rsidRPr="00777BCD" w:rsidRDefault="00284640">
      <w:pPr>
        <w:ind w:firstLine="540"/>
        <w:rPr>
          <w:rFonts w:ascii="Calibri" w:hAnsi="Calibri" w:cs="Calibri"/>
          <w:bCs/>
          <w:color w:val="000000" w:themeColor="text1"/>
          <w:sz w:val="24"/>
        </w:rPr>
      </w:pPr>
      <w:r w:rsidRPr="00777BCD">
        <w:rPr>
          <w:rFonts w:ascii="Calibri" w:hAnsi="Calibri" w:cs="Calibri"/>
          <w:bCs/>
          <w:color w:val="000000" w:themeColor="text1"/>
          <w:sz w:val="24"/>
        </w:rPr>
        <w:t>5</w:t>
      </w:r>
      <w:r w:rsidRPr="00777BCD">
        <w:rPr>
          <w:rFonts w:ascii="Calibri" w:hAnsi="Calibri" w:cs="Calibri"/>
          <w:bCs/>
          <w:color w:val="000000" w:themeColor="text1"/>
          <w:sz w:val="24"/>
        </w:rPr>
        <w:t>、法律法规或监管机关另有规定的，从其规定。</w:t>
      </w:r>
    </w:p>
    <w:p w14:paraId="2CF76C97" w14:textId="20DA3E1A" w:rsidR="007149DF" w:rsidRPr="00777BCD" w:rsidRDefault="00284640">
      <w:pPr>
        <w:ind w:firstLine="540"/>
        <w:rPr>
          <w:rFonts w:ascii="Calibri" w:hAnsi="Calibri" w:cs="Calibri"/>
          <w:bCs/>
          <w:color w:val="000000" w:themeColor="text1"/>
          <w:sz w:val="24"/>
        </w:rPr>
      </w:pPr>
      <w:r w:rsidRPr="00777BCD">
        <w:rPr>
          <w:rFonts w:ascii="Calibri" w:hAnsi="Calibri" w:cs="Calibri"/>
          <w:bCs/>
          <w:color w:val="000000" w:themeColor="text1"/>
          <w:sz w:val="24"/>
        </w:rPr>
        <w:t>在符合法律法规及基金合同约定，并对基金份额持有人利益无实质</w:t>
      </w:r>
      <w:r w:rsidR="00D015D5">
        <w:rPr>
          <w:rFonts w:ascii="Calibri" w:hAnsi="Calibri" w:cs="Calibri" w:hint="eastAsia"/>
          <w:bCs/>
          <w:color w:val="000000" w:themeColor="text1"/>
          <w:sz w:val="24"/>
        </w:rPr>
        <w:t>性</w:t>
      </w:r>
      <w:r w:rsidRPr="00777BCD">
        <w:rPr>
          <w:rFonts w:ascii="Calibri" w:hAnsi="Calibri" w:cs="Calibri"/>
          <w:bCs/>
          <w:color w:val="000000" w:themeColor="text1"/>
          <w:sz w:val="24"/>
        </w:rPr>
        <w:t>不利影响的前提下，基金管理人经与基金托管人协商一致后可对基金收益分配原则和支付方式进行调整，不需召开基金份额持有人大会。</w:t>
      </w:r>
    </w:p>
    <w:p w14:paraId="2B0DB0A0" w14:textId="77777777" w:rsidR="007149DF" w:rsidRPr="00777BCD" w:rsidRDefault="00284640">
      <w:pPr>
        <w:ind w:firstLine="540"/>
        <w:rPr>
          <w:rFonts w:ascii="Calibri" w:hAnsi="Calibri" w:cs="Calibri"/>
          <w:bCs/>
          <w:color w:val="000000" w:themeColor="text1"/>
          <w:sz w:val="24"/>
        </w:rPr>
      </w:pPr>
      <w:r w:rsidRPr="00777BCD">
        <w:rPr>
          <w:rFonts w:ascii="Calibri" w:hAnsi="Calibri" w:cs="Calibri"/>
          <w:bCs/>
          <w:color w:val="000000" w:themeColor="text1"/>
          <w:sz w:val="24"/>
        </w:rPr>
        <w:t>（四）收益分配方案</w:t>
      </w:r>
    </w:p>
    <w:p w14:paraId="473DC6D0" w14:textId="4516CC68" w:rsidR="007149DF" w:rsidRPr="00777BCD" w:rsidRDefault="00284640">
      <w:pPr>
        <w:ind w:firstLine="540"/>
        <w:rPr>
          <w:rFonts w:ascii="Calibri" w:hAnsi="Calibri" w:cs="Calibri"/>
          <w:bCs/>
          <w:color w:val="000000" w:themeColor="text1"/>
          <w:sz w:val="24"/>
        </w:rPr>
      </w:pPr>
      <w:r w:rsidRPr="00777BCD">
        <w:rPr>
          <w:rFonts w:ascii="Calibri" w:hAnsi="Calibri" w:cs="Calibri"/>
          <w:bCs/>
          <w:color w:val="000000" w:themeColor="text1"/>
          <w:sz w:val="24"/>
        </w:rPr>
        <w:t>基金收益分配方案中应载明截至收益分配基准日的可供分配利润、基金收益分配对象、分配时间、分配数额及比例、分配方式等内容。由于不同基金份额类别对应的可</w:t>
      </w:r>
      <w:r w:rsidR="00D402ED">
        <w:rPr>
          <w:rFonts w:ascii="Calibri" w:hAnsi="Calibri" w:cs="Calibri" w:hint="eastAsia"/>
          <w:bCs/>
          <w:color w:val="000000" w:themeColor="text1"/>
          <w:sz w:val="24"/>
        </w:rPr>
        <w:t>供</w:t>
      </w:r>
      <w:r w:rsidRPr="00777BCD">
        <w:rPr>
          <w:rFonts w:ascii="Calibri" w:hAnsi="Calibri" w:cs="Calibri"/>
          <w:bCs/>
          <w:color w:val="000000" w:themeColor="text1"/>
          <w:sz w:val="24"/>
        </w:rPr>
        <w:t>分配</w:t>
      </w:r>
      <w:r w:rsidR="00D402ED">
        <w:rPr>
          <w:rFonts w:ascii="Calibri" w:hAnsi="Calibri" w:cs="Calibri" w:hint="eastAsia"/>
          <w:bCs/>
          <w:color w:val="000000" w:themeColor="text1"/>
          <w:sz w:val="24"/>
        </w:rPr>
        <w:t>利润</w:t>
      </w:r>
      <w:r w:rsidRPr="00777BCD">
        <w:rPr>
          <w:rFonts w:ascii="Calibri" w:hAnsi="Calibri" w:cs="Calibri"/>
          <w:bCs/>
          <w:color w:val="000000" w:themeColor="text1"/>
          <w:sz w:val="24"/>
        </w:rPr>
        <w:t>不同，基金管理人可相应制定不同的收益分配方案。</w:t>
      </w:r>
    </w:p>
    <w:p w14:paraId="2800E77D" w14:textId="77777777" w:rsidR="007149DF" w:rsidRPr="00777BCD" w:rsidRDefault="00284640">
      <w:pPr>
        <w:ind w:firstLine="540"/>
        <w:rPr>
          <w:rFonts w:ascii="Calibri" w:hAnsi="Calibri" w:cs="Calibri"/>
          <w:bCs/>
          <w:color w:val="000000" w:themeColor="text1"/>
          <w:sz w:val="24"/>
        </w:rPr>
      </w:pPr>
      <w:r w:rsidRPr="00777BCD">
        <w:rPr>
          <w:rFonts w:ascii="Calibri" w:hAnsi="Calibri" w:cs="Calibri"/>
          <w:bCs/>
          <w:color w:val="000000" w:themeColor="text1"/>
          <w:sz w:val="24"/>
        </w:rPr>
        <w:t>（五）收益分配方案的确定、公告与实施</w:t>
      </w:r>
    </w:p>
    <w:p w14:paraId="45BD7CA7" w14:textId="77777777" w:rsidR="007149DF" w:rsidRPr="00777BCD" w:rsidRDefault="00284640">
      <w:pPr>
        <w:ind w:firstLine="540"/>
        <w:rPr>
          <w:rFonts w:ascii="Calibri" w:hAnsi="Calibri" w:cs="Calibri"/>
          <w:bCs/>
          <w:color w:val="000000" w:themeColor="text1"/>
          <w:sz w:val="24"/>
        </w:rPr>
      </w:pPr>
      <w:r w:rsidRPr="00777BCD">
        <w:rPr>
          <w:rFonts w:ascii="Calibri" w:hAnsi="Calibri" w:cs="Calibri"/>
          <w:bCs/>
          <w:color w:val="000000" w:themeColor="text1"/>
          <w:sz w:val="24"/>
        </w:rPr>
        <w:t>本基金收益分配方案由基金管理人拟定，并由基金托管人复核，在</w:t>
      </w:r>
      <w:r w:rsidRPr="00777BCD">
        <w:rPr>
          <w:rFonts w:ascii="Calibri" w:hAnsi="Calibri" w:cs="Calibri"/>
          <w:bCs/>
          <w:color w:val="000000" w:themeColor="text1"/>
          <w:sz w:val="24"/>
        </w:rPr>
        <w:t>2</w:t>
      </w:r>
      <w:r w:rsidRPr="00777BCD">
        <w:rPr>
          <w:rFonts w:ascii="Calibri" w:hAnsi="Calibri" w:cs="Calibri"/>
          <w:bCs/>
          <w:color w:val="000000" w:themeColor="text1"/>
          <w:sz w:val="24"/>
        </w:rPr>
        <w:t>日内在规定媒介公告。</w:t>
      </w:r>
    </w:p>
    <w:p w14:paraId="1163EF22" w14:textId="77777777" w:rsidR="007149DF" w:rsidRPr="00777BCD" w:rsidRDefault="00284640">
      <w:pPr>
        <w:ind w:firstLine="540"/>
        <w:rPr>
          <w:rFonts w:ascii="Calibri" w:hAnsi="Calibri" w:cs="Calibri"/>
          <w:bCs/>
          <w:color w:val="000000" w:themeColor="text1"/>
          <w:sz w:val="24"/>
        </w:rPr>
      </w:pPr>
      <w:r w:rsidRPr="00777BCD">
        <w:rPr>
          <w:rFonts w:ascii="Calibri" w:hAnsi="Calibri" w:cs="Calibri"/>
          <w:bCs/>
          <w:color w:val="000000" w:themeColor="text1"/>
          <w:sz w:val="24"/>
        </w:rPr>
        <w:t>（六）基金收益分配中发生的费用</w:t>
      </w:r>
    </w:p>
    <w:p w14:paraId="41D9A45F" w14:textId="77777777" w:rsidR="007149DF" w:rsidRPr="00777BCD" w:rsidRDefault="00284640">
      <w:pPr>
        <w:ind w:firstLine="540"/>
        <w:rPr>
          <w:rFonts w:ascii="Calibri" w:hAnsi="Calibri" w:cs="Calibri"/>
          <w:bCs/>
          <w:color w:val="000000" w:themeColor="text1"/>
          <w:sz w:val="24"/>
        </w:rPr>
      </w:pPr>
      <w:r w:rsidRPr="00777BCD">
        <w:rPr>
          <w:rFonts w:ascii="Calibri" w:hAnsi="Calibri" w:cs="Calibri"/>
          <w:bCs/>
          <w:color w:val="000000" w:themeColor="text1"/>
          <w:sz w:val="24"/>
        </w:rPr>
        <w:t>基金收益分配时所发生的银行转账或其他手续费用由投资者自行承担。当投资者的现金红利小于一定金额，不足以支付银行转账或其他手续费用时，基金登记机构可将基金份额持有人的现金红利自动转为相应类别的基金份额。红利再投资的计算方法，依照《业务规则》执行。</w:t>
      </w:r>
    </w:p>
    <w:p w14:paraId="5583B31E" w14:textId="77777777" w:rsidR="007149DF" w:rsidRPr="00777BCD" w:rsidRDefault="00284640">
      <w:pPr>
        <w:ind w:firstLine="540"/>
        <w:rPr>
          <w:rFonts w:ascii="Calibri" w:hAnsi="Calibri" w:cs="Calibri"/>
          <w:bCs/>
          <w:color w:val="000000" w:themeColor="text1"/>
          <w:sz w:val="24"/>
        </w:rPr>
      </w:pPr>
      <w:r w:rsidRPr="00777BCD">
        <w:rPr>
          <w:rFonts w:ascii="Calibri" w:hAnsi="Calibri" w:cs="Calibri"/>
          <w:bCs/>
          <w:color w:val="000000" w:themeColor="text1"/>
          <w:sz w:val="24"/>
        </w:rPr>
        <w:lastRenderedPageBreak/>
        <w:t>（七）实施</w:t>
      </w:r>
      <w:proofErr w:type="gramStart"/>
      <w:r w:rsidRPr="00777BCD">
        <w:rPr>
          <w:rFonts w:ascii="Calibri" w:hAnsi="Calibri" w:cs="Calibri"/>
          <w:bCs/>
          <w:color w:val="000000" w:themeColor="text1"/>
          <w:sz w:val="24"/>
        </w:rPr>
        <w:t>侧袋机制</w:t>
      </w:r>
      <w:proofErr w:type="gramEnd"/>
      <w:r w:rsidRPr="00777BCD">
        <w:rPr>
          <w:rFonts w:ascii="Calibri" w:hAnsi="Calibri" w:cs="Calibri"/>
          <w:bCs/>
          <w:color w:val="000000" w:themeColor="text1"/>
          <w:sz w:val="24"/>
        </w:rPr>
        <w:t>期间的收益分配</w:t>
      </w:r>
    </w:p>
    <w:p w14:paraId="387B613D" w14:textId="77777777" w:rsidR="007149DF" w:rsidRPr="00777BCD" w:rsidRDefault="00284640">
      <w:pPr>
        <w:ind w:firstLine="540"/>
        <w:rPr>
          <w:rFonts w:ascii="Calibri" w:hAnsi="Calibri" w:cs="Calibri"/>
          <w:bCs/>
          <w:color w:val="000000" w:themeColor="text1"/>
          <w:sz w:val="24"/>
        </w:rPr>
      </w:pPr>
      <w:r w:rsidRPr="00777BCD">
        <w:rPr>
          <w:rFonts w:ascii="Calibri" w:hAnsi="Calibri" w:cs="Calibri"/>
          <w:bCs/>
          <w:color w:val="000000" w:themeColor="text1"/>
          <w:sz w:val="24"/>
        </w:rPr>
        <w:t>本基金实施</w:t>
      </w:r>
      <w:proofErr w:type="gramStart"/>
      <w:r w:rsidRPr="00777BCD">
        <w:rPr>
          <w:rFonts w:ascii="Calibri" w:hAnsi="Calibri" w:cs="Calibri"/>
          <w:bCs/>
          <w:color w:val="000000" w:themeColor="text1"/>
          <w:sz w:val="24"/>
        </w:rPr>
        <w:t>侧袋机制</w:t>
      </w:r>
      <w:proofErr w:type="gramEnd"/>
      <w:r w:rsidRPr="00777BCD">
        <w:rPr>
          <w:rFonts w:ascii="Calibri" w:hAnsi="Calibri" w:cs="Calibri"/>
          <w:bCs/>
          <w:color w:val="000000" w:themeColor="text1"/>
          <w:sz w:val="24"/>
        </w:rPr>
        <w:t>的，</w:t>
      </w:r>
      <w:proofErr w:type="gramStart"/>
      <w:r w:rsidRPr="00777BCD">
        <w:rPr>
          <w:rFonts w:ascii="Calibri" w:hAnsi="Calibri" w:cs="Calibri"/>
          <w:bCs/>
          <w:color w:val="000000" w:themeColor="text1"/>
          <w:sz w:val="24"/>
        </w:rPr>
        <w:t>侧袋账户</w:t>
      </w:r>
      <w:proofErr w:type="gramEnd"/>
      <w:r w:rsidRPr="00777BCD">
        <w:rPr>
          <w:rFonts w:ascii="Calibri" w:hAnsi="Calibri" w:cs="Calibri"/>
          <w:bCs/>
          <w:color w:val="000000" w:themeColor="text1"/>
          <w:sz w:val="24"/>
        </w:rPr>
        <w:t>不进行收益分配，详见招募说明书的规定。</w:t>
      </w:r>
    </w:p>
    <w:p w14:paraId="704E24BE" w14:textId="77777777" w:rsidR="007149DF" w:rsidRPr="00777BCD" w:rsidRDefault="007149DF">
      <w:pPr>
        <w:ind w:firstLine="480"/>
        <w:rPr>
          <w:rFonts w:ascii="Calibri" w:hAnsi="Calibri" w:cs="Calibri"/>
          <w:color w:val="000000" w:themeColor="text1"/>
          <w:sz w:val="24"/>
        </w:rPr>
      </w:pPr>
    </w:p>
    <w:p w14:paraId="00E48716"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color w:val="000000" w:themeColor="text1"/>
          <w:sz w:val="24"/>
        </w:rPr>
        <w:t>四、与基金财产管理、运用有关费用的提取、支付方式与比例</w:t>
      </w:r>
    </w:p>
    <w:p w14:paraId="5A1F066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（一）基金费用的种类</w:t>
      </w:r>
    </w:p>
    <w:p w14:paraId="7346363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、基金管理人的管理费；</w:t>
      </w:r>
    </w:p>
    <w:p w14:paraId="679C127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、基金托管人的托管费；</w:t>
      </w:r>
    </w:p>
    <w:p w14:paraId="697D113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w:t>
      </w:r>
      <w:r w:rsidRPr="00777BCD">
        <w:rPr>
          <w:rFonts w:ascii="Calibri" w:hAnsi="Calibri" w:cs="Calibri"/>
          <w:bCs/>
          <w:color w:val="000000" w:themeColor="text1"/>
          <w:sz w:val="24"/>
        </w:rPr>
        <w:t>C</w:t>
      </w:r>
      <w:r w:rsidRPr="00777BCD">
        <w:rPr>
          <w:rFonts w:ascii="Calibri" w:hAnsi="Calibri" w:cs="Calibri"/>
          <w:bCs/>
          <w:color w:val="000000" w:themeColor="text1"/>
          <w:sz w:val="24"/>
        </w:rPr>
        <w:t>类基金份额的销售服务费；</w:t>
      </w:r>
    </w:p>
    <w:p w14:paraId="7E09FE0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、除法律法规、中国证监会另有规定外，《基金合同》生效后与基金相关的信息披露费用；</w:t>
      </w:r>
    </w:p>
    <w:p w14:paraId="6062982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5</w:t>
      </w:r>
      <w:r w:rsidRPr="00777BCD">
        <w:rPr>
          <w:rFonts w:ascii="Calibri" w:hAnsi="Calibri" w:cs="Calibri"/>
          <w:bCs/>
          <w:color w:val="000000" w:themeColor="text1"/>
          <w:sz w:val="24"/>
        </w:rPr>
        <w:t>、《基金合同》生效后与基金相关的会计师费、律师费、公证费、诉讼费和仲裁费；</w:t>
      </w:r>
    </w:p>
    <w:p w14:paraId="4174BD2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6</w:t>
      </w:r>
      <w:r w:rsidRPr="00777BCD">
        <w:rPr>
          <w:rFonts w:ascii="Calibri" w:hAnsi="Calibri" w:cs="Calibri"/>
          <w:bCs/>
          <w:color w:val="000000" w:themeColor="text1"/>
          <w:sz w:val="24"/>
        </w:rPr>
        <w:t>、基金份额持有人大会费用；</w:t>
      </w:r>
    </w:p>
    <w:p w14:paraId="368973F6" w14:textId="03063875"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7</w:t>
      </w:r>
      <w:r w:rsidRPr="00777BCD">
        <w:rPr>
          <w:rFonts w:ascii="Calibri" w:hAnsi="Calibri" w:cs="Calibri"/>
          <w:bCs/>
          <w:color w:val="000000" w:themeColor="text1"/>
          <w:sz w:val="24"/>
        </w:rPr>
        <w:t>、基金的证券</w:t>
      </w:r>
      <w:r w:rsidRPr="00777BCD">
        <w:rPr>
          <w:rFonts w:ascii="Calibri" w:hAnsi="Calibri" w:cs="Calibri"/>
          <w:color w:val="000000" w:themeColor="text1"/>
          <w:sz w:val="24"/>
        </w:rPr>
        <w:t>、期货</w:t>
      </w:r>
      <w:r w:rsidRPr="00777BCD">
        <w:rPr>
          <w:rFonts w:ascii="Calibri" w:hAnsi="Calibri" w:cs="Calibri"/>
          <w:bCs/>
          <w:color w:val="000000" w:themeColor="text1"/>
          <w:sz w:val="24"/>
        </w:rPr>
        <w:t>交易结算</w:t>
      </w:r>
      <w:r w:rsidR="00531917" w:rsidRPr="00777BCD">
        <w:rPr>
          <w:rFonts w:ascii="Calibri" w:hAnsi="Calibri" w:cs="Calibri"/>
          <w:bCs/>
          <w:color w:val="000000" w:themeColor="text1"/>
          <w:sz w:val="24"/>
        </w:rPr>
        <w:t>等</w:t>
      </w:r>
      <w:r w:rsidRPr="00777BCD">
        <w:rPr>
          <w:rFonts w:ascii="Calibri" w:hAnsi="Calibri" w:cs="Calibri"/>
          <w:bCs/>
          <w:color w:val="000000" w:themeColor="text1"/>
          <w:sz w:val="24"/>
        </w:rPr>
        <w:t>费用；</w:t>
      </w:r>
    </w:p>
    <w:p w14:paraId="5232625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8</w:t>
      </w:r>
      <w:r w:rsidRPr="00777BCD">
        <w:rPr>
          <w:rFonts w:ascii="Calibri" w:hAnsi="Calibri" w:cs="Calibri"/>
          <w:bCs/>
          <w:color w:val="000000" w:themeColor="text1"/>
          <w:sz w:val="24"/>
        </w:rPr>
        <w:t>、基金的银行汇划费用；</w:t>
      </w:r>
    </w:p>
    <w:p w14:paraId="71F3390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9</w:t>
      </w:r>
      <w:r w:rsidRPr="00777BCD">
        <w:rPr>
          <w:rFonts w:ascii="Calibri" w:hAnsi="Calibri" w:cs="Calibri"/>
          <w:bCs/>
          <w:color w:val="000000" w:themeColor="text1"/>
          <w:sz w:val="24"/>
        </w:rPr>
        <w:t>、基金的相关账户的开户及维护费用；</w:t>
      </w:r>
    </w:p>
    <w:p w14:paraId="1ADFE62A" w14:textId="7777777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10</w:t>
      </w:r>
      <w:r w:rsidRPr="00777BCD">
        <w:rPr>
          <w:rFonts w:ascii="Calibri" w:hAnsi="Calibri" w:cs="Calibri"/>
          <w:bCs/>
          <w:color w:val="000000" w:themeColor="text1"/>
          <w:sz w:val="24"/>
        </w:rPr>
        <w:t>、因投资港股通标的股票而产生的各项合理费用；</w:t>
      </w:r>
    </w:p>
    <w:p w14:paraId="1A8D8F49" w14:textId="77777777" w:rsidR="007149DF" w:rsidRPr="00777BCD" w:rsidRDefault="00284640">
      <w:pPr>
        <w:ind w:firstLine="480"/>
        <w:contextualSpacing/>
        <w:rPr>
          <w:rFonts w:ascii="Calibri" w:hAnsi="Calibri" w:cs="Calibri"/>
          <w:bCs/>
          <w:color w:val="000000" w:themeColor="text1"/>
          <w:sz w:val="24"/>
        </w:rPr>
      </w:pPr>
      <w:r w:rsidRPr="00777BCD">
        <w:rPr>
          <w:rFonts w:ascii="Calibri" w:hAnsi="Calibri" w:cs="Calibri"/>
          <w:bCs/>
          <w:color w:val="000000" w:themeColor="text1"/>
          <w:sz w:val="24"/>
        </w:rPr>
        <w:t>11</w:t>
      </w:r>
      <w:r w:rsidRPr="00777BCD">
        <w:rPr>
          <w:rFonts w:ascii="Calibri" w:hAnsi="Calibri" w:cs="Calibri"/>
          <w:bCs/>
          <w:color w:val="000000" w:themeColor="text1"/>
          <w:sz w:val="24"/>
        </w:rPr>
        <w:t>、按照国家有关规定和《基金合同》约定，可以在基金财产中列支的其他费用。</w:t>
      </w:r>
    </w:p>
    <w:p w14:paraId="43BE959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（二）基金费用计提方法、计提标准和支付方式</w:t>
      </w:r>
    </w:p>
    <w:p w14:paraId="017CE8C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、基金管理人的管理费</w:t>
      </w:r>
      <w:r w:rsidRPr="00777BCD">
        <w:rPr>
          <w:rFonts w:ascii="Calibri" w:hAnsi="Calibri" w:cs="Calibri"/>
          <w:bCs/>
          <w:color w:val="000000" w:themeColor="text1"/>
          <w:sz w:val="24"/>
        </w:rPr>
        <w:t xml:space="preserve"> </w:t>
      </w:r>
    </w:p>
    <w:p w14:paraId="2FFA822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本基金的管理费按前一日基金资产净值的</w:t>
      </w:r>
      <w:r w:rsidRPr="00777BCD">
        <w:rPr>
          <w:rFonts w:ascii="Calibri" w:hAnsi="Calibri" w:cs="Calibri"/>
          <w:bCs/>
          <w:color w:val="000000" w:themeColor="text1"/>
          <w:sz w:val="24"/>
        </w:rPr>
        <w:t>1.20%</w:t>
      </w:r>
      <w:r w:rsidRPr="00777BCD">
        <w:rPr>
          <w:rFonts w:ascii="Calibri" w:hAnsi="Calibri" w:cs="Calibri"/>
          <w:bCs/>
          <w:color w:val="000000" w:themeColor="text1"/>
          <w:sz w:val="24"/>
        </w:rPr>
        <w:t>年费率计提。管理费的计算方法如下：</w:t>
      </w:r>
    </w:p>
    <w:p w14:paraId="386072B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H</w:t>
      </w:r>
      <w:r w:rsidRPr="00777BCD">
        <w:rPr>
          <w:rFonts w:ascii="Calibri" w:hAnsi="Calibri" w:cs="Calibri"/>
          <w:bCs/>
          <w:color w:val="000000" w:themeColor="text1"/>
          <w:sz w:val="24"/>
        </w:rPr>
        <w:t>＝</w:t>
      </w:r>
      <w:r w:rsidRPr="00777BCD">
        <w:rPr>
          <w:rFonts w:ascii="Calibri" w:hAnsi="Calibri" w:cs="Calibri"/>
          <w:bCs/>
          <w:color w:val="000000" w:themeColor="text1"/>
          <w:sz w:val="24"/>
        </w:rPr>
        <w:t>E×1.20%÷</w:t>
      </w:r>
      <w:r w:rsidRPr="00777BCD">
        <w:rPr>
          <w:rFonts w:ascii="Calibri" w:hAnsi="Calibri" w:cs="Calibri"/>
          <w:bCs/>
          <w:color w:val="000000" w:themeColor="text1"/>
          <w:sz w:val="24"/>
        </w:rPr>
        <w:t>当年天数</w:t>
      </w:r>
    </w:p>
    <w:p w14:paraId="671E3D5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H</w:t>
      </w:r>
      <w:r w:rsidRPr="00777BCD">
        <w:rPr>
          <w:rFonts w:ascii="Calibri" w:hAnsi="Calibri" w:cs="Calibri"/>
          <w:bCs/>
          <w:color w:val="000000" w:themeColor="text1"/>
          <w:sz w:val="24"/>
        </w:rPr>
        <w:t>为每日应计提的基金管理费</w:t>
      </w:r>
    </w:p>
    <w:p w14:paraId="0E2547F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E</w:t>
      </w:r>
      <w:r w:rsidRPr="00777BCD">
        <w:rPr>
          <w:rFonts w:ascii="Calibri" w:hAnsi="Calibri" w:cs="Calibri"/>
          <w:bCs/>
          <w:color w:val="000000" w:themeColor="text1"/>
          <w:sz w:val="24"/>
        </w:rPr>
        <w:t>为前一日的基金资产净值</w:t>
      </w:r>
    </w:p>
    <w:p w14:paraId="4746C27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基金管理费每日计提，按月支付，由基金托管人根据与基金管理人核对一致的财务数据，自动在月初</w:t>
      </w:r>
      <w:r w:rsidRPr="00777BCD">
        <w:rPr>
          <w:rFonts w:ascii="Calibri" w:hAnsi="Calibri" w:cs="Calibri"/>
          <w:bCs/>
          <w:color w:val="000000" w:themeColor="text1"/>
          <w:sz w:val="24"/>
        </w:rPr>
        <w:t>5</w:t>
      </w:r>
      <w:proofErr w:type="gramStart"/>
      <w:r w:rsidRPr="00777BCD">
        <w:rPr>
          <w:rFonts w:ascii="Calibri" w:hAnsi="Calibri" w:cs="Calibri"/>
          <w:bCs/>
          <w:color w:val="000000" w:themeColor="text1"/>
          <w:sz w:val="24"/>
        </w:rPr>
        <w:t>个</w:t>
      </w:r>
      <w:proofErr w:type="gramEnd"/>
      <w:r w:rsidRPr="00777BCD">
        <w:rPr>
          <w:rFonts w:ascii="Calibri" w:hAnsi="Calibri" w:cs="Calibri"/>
          <w:bCs/>
          <w:color w:val="000000" w:themeColor="text1"/>
          <w:sz w:val="24"/>
        </w:rPr>
        <w:t>工作日内、按照指定的账户路径进行资金支</w:t>
      </w:r>
      <w:r w:rsidRPr="00777BCD">
        <w:rPr>
          <w:rFonts w:ascii="Calibri" w:hAnsi="Calibri" w:cs="Calibri"/>
          <w:bCs/>
          <w:color w:val="000000" w:themeColor="text1"/>
          <w:sz w:val="24"/>
        </w:rPr>
        <w:lastRenderedPageBreak/>
        <w:t>付，基金管理人无需再出具资金划拨指令。若遇法定节假日、公休日等，支付日期顺延。费用自动扣划后，基金管理人应进行核对，如发现数据不符，及时联系基金托管人协商解决。</w:t>
      </w:r>
    </w:p>
    <w:p w14:paraId="00A04DF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、基金托管人的托管费</w:t>
      </w:r>
    </w:p>
    <w:p w14:paraId="20DBCFAE" w14:textId="16AC791E"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本基金的托管费按前一日基金资产净值的</w:t>
      </w:r>
      <w:r w:rsidRPr="00777BCD">
        <w:rPr>
          <w:rFonts w:ascii="Calibri" w:hAnsi="Calibri" w:cs="Calibri"/>
          <w:bCs/>
          <w:color w:val="000000" w:themeColor="text1"/>
          <w:sz w:val="24"/>
        </w:rPr>
        <w:t>0.</w:t>
      </w:r>
      <w:r w:rsidR="00777BCD" w:rsidRPr="00777BCD">
        <w:rPr>
          <w:rFonts w:ascii="Calibri" w:hAnsi="Calibri" w:cs="Calibri"/>
          <w:bCs/>
          <w:color w:val="000000" w:themeColor="text1"/>
          <w:sz w:val="24"/>
        </w:rPr>
        <w:t>20</w:t>
      </w:r>
      <w:r w:rsidRPr="00777BCD">
        <w:rPr>
          <w:rFonts w:ascii="Calibri" w:hAnsi="Calibri" w:cs="Calibri"/>
          <w:bCs/>
          <w:color w:val="000000" w:themeColor="text1"/>
          <w:sz w:val="24"/>
        </w:rPr>
        <w:t>%</w:t>
      </w:r>
      <w:r w:rsidRPr="00777BCD">
        <w:rPr>
          <w:rFonts w:ascii="Calibri" w:hAnsi="Calibri" w:cs="Calibri"/>
          <w:bCs/>
          <w:color w:val="000000" w:themeColor="text1"/>
          <w:sz w:val="24"/>
        </w:rPr>
        <w:t>的年费率计提。托管费的计算方法如下：</w:t>
      </w:r>
    </w:p>
    <w:p w14:paraId="2BBAFC9D" w14:textId="71AF2460"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H</w:t>
      </w:r>
      <w:r w:rsidRPr="00777BCD">
        <w:rPr>
          <w:rFonts w:ascii="Calibri" w:hAnsi="Calibri" w:cs="Calibri"/>
          <w:bCs/>
          <w:color w:val="000000" w:themeColor="text1"/>
          <w:sz w:val="24"/>
        </w:rPr>
        <w:t>＝</w:t>
      </w:r>
      <w:r w:rsidRPr="00777BCD">
        <w:rPr>
          <w:rFonts w:ascii="Calibri" w:hAnsi="Calibri" w:cs="Calibri"/>
          <w:bCs/>
          <w:color w:val="000000" w:themeColor="text1"/>
          <w:sz w:val="24"/>
        </w:rPr>
        <w:t>E×0.</w:t>
      </w:r>
      <w:r w:rsidR="00777BCD" w:rsidRPr="00777BCD">
        <w:rPr>
          <w:rFonts w:ascii="Calibri" w:hAnsi="Calibri" w:cs="Calibri"/>
          <w:bCs/>
          <w:color w:val="000000" w:themeColor="text1"/>
          <w:sz w:val="24"/>
        </w:rPr>
        <w:t>20</w:t>
      </w:r>
      <w:r w:rsidRPr="00777BCD">
        <w:rPr>
          <w:rFonts w:ascii="Calibri" w:hAnsi="Calibri" w:cs="Calibri"/>
          <w:bCs/>
          <w:color w:val="000000" w:themeColor="text1"/>
          <w:sz w:val="24"/>
        </w:rPr>
        <w:t>%÷</w:t>
      </w:r>
      <w:r w:rsidRPr="00777BCD">
        <w:rPr>
          <w:rFonts w:ascii="Calibri" w:hAnsi="Calibri" w:cs="Calibri"/>
          <w:bCs/>
          <w:color w:val="000000" w:themeColor="text1"/>
          <w:sz w:val="24"/>
        </w:rPr>
        <w:t>当年天数</w:t>
      </w:r>
    </w:p>
    <w:p w14:paraId="3F79CD1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H</w:t>
      </w:r>
      <w:r w:rsidRPr="00777BCD">
        <w:rPr>
          <w:rFonts w:ascii="Calibri" w:hAnsi="Calibri" w:cs="Calibri"/>
          <w:bCs/>
          <w:color w:val="000000" w:themeColor="text1"/>
          <w:sz w:val="24"/>
        </w:rPr>
        <w:t>为每日应计提的基金托管费</w:t>
      </w:r>
    </w:p>
    <w:p w14:paraId="3EBCE5F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E</w:t>
      </w:r>
      <w:r w:rsidRPr="00777BCD">
        <w:rPr>
          <w:rFonts w:ascii="Calibri" w:hAnsi="Calibri" w:cs="Calibri"/>
          <w:bCs/>
          <w:color w:val="000000" w:themeColor="text1"/>
          <w:sz w:val="24"/>
        </w:rPr>
        <w:t>为前一日的基金资产净值</w:t>
      </w:r>
    </w:p>
    <w:p w14:paraId="6FCE521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基金托管费每日计提，按月支付，由基金托管人根据与基金管理人核对一致的财务数据，自动在月初</w:t>
      </w:r>
      <w:r w:rsidRPr="00777BCD">
        <w:rPr>
          <w:rFonts w:ascii="Calibri" w:hAnsi="Calibri" w:cs="Calibri"/>
          <w:bCs/>
          <w:color w:val="000000" w:themeColor="text1"/>
          <w:sz w:val="24"/>
        </w:rPr>
        <w:t>5</w:t>
      </w:r>
      <w:proofErr w:type="gramStart"/>
      <w:r w:rsidRPr="00777BCD">
        <w:rPr>
          <w:rFonts w:ascii="Calibri" w:hAnsi="Calibri" w:cs="Calibri"/>
          <w:bCs/>
          <w:color w:val="000000" w:themeColor="text1"/>
          <w:sz w:val="24"/>
        </w:rPr>
        <w:t>个</w:t>
      </w:r>
      <w:proofErr w:type="gramEnd"/>
      <w:r w:rsidRPr="00777BCD">
        <w:rPr>
          <w:rFonts w:ascii="Calibri" w:hAnsi="Calibri" w:cs="Calibri"/>
          <w:bCs/>
          <w:color w:val="000000" w:themeColor="text1"/>
          <w:sz w:val="24"/>
        </w:rPr>
        <w:t>工作日内、按照指定的账户路径进行资金支付，基金管理人无需再出具资金划拨指令。若遇法定节假日、公休日等，支付日期顺延。费用自动扣划后，基金管理人应进行核对，如发现数据不符，及时联系基金托管人协商解决。</w:t>
      </w:r>
    </w:p>
    <w:p w14:paraId="59316DF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、销售服务费</w:t>
      </w:r>
    </w:p>
    <w:p w14:paraId="58547C9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本基金</w:t>
      </w:r>
      <w:r w:rsidRPr="00777BCD">
        <w:rPr>
          <w:rFonts w:ascii="Calibri" w:hAnsi="Calibri" w:cs="Calibri"/>
          <w:bCs/>
          <w:color w:val="000000" w:themeColor="text1"/>
          <w:sz w:val="24"/>
        </w:rPr>
        <w:t>A</w:t>
      </w:r>
      <w:r w:rsidRPr="00777BCD">
        <w:rPr>
          <w:rFonts w:ascii="Calibri" w:hAnsi="Calibri" w:cs="Calibri"/>
          <w:bCs/>
          <w:color w:val="000000" w:themeColor="text1"/>
          <w:sz w:val="24"/>
        </w:rPr>
        <w:t>类基金份额不收取销售服务费，</w:t>
      </w:r>
      <w:r w:rsidRPr="00777BCD">
        <w:rPr>
          <w:rFonts w:ascii="Calibri" w:hAnsi="Calibri" w:cs="Calibri"/>
          <w:bCs/>
          <w:color w:val="000000" w:themeColor="text1"/>
          <w:sz w:val="24"/>
        </w:rPr>
        <w:t>C</w:t>
      </w:r>
      <w:r w:rsidRPr="00777BCD">
        <w:rPr>
          <w:rFonts w:ascii="Calibri" w:hAnsi="Calibri" w:cs="Calibri"/>
          <w:bCs/>
          <w:color w:val="000000" w:themeColor="text1"/>
          <w:sz w:val="24"/>
        </w:rPr>
        <w:t>类基金份额的销售服务费按前一日</w:t>
      </w:r>
      <w:r w:rsidRPr="00777BCD">
        <w:rPr>
          <w:rFonts w:ascii="Calibri" w:hAnsi="Calibri" w:cs="Calibri"/>
          <w:bCs/>
          <w:color w:val="000000" w:themeColor="text1"/>
          <w:sz w:val="24"/>
        </w:rPr>
        <w:t>C</w:t>
      </w:r>
      <w:r w:rsidRPr="00777BCD">
        <w:rPr>
          <w:rFonts w:ascii="Calibri" w:hAnsi="Calibri" w:cs="Calibri"/>
          <w:bCs/>
          <w:color w:val="000000" w:themeColor="text1"/>
          <w:sz w:val="24"/>
        </w:rPr>
        <w:t>类基金份额的基金资产净值的</w:t>
      </w:r>
      <w:r w:rsidRPr="00777BCD">
        <w:rPr>
          <w:rFonts w:ascii="Calibri" w:hAnsi="Calibri" w:cs="Calibri"/>
          <w:bCs/>
          <w:color w:val="000000" w:themeColor="text1"/>
          <w:sz w:val="24"/>
        </w:rPr>
        <w:t>0.60%</w:t>
      </w:r>
      <w:r w:rsidRPr="00777BCD">
        <w:rPr>
          <w:rFonts w:ascii="Calibri" w:hAnsi="Calibri" w:cs="Calibri"/>
          <w:bCs/>
          <w:color w:val="000000" w:themeColor="text1"/>
          <w:sz w:val="24"/>
        </w:rPr>
        <w:t>年费率计提，计算方法如下：</w:t>
      </w:r>
    </w:p>
    <w:p w14:paraId="3C3B865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H</w:t>
      </w:r>
      <w:r w:rsidRPr="00777BCD">
        <w:rPr>
          <w:rFonts w:ascii="Calibri" w:hAnsi="Calibri" w:cs="Calibri"/>
          <w:bCs/>
          <w:color w:val="000000" w:themeColor="text1"/>
          <w:sz w:val="24"/>
        </w:rPr>
        <w:t>＝</w:t>
      </w:r>
      <w:r w:rsidRPr="00777BCD">
        <w:rPr>
          <w:rFonts w:ascii="Calibri" w:hAnsi="Calibri" w:cs="Calibri"/>
          <w:bCs/>
          <w:color w:val="000000" w:themeColor="text1"/>
          <w:sz w:val="24"/>
        </w:rPr>
        <w:t>E×0.60%÷</w:t>
      </w:r>
      <w:r w:rsidRPr="00777BCD">
        <w:rPr>
          <w:rFonts w:ascii="Calibri" w:hAnsi="Calibri" w:cs="Calibri"/>
          <w:bCs/>
          <w:color w:val="000000" w:themeColor="text1"/>
          <w:sz w:val="24"/>
        </w:rPr>
        <w:t>当年天数</w:t>
      </w:r>
    </w:p>
    <w:p w14:paraId="529E86C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H</w:t>
      </w:r>
      <w:r w:rsidRPr="00777BCD">
        <w:rPr>
          <w:rFonts w:ascii="Calibri" w:hAnsi="Calibri" w:cs="Calibri"/>
          <w:bCs/>
          <w:color w:val="000000" w:themeColor="text1"/>
          <w:sz w:val="24"/>
        </w:rPr>
        <w:t>为</w:t>
      </w:r>
      <w:r w:rsidRPr="00777BCD">
        <w:rPr>
          <w:rFonts w:ascii="Calibri" w:hAnsi="Calibri" w:cs="Calibri"/>
          <w:bCs/>
          <w:color w:val="000000" w:themeColor="text1"/>
          <w:sz w:val="24"/>
        </w:rPr>
        <w:t>C</w:t>
      </w:r>
      <w:r w:rsidRPr="00777BCD">
        <w:rPr>
          <w:rFonts w:ascii="Calibri" w:hAnsi="Calibri" w:cs="Calibri"/>
          <w:bCs/>
          <w:color w:val="000000" w:themeColor="text1"/>
          <w:sz w:val="24"/>
        </w:rPr>
        <w:t>类基金份额每日应计提的销售服务费</w:t>
      </w:r>
    </w:p>
    <w:p w14:paraId="26A4ACA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E</w:t>
      </w:r>
      <w:r w:rsidRPr="00777BCD">
        <w:rPr>
          <w:rFonts w:ascii="Calibri" w:hAnsi="Calibri" w:cs="Calibri"/>
          <w:bCs/>
          <w:color w:val="000000" w:themeColor="text1"/>
          <w:sz w:val="24"/>
        </w:rPr>
        <w:t>为</w:t>
      </w:r>
      <w:r w:rsidRPr="00777BCD">
        <w:rPr>
          <w:rFonts w:ascii="Calibri" w:hAnsi="Calibri" w:cs="Calibri"/>
          <w:bCs/>
          <w:color w:val="000000" w:themeColor="text1"/>
          <w:sz w:val="24"/>
        </w:rPr>
        <w:t>C</w:t>
      </w:r>
      <w:r w:rsidRPr="00777BCD">
        <w:rPr>
          <w:rFonts w:ascii="Calibri" w:hAnsi="Calibri" w:cs="Calibri"/>
          <w:bCs/>
          <w:color w:val="000000" w:themeColor="text1"/>
          <w:sz w:val="24"/>
        </w:rPr>
        <w:t>类基金份额前一日的基金资产净值</w:t>
      </w:r>
    </w:p>
    <w:p w14:paraId="1681276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 xml:space="preserve">C </w:t>
      </w:r>
      <w:r w:rsidRPr="00777BCD">
        <w:rPr>
          <w:rFonts w:ascii="Calibri" w:hAnsi="Calibri" w:cs="Calibri"/>
          <w:bCs/>
          <w:color w:val="000000" w:themeColor="text1"/>
          <w:sz w:val="24"/>
        </w:rPr>
        <w:t>类基金份额销售服务费每日计提，按月支付，由基金托管人根据与基金管理人核对一致的财务数据，自动在月初</w:t>
      </w:r>
      <w:r w:rsidRPr="00777BCD">
        <w:rPr>
          <w:rFonts w:ascii="Calibri" w:hAnsi="Calibri" w:cs="Calibri"/>
          <w:bCs/>
          <w:color w:val="000000" w:themeColor="text1"/>
          <w:sz w:val="24"/>
        </w:rPr>
        <w:t>5</w:t>
      </w:r>
      <w:proofErr w:type="gramStart"/>
      <w:r w:rsidRPr="00777BCD">
        <w:rPr>
          <w:rFonts w:ascii="Calibri" w:hAnsi="Calibri" w:cs="Calibri"/>
          <w:bCs/>
          <w:color w:val="000000" w:themeColor="text1"/>
          <w:sz w:val="24"/>
        </w:rPr>
        <w:t>个</w:t>
      </w:r>
      <w:proofErr w:type="gramEnd"/>
      <w:r w:rsidRPr="00777BCD">
        <w:rPr>
          <w:rFonts w:ascii="Calibri" w:hAnsi="Calibri" w:cs="Calibri"/>
          <w:bCs/>
          <w:color w:val="000000" w:themeColor="text1"/>
          <w:sz w:val="24"/>
        </w:rPr>
        <w:t>工作日内、按照指定的账户路径进行资金支付，基金管理人无需再出具资金划拨指令。若遇法定节假日、公休日等，支付日期顺延。费用自动扣划后，基金管理人应进行核对，如发现数据不符，及时联系基金托管人协商解决。</w:t>
      </w:r>
    </w:p>
    <w:p w14:paraId="73D1DAA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、上述</w:t>
      </w:r>
      <w:r w:rsidRPr="00777BCD">
        <w:rPr>
          <w:rFonts w:ascii="Calibri" w:hAnsi="Calibri" w:cs="Calibri"/>
          <w:bCs/>
          <w:color w:val="000000" w:themeColor="text1"/>
          <w:sz w:val="24"/>
        </w:rPr>
        <w:t>“</w:t>
      </w:r>
      <w:r w:rsidRPr="00777BCD">
        <w:rPr>
          <w:rFonts w:ascii="Calibri" w:hAnsi="Calibri" w:cs="Calibri"/>
          <w:bCs/>
          <w:color w:val="000000" w:themeColor="text1"/>
          <w:sz w:val="24"/>
        </w:rPr>
        <w:t>（一）基金费用的种类</w:t>
      </w:r>
      <w:r w:rsidRPr="00777BCD">
        <w:rPr>
          <w:rFonts w:ascii="Calibri" w:hAnsi="Calibri" w:cs="Calibri"/>
          <w:bCs/>
          <w:color w:val="000000" w:themeColor="text1"/>
          <w:sz w:val="24"/>
        </w:rPr>
        <w:t>”</w:t>
      </w:r>
      <w:r w:rsidRPr="00777BCD">
        <w:rPr>
          <w:rFonts w:ascii="Calibri" w:hAnsi="Calibri" w:cs="Calibri"/>
          <w:bCs/>
          <w:color w:val="000000" w:themeColor="text1"/>
          <w:sz w:val="24"/>
        </w:rPr>
        <w:t>中第</w:t>
      </w:r>
      <w:r w:rsidRPr="00777BCD">
        <w:rPr>
          <w:rFonts w:ascii="Calibri" w:hAnsi="Calibri" w:cs="Calibri"/>
          <w:bCs/>
          <w:color w:val="000000" w:themeColor="text1"/>
          <w:sz w:val="24"/>
        </w:rPr>
        <w:t>4-11</w:t>
      </w:r>
      <w:r w:rsidRPr="00777BCD">
        <w:rPr>
          <w:rFonts w:ascii="Calibri" w:hAnsi="Calibri" w:cs="Calibri"/>
          <w:bCs/>
          <w:color w:val="000000" w:themeColor="text1"/>
          <w:sz w:val="24"/>
        </w:rPr>
        <w:t>项费用，根据有关法律法规及相应协议规定，按费用实际支出金额列入当期费用，由基金托管人从基金财产中支付。</w:t>
      </w:r>
    </w:p>
    <w:p w14:paraId="54BF48D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（三）不列入基金费用的项目</w:t>
      </w:r>
    </w:p>
    <w:p w14:paraId="495AFF4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下列费用不列入基金费用：</w:t>
      </w:r>
    </w:p>
    <w:p w14:paraId="430135F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、基金管理人和基金托管人因未履行或未完全履行义务导致的费用支出或基金财产的损失；</w:t>
      </w:r>
    </w:p>
    <w:p w14:paraId="207F39E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、基金管理人和基金托管人处理与基金运作无关的事项发生的费用；</w:t>
      </w:r>
    </w:p>
    <w:p w14:paraId="4BDCA36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、《基金合同》生效前的相关费用；</w:t>
      </w:r>
    </w:p>
    <w:p w14:paraId="6A75ED3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、其他根据相关法律法规及中国证监会的有关规定不得列入基金费用的项目。</w:t>
      </w:r>
    </w:p>
    <w:p w14:paraId="4919B99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（四）实施</w:t>
      </w:r>
      <w:proofErr w:type="gramStart"/>
      <w:r w:rsidRPr="00777BCD">
        <w:rPr>
          <w:rFonts w:ascii="Calibri" w:hAnsi="Calibri" w:cs="Calibri"/>
          <w:bCs/>
          <w:color w:val="000000" w:themeColor="text1"/>
          <w:sz w:val="24"/>
        </w:rPr>
        <w:t>侧袋机制</w:t>
      </w:r>
      <w:proofErr w:type="gramEnd"/>
      <w:r w:rsidRPr="00777BCD">
        <w:rPr>
          <w:rFonts w:ascii="Calibri" w:hAnsi="Calibri" w:cs="Calibri"/>
          <w:bCs/>
          <w:color w:val="000000" w:themeColor="text1"/>
          <w:sz w:val="24"/>
        </w:rPr>
        <w:t>期间的基金费用</w:t>
      </w:r>
    </w:p>
    <w:p w14:paraId="7AF267B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本基金实施</w:t>
      </w:r>
      <w:proofErr w:type="gramStart"/>
      <w:r w:rsidRPr="00777BCD">
        <w:rPr>
          <w:rFonts w:ascii="Calibri" w:hAnsi="Calibri" w:cs="Calibri"/>
          <w:bCs/>
          <w:color w:val="000000" w:themeColor="text1"/>
          <w:sz w:val="24"/>
        </w:rPr>
        <w:t>侧袋机制</w:t>
      </w:r>
      <w:proofErr w:type="gramEnd"/>
      <w:r w:rsidRPr="00777BCD">
        <w:rPr>
          <w:rFonts w:ascii="Calibri" w:hAnsi="Calibri" w:cs="Calibri"/>
          <w:bCs/>
          <w:color w:val="000000" w:themeColor="text1"/>
          <w:sz w:val="24"/>
        </w:rPr>
        <w:t>的，</w:t>
      </w:r>
      <w:proofErr w:type="gramStart"/>
      <w:r w:rsidRPr="00777BCD">
        <w:rPr>
          <w:rFonts w:ascii="Calibri" w:hAnsi="Calibri" w:cs="Calibri"/>
          <w:bCs/>
          <w:color w:val="000000" w:themeColor="text1"/>
          <w:sz w:val="24"/>
        </w:rPr>
        <w:t>与侧袋账户</w:t>
      </w:r>
      <w:proofErr w:type="gramEnd"/>
      <w:r w:rsidRPr="00777BCD">
        <w:rPr>
          <w:rFonts w:ascii="Calibri" w:hAnsi="Calibri" w:cs="Calibri"/>
          <w:bCs/>
          <w:color w:val="000000" w:themeColor="text1"/>
          <w:sz w:val="24"/>
        </w:rPr>
        <w:t>有关的费用可以</w:t>
      </w:r>
      <w:proofErr w:type="gramStart"/>
      <w:r w:rsidRPr="00777BCD">
        <w:rPr>
          <w:rFonts w:ascii="Calibri" w:hAnsi="Calibri" w:cs="Calibri"/>
          <w:bCs/>
          <w:color w:val="000000" w:themeColor="text1"/>
          <w:sz w:val="24"/>
        </w:rPr>
        <w:t>从侧袋账户</w:t>
      </w:r>
      <w:proofErr w:type="gramEnd"/>
      <w:r w:rsidRPr="00777BCD">
        <w:rPr>
          <w:rFonts w:ascii="Calibri" w:hAnsi="Calibri" w:cs="Calibri"/>
          <w:bCs/>
          <w:color w:val="000000" w:themeColor="text1"/>
          <w:sz w:val="24"/>
        </w:rPr>
        <w:t>中列支，但应</w:t>
      </w:r>
      <w:proofErr w:type="gramStart"/>
      <w:r w:rsidRPr="00777BCD">
        <w:rPr>
          <w:rFonts w:ascii="Calibri" w:hAnsi="Calibri" w:cs="Calibri"/>
          <w:bCs/>
          <w:color w:val="000000" w:themeColor="text1"/>
          <w:sz w:val="24"/>
        </w:rPr>
        <w:t>待侧袋</w:t>
      </w:r>
      <w:proofErr w:type="gramEnd"/>
      <w:r w:rsidRPr="00777BCD">
        <w:rPr>
          <w:rFonts w:ascii="Calibri" w:hAnsi="Calibri" w:cs="Calibri"/>
          <w:bCs/>
          <w:color w:val="000000" w:themeColor="text1"/>
          <w:sz w:val="24"/>
        </w:rPr>
        <w:t>账户资产变现后方可列支，有关费用可酌情收取或减免，但不得收取管理费，详见招募说明书或相关公告的规定。</w:t>
      </w:r>
    </w:p>
    <w:p w14:paraId="4081D3B6"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（五）基金税收</w:t>
      </w:r>
    </w:p>
    <w:p w14:paraId="4FA3CD40" w14:textId="77777777" w:rsidR="007149DF" w:rsidRPr="00777BCD" w:rsidRDefault="00284640">
      <w:pPr>
        <w:ind w:firstLine="480"/>
        <w:rPr>
          <w:rFonts w:ascii="Calibri" w:hAnsi="Calibri" w:cs="Calibri"/>
          <w:bCs/>
          <w:color w:val="000000" w:themeColor="text1"/>
          <w:sz w:val="24"/>
          <w:szCs w:val="21"/>
        </w:rPr>
      </w:pPr>
      <w:r w:rsidRPr="00777BCD">
        <w:rPr>
          <w:rFonts w:ascii="Calibri" w:hAnsi="Calibri" w:cs="Calibri"/>
          <w:bCs/>
          <w:color w:val="000000" w:themeColor="text1"/>
          <w:sz w:val="24"/>
        </w:rPr>
        <w:t>本基金运作过程中涉及的各纳税主体，其纳税义务按国家税收法律、法规执行。</w:t>
      </w:r>
      <w:r w:rsidRPr="00777BCD">
        <w:rPr>
          <w:rFonts w:ascii="Calibri" w:hAnsi="Calibri" w:cs="Calibri"/>
          <w:bCs/>
          <w:color w:val="000000" w:themeColor="text1"/>
          <w:sz w:val="24"/>
          <w:szCs w:val="21"/>
        </w:rPr>
        <w:t>基金财产投资的相关税收，由基金份额持有人承担，基金管理人或者其他扣缴义务人按照国家有关税收征收的规定代扣代缴。</w:t>
      </w:r>
    </w:p>
    <w:p w14:paraId="5A05EBD0" w14:textId="77777777" w:rsidR="007149DF" w:rsidRPr="00777BCD" w:rsidRDefault="007149DF">
      <w:pPr>
        <w:ind w:firstLine="480"/>
        <w:rPr>
          <w:rFonts w:ascii="Calibri" w:hAnsi="Calibri" w:cs="Calibri"/>
          <w:bCs/>
          <w:color w:val="000000" w:themeColor="text1"/>
          <w:sz w:val="24"/>
          <w:szCs w:val="21"/>
        </w:rPr>
      </w:pPr>
    </w:p>
    <w:p w14:paraId="3034630E" w14:textId="77777777" w:rsidR="007149DF" w:rsidRPr="00777BCD" w:rsidRDefault="00284640">
      <w:pPr>
        <w:ind w:firstLine="480"/>
        <w:rPr>
          <w:rFonts w:ascii="Calibri" w:hAnsi="Calibri" w:cs="Calibri"/>
          <w:color w:val="000000" w:themeColor="text1"/>
          <w:sz w:val="24"/>
        </w:rPr>
      </w:pPr>
      <w:r w:rsidRPr="00777BCD">
        <w:rPr>
          <w:rFonts w:ascii="Calibri" w:hAnsi="Calibri" w:cs="Calibri"/>
          <w:color w:val="000000" w:themeColor="text1"/>
          <w:sz w:val="24"/>
        </w:rPr>
        <w:t>五、基金财产的投资方向和投资限制</w:t>
      </w:r>
    </w:p>
    <w:p w14:paraId="64C8D76A"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（一）投资目标</w:t>
      </w:r>
    </w:p>
    <w:p w14:paraId="0F2B05F7" w14:textId="57533648"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本基金秉持</w:t>
      </w:r>
      <w:r w:rsidR="00B43597">
        <w:rPr>
          <w:rFonts w:ascii="Calibri" w:hAnsi="Calibri" w:cs="Calibri"/>
          <w:bCs/>
          <w:color w:val="000000" w:themeColor="text1"/>
          <w:sz w:val="24"/>
        </w:rPr>
        <w:t>ESG</w:t>
      </w:r>
      <w:r w:rsidR="00B43597">
        <w:rPr>
          <w:rFonts w:ascii="Calibri" w:hAnsi="Calibri" w:cs="Calibri"/>
          <w:bCs/>
          <w:color w:val="000000" w:themeColor="text1"/>
          <w:sz w:val="24"/>
        </w:rPr>
        <w:t>主题</w:t>
      </w:r>
      <w:r w:rsidR="00301FCC">
        <w:rPr>
          <w:rFonts w:ascii="Calibri" w:hAnsi="Calibri" w:cs="Calibri" w:hint="eastAsia"/>
          <w:bCs/>
          <w:color w:val="000000" w:themeColor="text1"/>
          <w:sz w:val="24"/>
        </w:rPr>
        <w:t>投资</w:t>
      </w:r>
      <w:r w:rsidRPr="00777BCD">
        <w:rPr>
          <w:rFonts w:ascii="Calibri" w:hAnsi="Calibri" w:cs="Calibri"/>
          <w:bCs/>
          <w:color w:val="000000" w:themeColor="text1"/>
          <w:sz w:val="24"/>
        </w:rPr>
        <w:t>理念，在保持资产流动性以及控制风险的基础上，通过积极主动的投资管理，追求基金资产的长期稳健增值。</w:t>
      </w:r>
    </w:p>
    <w:p w14:paraId="00909326"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（二）投资范围</w:t>
      </w:r>
    </w:p>
    <w:p w14:paraId="4569D80B"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本基金的投资范围主要为具有良好流动性的金融工具，包括国内依法发行上市的股票（含主板、创业板及其他经中国证监会核准或注册上市的股票和存托凭证）、港股通标的股票、债券（包括国债、央行票据、地方政府债券、政府支持机构债券、政府支持债券、金融债券、企业债券、公司债券、次级债券、短期融资</w:t>
      </w:r>
      <w:proofErr w:type="gramStart"/>
      <w:r w:rsidRPr="00777BCD">
        <w:rPr>
          <w:rFonts w:ascii="Calibri" w:hAnsi="Calibri" w:cs="Calibri"/>
          <w:bCs/>
          <w:color w:val="000000" w:themeColor="text1"/>
          <w:sz w:val="24"/>
        </w:rPr>
        <w:t>券</w:t>
      </w:r>
      <w:proofErr w:type="gramEnd"/>
      <w:r w:rsidRPr="00777BCD">
        <w:rPr>
          <w:rFonts w:ascii="Calibri" w:hAnsi="Calibri" w:cs="Calibri"/>
          <w:bCs/>
          <w:color w:val="000000" w:themeColor="text1"/>
          <w:sz w:val="24"/>
        </w:rPr>
        <w:t>、超短期融资</w:t>
      </w:r>
      <w:proofErr w:type="gramStart"/>
      <w:r w:rsidRPr="00777BCD">
        <w:rPr>
          <w:rFonts w:ascii="Calibri" w:hAnsi="Calibri" w:cs="Calibri"/>
          <w:bCs/>
          <w:color w:val="000000" w:themeColor="text1"/>
          <w:sz w:val="24"/>
        </w:rPr>
        <w:t>券</w:t>
      </w:r>
      <w:proofErr w:type="gramEnd"/>
      <w:r w:rsidRPr="00777BCD">
        <w:rPr>
          <w:rFonts w:ascii="Calibri" w:hAnsi="Calibri" w:cs="Calibri"/>
          <w:bCs/>
          <w:color w:val="000000" w:themeColor="text1"/>
          <w:sz w:val="24"/>
        </w:rPr>
        <w:t>、中期票据、可转换债券（</w:t>
      </w:r>
      <w:proofErr w:type="gramStart"/>
      <w:r w:rsidRPr="00777BCD">
        <w:rPr>
          <w:rFonts w:ascii="Calibri" w:hAnsi="Calibri" w:cs="Calibri"/>
          <w:bCs/>
          <w:color w:val="000000" w:themeColor="text1"/>
          <w:sz w:val="24"/>
        </w:rPr>
        <w:t>含可分离</w:t>
      </w:r>
      <w:proofErr w:type="gramEnd"/>
      <w:r w:rsidRPr="00777BCD">
        <w:rPr>
          <w:rFonts w:ascii="Calibri" w:hAnsi="Calibri" w:cs="Calibri"/>
          <w:bCs/>
          <w:color w:val="000000" w:themeColor="text1"/>
          <w:sz w:val="24"/>
        </w:rPr>
        <w:t>交易可转换债券）、可交换债券及其他中国证监会允许基金投资的债券）、资产支持证券、债券回购、银行存款、同业存单、货币市场工具、股指期货以及法律法规</w:t>
      </w:r>
      <w:r w:rsidRPr="00777BCD">
        <w:rPr>
          <w:rFonts w:ascii="Calibri" w:hAnsi="Calibri" w:cs="Calibri"/>
          <w:bCs/>
          <w:color w:val="000000" w:themeColor="text1"/>
          <w:sz w:val="24"/>
        </w:rPr>
        <w:lastRenderedPageBreak/>
        <w:t>或中国证监会允许基金投资的其他金融工具（但须符合中国证监会相关规定）。</w:t>
      </w:r>
    </w:p>
    <w:p w14:paraId="08920387"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本基金可根据法律法规的规定参与融资业务。</w:t>
      </w:r>
    </w:p>
    <w:p w14:paraId="1FB3750E" w14:textId="5EEA4DBB" w:rsidR="007149DF" w:rsidRPr="00777BCD" w:rsidRDefault="00284640">
      <w:pPr>
        <w:ind w:firstLine="480"/>
        <w:jc w:val="left"/>
        <w:rPr>
          <w:rFonts w:ascii="Calibri" w:hAnsi="Calibri" w:cs="Calibri"/>
          <w:color w:val="000000" w:themeColor="text1"/>
          <w:sz w:val="24"/>
        </w:rPr>
      </w:pPr>
      <w:r w:rsidRPr="00777BCD">
        <w:rPr>
          <w:rFonts w:ascii="Calibri" w:hAnsi="Calibri" w:cs="Calibri"/>
          <w:bCs/>
          <w:color w:val="000000" w:themeColor="text1"/>
          <w:sz w:val="24"/>
        </w:rPr>
        <w:t>如法律法规或监管机构以后允许基金投资其他品种，基金管理人在履行适当程序后，可以将其纳入投资范围。</w:t>
      </w:r>
    </w:p>
    <w:p w14:paraId="429E6BAF" w14:textId="77777777" w:rsidR="007149DF" w:rsidRPr="00777BCD" w:rsidRDefault="00284640">
      <w:pPr>
        <w:ind w:firstLine="480"/>
        <w:rPr>
          <w:rFonts w:ascii="Calibri" w:hAnsi="Calibri" w:cs="Calibri"/>
          <w:bCs/>
          <w:color w:val="000000" w:themeColor="text1"/>
          <w:sz w:val="24"/>
        </w:rPr>
      </w:pPr>
      <w:bookmarkStart w:id="558" w:name="_Hlk103971630"/>
      <w:r w:rsidRPr="00777BCD">
        <w:rPr>
          <w:rFonts w:ascii="Calibri" w:hAnsi="Calibri" w:cs="Calibri"/>
          <w:bCs/>
          <w:color w:val="000000" w:themeColor="text1"/>
          <w:sz w:val="24"/>
        </w:rPr>
        <w:t>基金的投资组合比例为：</w:t>
      </w:r>
    </w:p>
    <w:p w14:paraId="5295EAFF" w14:textId="703F721F"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本基金股票资产占基金资产的比例为</w:t>
      </w:r>
      <w:r w:rsidRPr="00777BCD">
        <w:rPr>
          <w:rFonts w:ascii="Calibri" w:hAnsi="Calibri" w:cs="Calibri"/>
          <w:bCs/>
          <w:color w:val="000000" w:themeColor="text1"/>
          <w:sz w:val="24"/>
        </w:rPr>
        <w:t>60%-95%</w:t>
      </w:r>
      <w:r w:rsidRPr="00777BCD">
        <w:rPr>
          <w:rFonts w:ascii="Calibri" w:hAnsi="Calibri" w:cs="Calibri"/>
          <w:bCs/>
          <w:color w:val="000000" w:themeColor="text1"/>
          <w:sz w:val="24"/>
        </w:rPr>
        <w:t>，其中投资于港股通标的股票的比例不超过股票资产的</w:t>
      </w:r>
      <w:r w:rsidRPr="00777BCD">
        <w:rPr>
          <w:rFonts w:ascii="Calibri" w:hAnsi="Calibri" w:cs="Calibri"/>
          <w:bCs/>
          <w:color w:val="000000" w:themeColor="text1"/>
          <w:sz w:val="24"/>
        </w:rPr>
        <w:t>50%</w:t>
      </w:r>
      <w:r w:rsidRPr="00777BCD">
        <w:rPr>
          <w:rFonts w:ascii="Calibri" w:hAnsi="Calibri" w:cs="Calibri"/>
          <w:bCs/>
          <w:color w:val="000000" w:themeColor="text1"/>
          <w:sz w:val="24"/>
        </w:rPr>
        <w:t>，投资于</w:t>
      </w:r>
      <w:r w:rsidR="00B43597">
        <w:rPr>
          <w:rFonts w:ascii="Calibri" w:hAnsi="Calibri" w:cs="Calibri"/>
          <w:bCs/>
          <w:color w:val="000000" w:themeColor="text1"/>
          <w:sz w:val="24"/>
        </w:rPr>
        <w:t>ESG</w:t>
      </w:r>
      <w:r w:rsidRPr="00777BCD">
        <w:rPr>
          <w:rFonts w:ascii="Calibri" w:hAnsi="Calibri" w:cs="Calibri"/>
          <w:bCs/>
          <w:color w:val="000000" w:themeColor="text1"/>
          <w:sz w:val="24"/>
        </w:rPr>
        <w:t>主题股票的比例不低于非现金基金资产的</w:t>
      </w:r>
      <w:r w:rsidRPr="00777BCD">
        <w:rPr>
          <w:rFonts w:ascii="Calibri" w:hAnsi="Calibri" w:cs="Calibri"/>
          <w:bCs/>
          <w:color w:val="000000" w:themeColor="text1"/>
          <w:sz w:val="24"/>
        </w:rPr>
        <w:t>80%</w:t>
      </w:r>
      <w:r w:rsidRPr="00777BCD">
        <w:rPr>
          <w:rFonts w:ascii="Calibri" w:hAnsi="Calibri" w:cs="Calibri"/>
          <w:bCs/>
          <w:color w:val="000000" w:themeColor="text1"/>
          <w:sz w:val="24"/>
        </w:rPr>
        <w:t>；每个交易日日终在扣除股指期货合约需缴纳的交易保证金后，基金保留的现金或到期日在一年以内的政府债券的比例合计不低于基金资产净值的</w:t>
      </w:r>
      <w:r w:rsidRPr="00777BCD">
        <w:rPr>
          <w:rFonts w:ascii="Calibri" w:hAnsi="Calibri" w:cs="Calibri"/>
          <w:bCs/>
          <w:color w:val="000000" w:themeColor="text1"/>
          <w:sz w:val="24"/>
        </w:rPr>
        <w:t>5%</w:t>
      </w:r>
      <w:r w:rsidRPr="00777BCD">
        <w:rPr>
          <w:rFonts w:ascii="Calibri" w:hAnsi="Calibri" w:cs="Calibri"/>
          <w:bCs/>
          <w:color w:val="000000" w:themeColor="text1"/>
          <w:sz w:val="24"/>
        </w:rPr>
        <w:t>，其中现金不包括结算备付金、存出保证金、应收申购款等。</w:t>
      </w:r>
    </w:p>
    <w:p w14:paraId="2B6330ED" w14:textId="678EADE8"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如法律法规或中国证监会变更投资品种的投资比例限制，基金管理人在履行适当程序后，可以调整上述投资品种的投资比例。</w:t>
      </w:r>
      <w:bookmarkEnd w:id="558"/>
    </w:p>
    <w:p w14:paraId="1758C399"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（三）投资限制</w:t>
      </w:r>
    </w:p>
    <w:p w14:paraId="435493B5"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、组合限制</w:t>
      </w:r>
    </w:p>
    <w:p w14:paraId="1EB35967"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基金的投资组合应遵循以下限制：</w:t>
      </w:r>
    </w:p>
    <w:p w14:paraId="287BB6D2" w14:textId="4D0A147C"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1</w:t>
      </w:r>
      <w:r w:rsidRPr="00777BCD">
        <w:rPr>
          <w:rFonts w:ascii="Calibri" w:hAnsi="Calibri" w:cs="Calibri"/>
          <w:color w:val="000000" w:themeColor="text1"/>
          <w:sz w:val="24"/>
        </w:rPr>
        <w:t>）本基金股票资产占基金资产的比例为</w:t>
      </w:r>
      <w:r w:rsidRPr="00777BCD">
        <w:rPr>
          <w:rFonts w:ascii="Calibri" w:hAnsi="Calibri" w:cs="Calibri"/>
          <w:color w:val="000000" w:themeColor="text1"/>
          <w:sz w:val="24"/>
        </w:rPr>
        <w:t>60</w:t>
      </w:r>
      <w:r w:rsidR="00531917">
        <w:rPr>
          <w:rFonts w:ascii="Calibri" w:hAnsi="Calibri" w:cs="Calibri"/>
          <w:color w:val="000000" w:themeColor="text1"/>
          <w:sz w:val="24"/>
        </w:rPr>
        <w:t>%</w:t>
      </w:r>
      <w:r w:rsidRPr="00777BCD">
        <w:rPr>
          <w:rFonts w:ascii="Calibri" w:hAnsi="Calibri" w:cs="Calibri"/>
          <w:color w:val="000000" w:themeColor="text1"/>
          <w:sz w:val="24"/>
        </w:rPr>
        <w:t>-95%</w:t>
      </w:r>
      <w:r w:rsidRPr="00777BCD">
        <w:rPr>
          <w:rFonts w:ascii="Calibri" w:hAnsi="Calibri" w:cs="Calibri"/>
          <w:color w:val="000000" w:themeColor="text1"/>
          <w:sz w:val="24"/>
        </w:rPr>
        <w:t>，其中投资于港股通标的股票的比例不超过股票资产的</w:t>
      </w:r>
      <w:r w:rsidRPr="00777BCD">
        <w:rPr>
          <w:rFonts w:ascii="Calibri" w:hAnsi="Calibri" w:cs="Calibri"/>
          <w:color w:val="000000" w:themeColor="text1"/>
          <w:sz w:val="24"/>
        </w:rPr>
        <w:t>50%</w:t>
      </w:r>
      <w:r w:rsidRPr="00777BCD">
        <w:rPr>
          <w:rFonts w:ascii="Calibri" w:hAnsi="Calibri" w:cs="Calibri"/>
          <w:color w:val="000000" w:themeColor="text1"/>
          <w:sz w:val="24"/>
        </w:rPr>
        <w:t>，投资于</w:t>
      </w:r>
      <w:r w:rsidR="00B43597">
        <w:rPr>
          <w:rFonts w:ascii="Calibri" w:hAnsi="Calibri" w:cs="Calibri"/>
          <w:color w:val="000000" w:themeColor="text1"/>
          <w:sz w:val="24"/>
        </w:rPr>
        <w:t>ESG</w:t>
      </w:r>
      <w:r w:rsidRPr="00777BCD">
        <w:rPr>
          <w:rFonts w:ascii="Calibri" w:hAnsi="Calibri" w:cs="Calibri"/>
          <w:color w:val="000000" w:themeColor="text1"/>
          <w:sz w:val="24"/>
        </w:rPr>
        <w:t>主题股票的比例不低于非现金基金资产的</w:t>
      </w:r>
      <w:r w:rsidRPr="00777BCD">
        <w:rPr>
          <w:rFonts w:ascii="Calibri" w:hAnsi="Calibri" w:cs="Calibri"/>
          <w:color w:val="000000" w:themeColor="text1"/>
          <w:sz w:val="24"/>
        </w:rPr>
        <w:t>80%</w:t>
      </w:r>
      <w:r w:rsidRPr="00777BCD">
        <w:rPr>
          <w:rFonts w:ascii="Calibri" w:hAnsi="Calibri" w:cs="Calibri"/>
          <w:color w:val="000000" w:themeColor="text1"/>
          <w:sz w:val="24"/>
        </w:rPr>
        <w:t>；</w:t>
      </w:r>
    </w:p>
    <w:p w14:paraId="2D2158D4" w14:textId="671364B8"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2</w:t>
      </w:r>
      <w:r w:rsidRPr="00777BCD">
        <w:rPr>
          <w:rFonts w:ascii="Calibri" w:hAnsi="Calibri" w:cs="Calibri"/>
          <w:color w:val="000000" w:themeColor="text1"/>
          <w:sz w:val="24"/>
        </w:rPr>
        <w:t>）本基金每个交易日日终在扣除股指期货合约需缴纳的交易保证金后，基金保留的现金或到期日在一年以内的政府债券的比例合计不低于基金资产净值的</w:t>
      </w:r>
      <w:r w:rsidRPr="00777BCD">
        <w:rPr>
          <w:rFonts w:ascii="Calibri" w:hAnsi="Calibri" w:cs="Calibri"/>
          <w:color w:val="000000" w:themeColor="text1"/>
          <w:sz w:val="24"/>
        </w:rPr>
        <w:t>5%</w:t>
      </w:r>
      <w:r w:rsidRPr="00777BCD">
        <w:rPr>
          <w:rFonts w:ascii="Calibri" w:hAnsi="Calibri" w:cs="Calibri"/>
          <w:color w:val="000000" w:themeColor="text1"/>
          <w:sz w:val="24"/>
        </w:rPr>
        <w:t>，其中现金不包括结算备付金、存出保证金、应收申购款等</w:t>
      </w:r>
      <w:r w:rsidR="00531917">
        <w:rPr>
          <w:rFonts w:ascii="Calibri" w:hAnsi="Calibri" w:cs="Calibri" w:hint="eastAsia"/>
          <w:color w:val="000000" w:themeColor="text1"/>
          <w:sz w:val="24"/>
        </w:rPr>
        <w:t>；</w:t>
      </w:r>
    </w:p>
    <w:p w14:paraId="73597BE1"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3</w:t>
      </w:r>
      <w:r w:rsidRPr="00777BCD">
        <w:rPr>
          <w:rFonts w:ascii="Calibri" w:hAnsi="Calibri" w:cs="Calibri"/>
          <w:color w:val="000000" w:themeColor="text1"/>
          <w:sz w:val="24"/>
        </w:rPr>
        <w:t>）本基金持有一家公司发行的证券（同一家公司在境内和香港同时上市的</w:t>
      </w:r>
      <w:r w:rsidRPr="00777BCD">
        <w:rPr>
          <w:rFonts w:ascii="Calibri" w:hAnsi="Calibri" w:cs="Calibri"/>
          <w:color w:val="000000" w:themeColor="text1"/>
          <w:sz w:val="24"/>
        </w:rPr>
        <w:t>A+H</w:t>
      </w:r>
      <w:r w:rsidRPr="00777BCD">
        <w:rPr>
          <w:rFonts w:ascii="Calibri" w:hAnsi="Calibri" w:cs="Calibri"/>
          <w:color w:val="000000" w:themeColor="text1"/>
          <w:sz w:val="24"/>
        </w:rPr>
        <w:t>股合计计算），其市值不超过基金资产净值的</w:t>
      </w:r>
      <w:r w:rsidRPr="00777BCD">
        <w:rPr>
          <w:rFonts w:ascii="Calibri" w:hAnsi="Calibri" w:cs="Calibri"/>
          <w:color w:val="000000" w:themeColor="text1"/>
          <w:sz w:val="24"/>
        </w:rPr>
        <w:t>10%</w:t>
      </w:r>
      <w:r w:rsidRPr="00777BCD">
        <w:rPr>
          <w:rFonts w:ascii="Calibri" w:hAnsi="Calibri" w:cs="Calibri"/>
          <w:color w:val="000000" w:themeColor="text1"/>
          <w:sz w:val="24"/>
        </w:rPr>
        <w:t>；</w:t>
      </w:r>
    </w:p>
    <w:p w14:paraId="4AF24FCA" w14:textId="7B9F7EE4"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4</w:t>
      </w:r>
      <w:r w:rsidRPr="00777BCD">
        <w:rPr>
          <w:rFonts w:ascii="Calibri" w:hAnsi="Calibri" w:cs="Calibri"/>
          <w:color w:val="000000" w:themeColor="text1"/>
          <w:sz w:val="24"/>
        </w:rPr>
        <w:t>）本基金管理人管理的全部基金持有一家公司发行的证券（同一家公司在境内和香港同时上市的</w:t>
      </w:r>
      <w:r w:rsidRPr="00777BCD">
        <w:rPr>
          <w:rFonts w:ascii="Calibri" w:hAnsi="Calibri" w:cs="Calibri"/>
          <w:color w:val="000000" w:themeColor="text1"/>
          <w:sz w:val="24"/>
        </w:rPr>
        <w:t>A+H</w:t>
      </w:r>
      <w:r w:rsidRPr="00777BCD">
        <w:rPr>
          <w:rFonts w:ascii="Calibri" w:hAnsi="Calibri" w:cs="Calibri"/>
          <w:color w:val="000000" w:themeColor="text1"/>
          <w:sz w:val="24"/>
        </w:rPr>
        <w:t>股合计计算），不超过该证券的</w:t>
      </w:r>
      <w:r w:rsidRPr="00777BCD">
        <w:rPr>
          <w:rFonts w:ascii="Calibri" w:hAnsi="Calibri" w:cs="Calibri"/>
          <w:color w:val="000000" w:themeColor="text1"/>
          <w:sz w:val="24"/>
        </w:rPr>
        <w:t>10%</w:t>
      </w:r>
      <w:r w:rsidRPr="00777BCD">
        <w:rPr>
          <w:rFonts w:ascii="Calibri" w:hAnsi="Calibri" w:cs="Calibri"/>
          <w:color w:val="000000" w:themeColor="text1"/>
          <w:sz w:val="24"/>
        </w:rPr>
        <w:t>；</w:t>
      </w:r>
      <w:r w:rsidR="00531917" w:rsidRPr="00777BCD">
        <w:rPr>
          <w:rFonts w:ascii="Calibri" w:hAnsi="Calibri" w:cs="Calibri"/>
          <w:color w:val="000000" w:themeColor="text1"/>
          <w:sz w:val="24"/>
        </w:rPr>
        <w:t>完全按照有关指数的构成比例进行证券投资的基金品种可以不受此条款规定的比例限制；</w:t>
      </w:r>
    </w:p>
    <w:p w14:paraId="4CEBC555"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lastRenderedPageBreak/>
        <w:t>（</w:t>
      </w:r>
      <w:r w:rsidRPr="00777BCD">
        <w:rPr>
          <w:rFonts w:ascii="Calibri" w:hAnsi="Calibri" w:cs="Calibri"/>
          <w:color w:val="000000" w:themeColor="text1"/>
          <w:sz w:val="24"/>
        </w:rPr>
        <w:t>5</w:t>
      </w:r>
      <w:r w:rsidRPr="00777BCD">
        <w:rPr>
          <w:rFonts w:ascii="Calibri" w:hAnsi="Calibri" w:cs="Calibri"/>
          <w:color w:val="000000" w:themeColor="text1"/>
          <w:sz w:val="24"/>
        </w:rPr>
        <w:t>）本基金投资于同一原始权益人的各类资产支持证券的比例，不得超过基金资产净值的</w:t>
      </w:r>
      <w:r w:rsidRPr="00777BCD">
        <w:rPr>
          <w:rFonts w:ascii="Calibri" w:hAnsi="Calibri" w:cs="Calibri"/>
          <w:color w:val="000000" w:themeColor="text1"/>
          <w:sz w:val="24"/>
        </w:rPr>
        <w:t>10%</w:t>
      </w:r>
      <w:r w:rsidRPr="00777BCD">
        <w:rPr>
          <w:rFonts w:ascii="Calibri" w:hAnsi="Calibri" w:cs="Calibri"/>
          <w:color w:val="000000" w:themeColor="text1"/>
          <w:sz w:val="24"/>
        </w:rPr>
        <w:t>；</w:t>
      </w:r>
    </w:p>
    <w:p w14:paraId="0BFE3CA0"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6</w:t>
      </w:r>
      <w:r w:rsidRPr="00777BCD">
        <w:rPr>
          <w:rFonts w:ascii="Calibri" w:hAnsi="Calibri" w:cs="Calibri"/>
          <w:color w:val="000000" w:themeColor="text1"/>
          <w:sz w:val="24"/>
        </w:rPr>
        <w:t>）本基金持有的全部资产支持证券，其市值不得超过基金资产净值的</w:t>
      </w:r>
      <w:r w:rsidRPr="00777BCD">
        <w:rPr>
          <w:rFonts w:ascii="Calibri" w:hAnsi="Calibri" w:cs="Calibri"/>
          <w:color w:val="000000" w:themeColor="text1"/>
          <w:sz w:val="24"/>
        </w:rPr>
        <w:t>20%</w:t>
      </w:r>
      <w:r w:rsidRPr="00777BCD">
        <w:rPr>
          <w:rFonts w:ascii="Calibri" w:hAnsi="Calibri" w:cs="Calibri"/>
          <w:color w:val="000000" w:themeColor="text1"/>
          <w:sz w:val="24"/>
        </w:rPr>
        <w:t>；</w:t>
      </w:r>
    </w:p>
    <w:p w14:paraId="33688B6F"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7</w:t>
      </w:r>
      <w:r w:rsidRPr="00777BCD">
        <w:rPr>
          <w:rFonts w:ascii="Calibri" w:hAnsi="Calibri" w:cs="Calibri"/>
          <w:color w:val="000000" w:themeColor="text1"/>
          <w:sz w:val="24"/>
        </w:rPr>
        <w:t>）本基金持有的同一</w:t>
      </w:r>
      <w:r w:rsidRPr="00777BCD">
        <w:rPr>
          <w:rFonts w:ascii="Calibri" w:hAnsi="Calibri" w:cs="Calibri"/>
          <w:color w:val="000000" w:themeColor="text1"/>
          <w:sz w:val="24"/>
        </w:rPr>
        <w:t>(</w:t>
      </w:r>
      <w:r w:rsidRPr="00777BCD">
        <w:rPr>
          <w:rFonts w:ascii="Calibri" w:hAnsi="Calibri" w:cs="Calibri"/>
          <w:color w:val="000000" w:themeColor="text1"/>
          <w:sz w:val="24"/>
        </w:rPr>
        <w:t>指同一信用级别</w:t>
      </w:r>
      <w:r w:rsidRPr="00777BCD">
        <w:rPr>
          <w:rFonts w:ascii="Calibri" w:hAnsi="Calibri" w:cs="Calibri"/>
          <w:color w:val="000000" w:themeColor="text1"/>
          <w:sz w:val="24"/>
        </w:rPr>
        <w:t>)</w:t>
      </w:r>
      <w:r w:rsidRPr="00777BCD">
        <w:rPr>
          <w:rFonts w:ascii="Calibri" w:hAnsi="Calibri" w:cs="Calibri"/>
          <w:color w:val="000000" w:themeColor="text1"/>
          <w:sz w:val="24"/>
        </w:rPr>
        <w:t>资产支持证券的比例，不得超过该资产支持证券规模的</w:t>
      </w:r>
      <w:r w:rsidRPr="00777BCD">
        <w:rPr>
          <w:rFonts w:ascii="Calibri" w:hAnsi="Calibri" w:cs="Calibri"/>
          <w:color w:val="000000" w:themeColor="text1"/>
          <w:sz w:val="24"/>
        </w:rPr>
        <w:t>10%</w:t>
      </w:r>
      <w:r w:rsidRPr="00777BCD">
        <w:rPr>
          <w:rFonts w:ascii="Calibri" w:hAnsi="Calibri" w:cs="Calibri"/>
          <w:color w:val="000000" w:themeColor="text1"/>
          <w:sz w:val="24"/>
        </w:rPr>
        <w:t>；</w:t>
      </w:r>
    </w:p>
    <w:p w14:paraId="4CB9FBD6"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8</w:t>
      </w:r>
      <w:r w:rsidRPr="00777BCD">
        <w:rPr>
          <w:rFonts w:ascii="Calibri" w:hAnsi="Calibri" w:cs="Calibri"/>
          <w:color w:val="000000" w:themeColor="text1"/>
          <w:sz w:val="24"/>
        </w:rPr>
        <w:t>）本基金管理人管理的全部基金投资于同一原始权益人的各类资产支持证券，不得超过其各类资产支持证券合计规模的</w:t>
      </w:r>
      <w:r w:rsidRPr="00777BCD">
        <w:rPr>
          <w:rFonts w:ascii="Calibri" w:hAnsi="Calibri" w:cs="Calibri"/>
          <w:color w:val="000000" w:themeColor="text1"/>
          <w:sz w:val="24"/>
        </w:rPr>
        <w:t>10%</w:t>
      </w:r>
      <w:r w:rsidRPr="00777BCD">
        <w:rPr>
          <w:rFonts w:ascii="Calibri" w:hAnsi="Calibri" w:cs="Calibri"/>
          <w:color w:val="000000" w:themeColor="text1"/>
          <w:sz w:val="24"/>
        </w:rPr>
        <w:t>；</w:t>
      </w:r>
    </w:p>
    <w:p w14:paraId="15FF2AC5"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9</w:t>
      </w:r>
      <w:r w:rsidRPr="00777BCD">
        <w:rPr>
          <w:rFonts w:ascii="Calibri" w:hAnsi="Calibri" w:cs="Calibri"/>
          <w:color w:val="000000" w:themeColor="text1"/>
          <w:sz w:val="24"/>
        </w:rPr>
        <w:t>）本基金应投资于信用级别评级为</w:t>
      </w:r>
      <w:r w:rsidRPr="00777BCD">
        <w:rPr>
          <w:rFonts w:ascii="Calibri" w:hAnsi="Calibri" w:cs="Calibri"/>
          <w:color w:val="000000" w:themeColor="text1"/>
          <w:sz w:val="24"/>
        </w:rPr>
        <w:t>BBB</w:t>
      </w:r>
      <w:r w:rsidRPr="00777BCD">
        <w:rPr>
          <w:rFonts w:ascii="Calibri" w:hAnsi="Calibri" w:cs="Calibri"/>
          <w:color w:val="000000" w:themeColor="text1"/>
          <w:sz w:val="24"/>
        </w:rPr>
        <w:t>以上</w:t>
      </w:r>
      <w:r w:rsidRPr="00777BCD">
        <w:rPr>
          <w:rFonts w:ascii="Calibri" w:hAnsi="Calibri" w:cs="Calibri"/>
          <w:color w:val="000000" w:themeColor="text1"/>
          <w:sz w:val="24"/>
        </w:rPr>
        <w:t>(</w:t>
      </w:r>
      <w:r w:rsidRPr="00777BCD">
        <w:rPr>
          <w:rFonts w:ascii="Calibri" w:hAnsi="Calibri" w:cs="Calibri"/>
          <w:color w:val="000000" w:themeColor="text1"/>
          <w:sz w:val="24"/>
        </w:rPr>
        <w:t>含</w:t>
      </w:r>
      <w:r w:rsidRPr="00777BCD">
        <w:rPr>
          <w:rFonts w:ascii="Calibri" w:hAnsi="Calibri" w:cs="Calibri"/>
          <w:color w:val="000000" w:themeColor="text1"/>
          <w:sz w:val="24"/>
        </w:rPr>
        <w:t>BBB)</w:t>
      </w:r>
      <w:r w:rsidRPr="00777BCD">
        <w:rPr>
          <w:rFonts w:ascii="Calibri" w:hAnsi="Calibri" w:cs="Calibri"/>
          <w:color w:val="000000" w:themeColor="text1"/>
          <w:sz w:val="24"/>
        </w:rPr>
        <w:t>的资产支持证券。基金持有资产支持证券期间，如果其信用等级下降、不再符合投资标准，应在评级报告发布之日起</w:t>
      </w:r>
      <w:r w:rsidRPr="00777BCD">
        <w:rPr>
          <w:rFonts w:ascii="Calibri" w:hAnsi="Calibri" w:cs="Calibri"/>
          <w:color w:val="000000" w:themeColor="text1"/>
          <w:sz w:val="24"/>
        </w:rPr>
        <w:t>3</w:t>
      </w:r>
      <w:r w:rsidRPr="00777BCD">
        <w:rPr>
          <w:rFonts w:ascii="Calibri" w:hAnsi="Calibri" w:cs="Calibri"/>
          <w:color w:val="000000" w:themeColor="text1"/>
          <w:sz w:val="24"/>
        </w:rPr>
        <w:t>个月内予以全部卖出；</w:t>
      </w:r>
    </w:p>
    <w:p w14:paraId="79187BDD"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10</w:t>
      </w:r>
      <w:r w:rsidRPr="00777BCD">
        <w:rPr>
          <w:rFonts w:ascii="Calibri" w:hAnsi="Calibri" w:cs="Calibri"/>
          <w:color w:val="000000" w:themeColor="text1"/>
          <w:sz w:val="24"/>
        </w:rPr>
        <w:t>）基金财产参与股票发行申购，本基金所申报的金额不超过本基金的总资产，本基金所申报的股票数量不超过拟发行股票公司本次发行股票的总量；</w:t>
      </w:r>
    </w:p>
    <w:p w14:paraId="3B54C53F"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11</w:t>
      </w:r>
      <w:r w:rsidRPr="00777BCD">
        <w:rPr>
          <w:rFonts w:ascii="Calibri" w:hAnsi="Calibri" w:cs="Calibri"/>
          <w:color w:val="000000" w:themeColor="text1"/>
          <w:sz w:val="24"/>
        </w:rPr>
        <w:t>）本基金资产总值不超过基金资产净值的</w:t>
      </w:r>
      <w:r w:rsidRPr="00777BCD">
        <w:rPr>
          <w:rFonts w:ascii="Calibri" w:hAnsi="Calibri" w:cs="Calibri"/>
          <w:color w:val="000000" w:themeColor="text1"/>
          <w:sz w:val="24"/>
        </w:rPr>
        <w:t>140%</w:t>
      </w:r>
      <w:r w:rsidRPr="00777BCD">
        <w:rPr>
          <w:rFonts w:ascii="Calibri" w:hAnsi="Calibri" w:cs="Calibri"/>
          <w:color w:val="000000" w:themeColor="text1"/>
          <w:sz w:val="24"/>
        </w:rPr>
        <w:t>；</w:t>
      </w:r>
    </w:p>
    <w:p w14:paraId="3E1FD462"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12</w:t>
      </w:r>
      <w:r w:rsidRPr="00777BCD">
        <w:rPr>
          <w:rFonts w:ascii="Calibri" w:hAnsi="Calibri" w:cs="Calibri"/>
          <w:color w:val="000000" w:themeColor="text1"/>
          <w:sz w:val="24"/>
        </w:rPr>
        <w:t>）本基金参与股指期货交易时，依据下列标准构建组合：</w:t>
      </w:r>
    </w:p>
    <w:p w14:paraId="66238CEA"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1</w:t>
      </w:r>
      <w:r w:rsidRPr="00777BCD">
        <w:rPr>
          <w:rFonts w:ascii="Calibri" w:hAnsi="Calibri" w:cs="Calibri"/>
          <w:color w:val="000000" w:themeColor="text1"/>
          <w:sz w:val="24"/>
        </w:rPr>
        <w:t>）本基金在任何交易日日终，持有的买入股指期货合约价值不得超过基金资产净值的</w:t>
      </w:r>
      <w:r w:rsidRPr="00777BCD">
        <w:rPr>
          <w:rFonts w:ascii="Calibri" w:hAnsi="Calibri" w:cs="Calibri"/>
          <w:color w:val="000000" w:themeColor="text1"/>
          <w:sz w:val="24"/>
        </w:rPr>
        <w:t>10%</w:t>
      </w:r>
      <w:r w:rsidRPr="00777BCD">
        <w:rPr>
          <w:rFonts w:ascii="Calibri" w:hAnsi="Calibri" w:cs="Calibri"/>
          <w:color w:val="000000" w:themeColor="text1"/>
          <w:sz w:val="24"/>
        </w:rPr>
        <w:t>；</w:t>
      </w:r>
    </w:p>
    <w:p w14:paraId="7CE1DAA0"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2</w:t>
      </w:r>
      <w:r w:rsidRPr="00777BCD">
        <w:rPr>
          <w:rFonts w:ascii="Calibri" w:hAnsi="Calibri" w:cs="Calibri"/>
          <w:color w:val="000000" w:themeColor="text1"/>
          <w:sz w:val="24"/>
        </w:rPr>
        <w:t>）本基金在任何交易日日终，持有的买入股指期货合约价值与有价证券市值之和不得超过基金资产净值的</w:t>
      </w:r>
      <w:r w:rsidRPr="00777BCD">
        <w:rPr>
          <w:rFonts w:ascii="Calibri" w:hAnsi="Calibri" w:cs="Calibri"/>
          <w:color w:val="000000" w:themeColor="text1"/>
          <w:sz w:val="24"/>
        </w:rPr>
        <w:t>95%</w:t>
      </w:r>
      <w:r w:rsidRPr="00777BCD">
        <w:rPr>
          <w:rFonts w:ascii="Calibri" w:hAnsi="Calibri" w:cs="Calibri"/>
          <w:color w:val="000000" w:themeColor="text1"/>
          <w:sz w:val="24"/>
        </w:rPr>
        <w:t>，其中，有价证券指股票、债券（不含到期日在一年以内的政府债券）、资产支持证券、买入返售金融资产（不含质押式回购）等；</w:t>
      </w:r>
    </w:p>
    <w:p w14:paraId="7F8D225C"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3</w:t>
      </w:r>
      <w:r w:rsidRPr="00777BCD">
        <w:rPr>
          <w:rFonts w:ascii="Calibri" w:hAnsi="Calibri" w:cs="Calibri"/>
          <w:color w:val="000000" w:themeColor="text1"/>
          <w:sz w:val="24"/>
        </w:rPr>
        <w:t>）本基金在任何交易日日终，持有的卖出股指期货合约价值不得超过本基金持有的股票总市值的</w:t>
      </w:r>
      <w:r w:rsidRPr="00777BCD">
        <w:rPr>
          <w:rFonts w:ascii="Calibri" w:hAnsi="Calibri" w:cs="Calibri"/>
          <w:color w:val="000000" w:themeColor="text1"/>
          <w:sz w:val="24"/>
        </w:rPr>
        <w:t>20%</w:t>
      </w:r>
      <w:r w:rsidRPr="00777BCD">
        <w:rPr>
          <w:rFonts w:ascii="Calibri" w:hAnsi="Calibri" w:cs="Calibri"/>
          <w:color w:val="000000" w:themeColor="text1"/>
          <w:sz w:val="24"/>
        </w:rPr>
        <w:t>；</w:t>
      </w:r>
    </w:p>
    <w:p w14:paraId="646C1589"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4</w:t>
      </w:r>
      <w:r w:rsidRPr="00777BCD">
        <w:rPr>
          <w:rFonts w:ascii="Calibri" w:hAnsi="Calibri" w:cs="Calibri"/>
          <w:color w:val="000000" w:themeColor="text1"/>
          <w:sz w:val="24"/>
        </w:rPr>
        <w:t>）本基金所持有的股票市值和买入、卖出股指期货合约价值，合计（轧差计算）应当符合基金合同关于股票投资比例的有关约定；</w:t>
      </w:r>
    </w:p>
    <w:p w14:paraId="21831B30"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5</w:t>
      </w:r>
      <w:r w:rsidRPr="00777BCD">
        <w:rPr>
          <w:rFonts w:ascii="Calibri" w:hAnsi="Calibri" w:cs="Calibri"/>
          <w:color w:val="000000" w:themeColor="text1"/>
          <w:sz w:val="24"/>
        </w:rPr>
        <w:t>）本基金在任何交易日内交易（不包括平仓）的股指期货合约的成交金额不得超过上一交易日基金资产净值的</w:t>
      </w:r>
      <w:r w:rsidRPr="00777BCD">
        <w:rPr>
          <w:rFonts w:ascii="Calibri" w:hAnsi="Calibri" w:cs="Calibri"/>
          <w:color w:val="000000" w:themeColor="text1"/>
          <w:sz w:val="24"/>
        </w:rPr>
        <w:t>20%</w:t>
      </w:r>
      <w:r w:rsidRPr="00777BCD">
        <w:rPr>
          <w:rFonts w:ascii="Calibri" w:hAnsi="Calibri" w:cs="Calibri"/>
          <w:color w:val="000000" w:themeColor="text1"/>
          <w:sz w:val="24"/>
        </w:rPr>
        <w:t>；</w:t>
      </w:r>
    </w:p>
    <w:p w14:paraId="3DB6C1ED" w14:textId="25274866"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lastRenderedPageBreak/>
        <w:t>（</w:t>
      </w:r>
      <w:r w:rsidRPr="00777BCD">
        <w:rPr>
          <w:rFonts w:ascii="Calibri" w:hAnsi="Calibri" w:cs="Calibri"/>
          <w:color w:val="000000" w:themeColor="text1"/>
          <w:sz w:val="24"/>
        </w:rPr>
        <w:t>13</w:t>
      </w:r>
      <w:r w:rsidRPr="00777BCD">
        <w:rPr>
          <w:rFonts w:ascii="Calibri" w:hAnsi="Calibri" w:cs="Calibri"/>
          <w:color w:val="000000" w:themeColor="text1"/>
          <w:sz w:val="24"/>
        </w:rPr>
        <w:t>）本基金管理人管理的全部开放式基金（包括开放式基金以及处于开放期的定期开放基金）持有一家上市公司发行的可流通股票，不得超过该上市公司可流通股票的</w:t>
      </w:r>
      <w:r w:rsidRPr="00777BCD">
        <w:rPr>
          <w:rFonts w:ascii="Calibri" w:hAnsi="Calibri" w:cs="Calibri"/>
          <w:color w:val="000000" w:themeColor="text1"/>
          <w:sz w:val="24"/>
        </w:rPr>
        <w:t>15%</w:t>
      </w:r>
      <w:r w:rsidRPr="00777BCD">
        <w:rPr>
          <w:rFonts w:ascii="Calibri" w:hAnsi="Calibri" w:cs="Calibri"/>
          <w:color w:val="000000" w:themeColor="text1"/>
          <w:sz w:val="24"/>
        </w:rPr>
        <w:t>；本基金管理人管理的全部投资组合持有一家上市公司发行的可流通股票，不得超过该上市公司可流通股票的</w:t>
      </w:r>
      <w:r w:rsidRPr="00777BCD">
        <w:rPr>
          <w:rFonts w:ascii="Calibri" w:hAnsi="Calibri" w:cs="Calibri"/>
          <w:color w:val="000000" w:themeColor="text1"/>
          <w:sz w:val="24"/>
        </w:rPr>
        <w:t>30%</w:t>
      </w:r>
      <w:r w:rsidRPr="00777BCD">
        <w:rPr>
          <w:rFonts w:ascii="Calibri" w:hAnsi="Calibri" w:cs="Calibri"/>
          <w:color w:val="000000" w:themeColor="text1"/>
          <w:sz w:val="24"/>
        </w:rPr>
        <w:t>；</w:t>
      </w:r>
      <w:r w:rsidR="00531917" w:rsidRPr="00777BCD">
        <w:rPr>
          <w:rFonts w:ascii="Calibri" w:hAnsi="Calibri" w:cs="Calibri"/>
          <w:color w:val="000000" w:themeColor="text1"/>
          <w:sz w:val="24"/>
        </w:rPr>
        <w:t>完全按照有关指数的构成比例进行证券投资的开放式基金以及中国证监会认定的特殊投资组合可不受前述比例限制；</w:t>
      </w:r>
    </w:p>
    <w:p w14:paraId="273A717F"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14</w:t>
      </w:r>
      <w:r w:rsidRPr="00777BCD">
        <w:rPr>
          <w:rFonts w:ascii="Calibri" w:hAnsi="Calibri" w:cs="Calibri"/>
          <w:color w:val="000000" w:themeColor="text1"/>
          <w:sz w:val="24"/>
        </w:rPr>
        <w:t>）本基金主动投资于流动性受限资产的市值合计不得超过基金资产净值的</w:t>
      </w:r>
      <w:r w:rsidRPr="00777BCD">
        <w:rPr>
          <w:rFonts w:ascii="Calibri" w:hAnsi="Calibri" w:cs="Calibri"/>
          <w:color w:val="000000" w:themeColor="text1"/>
          <w:sz w:val="24"/>
        </w:rPr>
        <w:t>15%</w:t>
      </w:r>
      <w:r w:rsidRPr="00777BCD">
        <w:rPr>
          <w:rFonts w:ascii="Calibri" w:hAnsi="Calibri" w:cs="Calibri"/>
          <w:color w:val="000000" w:themeColor="text1"/>
          <w:sz w:val="24"/>
        </w:rPr>
        <w:t>；因证券市场波动、上市公司股票停牌、基金规模变动等基金管理人之外的因素致使基金不符合该比例限制的，基金管理人不得主动新增流动性受限资产的投资；</w:t>
      </w:r>
    </w:p>
    <w:p w14:paraId="0820EB28"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15</w:t>
      </w:r>
      <w:r w:rsidRPr="00777BCD">
        <w:rPr>
          <w:rFonts w:ascii="Calibri" w:hAnsi="Calibri" w:cs="Calibri"/>
          <w:color w:val="000000" w:themeColor="text1"/>
          <w:sz w:val="24"/>
        </w:rPr>
        <w:t>）本基金与私募类</w:t>
      </w:r>
      <w:proofErr w:type="gramStart"/>
      <w:r w:rsidRPr="00777BCD">
        <w:rPr>
          <w:rFonts w:ascii="Calibri" w:hAnsi="Calibri" w:cs="Calibri"/>
          <w:color w:val="000000" w:themeColor="text1"/>
          <w:sz w:val="24"/>
        </w:rPr>
        <w:t>证券资管产品</w:t>
      </w:r>
      <w:proofErr w:type="gramEnd"/>
      <w:r w:rsidRPr="00777BCD">
        <w:rPr>
          <w:rFonts w:ascii="Calibri" w:hAnsi="Calibri" w:cs="Calibri"/>
          <w:color w:val="000000" w:themeColor="text1"/>
          <w:sz w:val="24"/>
        </w:rPr>
        <w:t>及中国证监会认定的其他主体为交易对手开展逆回购交易的，可接受质押品的资质要求应当与本基金合同约定的投资范围保持一致；</w:t>
      </w:r>
    </w:p>
    <w:p w14:paraId="71EA2516"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16</w:t>
      </w:r>
      <w:r w:rsidRPr="00777BCD">
        <w:rPr>
          <w:rFonts w:ascii="Calibri" w:hAnsi="Calibri" w:cs="Calibri"/>
          <w:color w:val="000000" w:themeColor="text1"/>
          <w:sz w:val="24"/>
        </w:rPr>
        <w:t>）本基金</w:t>
      </w:r>
      <w:proofErr w:type="gramStart"/>
      <w:r w:rsidRPr="00777BCD">
        <w:rPr>
          <w:rFonts w:ascii="Calibri" w:hAnsi="Calibri" w:cs="Calibri"/>
          <w:color w:val="000000" w:themeColor="text1"/>
          <w:sz w:val="24"/>
        </w:rPr>
        <w:t>若参</w:t>
      </w:r>
      <w:proofErr w:type="gramEnd"/>
      <w:r w:rsidRPr="00777BCD">
        <w:rPr>
          <w:rFonts w:ascii="Calibri" w:hAnsi="Calibri" w:cs="Calibri"/>
          <w:color w:val="000000" w:themeColor="text1"/>
          <w:sz w:val="24"/>
        </w:rPr>
        <w:t>与融资业务的，应当遵守下列要求：每个交易日日终，本基金持有的融资买入股票与其他有价证券市值之和，不得超过基金资产净值的</w:t>
      </w:r>
      <w:r w:rsidRPr="00777BCD">
        <w:rPr>
          <w:rFonts w:ascii="Calibri" w:hAnsi="Calibri" w:cs="Calibri"/>
          <w:color w:val="000000" w:themeColor="text1"/>
          <w:sz w:val="24"/>
        </w:rPr>
        <w:t>95%</w:t>
      </w:r>
      <w:r w:rsidRPr="00777BCD">
        <w:rPr>
          <w:rFonts w:ascii="Calibri" w:hAnsi="Calibri" w:cs="Calibri"/>
          <w:color w:val="000000" w:themeColor="text1"/>
          <w:sz w:val="24"/>
        </w:rPr>
        <w:t>；</w:t>
      </w:r>
    </w:p>
    <w:p w14:paraId="3E9DA8BD"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17</w:t>
      </w:r>
      <w:r w:rsidRPr="00777BCD">
        <w:rPr>
          <w:rFonts w:ascii="Calibri" w:hAnsi="Calibri" w:cs="Calibri"/>
          <w:color w:val="000000" w:themeColor="text1"/>
          <w:sz w:val="24"/>
        </w:rPr>
        <w:t>）本基金投资存托凭证的比例限制依照境内上市交易的股票执行，与境内上市交易的股票合并计算；</w:t>
      </w:r>
    </w:p>
    <w:p w14:paraId="415F3C4B"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w:t>
      </w:r>
      <w:r w:rsidRPr="00777BCD">
        <w:rPr>
          <w:rFonts w:ascii="Calibri" w:hAnsi="Calibri" w:cs="Calibri"/>
          <w:color w:val="000000" w:themeColor="text1"/>
          <w:sz w:val="24"/>
        </w:rPr>
        <w:t>18</w:t>
      </w:r>
      <w:r w:rsidRPr="00777BCD">
        <w:rPr>
          <w:rFonts w:ascii="Calibri" w:hAnsi="Calibri" w:cs="Calibri"/>
          <w:color w:val="000000" w:themeColor="text1"/>
          <w:sz w:val="24"/>
        </w:rPr>
        <w:t>）法律法规及中国证监会规定的和《基金合同》约定的其他投资限制。</w:t>
      </w:r>
    </w:p>
    <w:p w14:paraId="7D98D6B8"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除上述第（</w:t>
      </w:r>
      <w:r w:rsidRPr="00777BCD">
        <w:rPr>
          <w:rFonts w:ascii="Calibri" w:hAnsi="Calibri" w:cs="Calibri"/>
          <w:color w:val="000000" w:themeColor="text1"/>
          <w:sz w:val="24"/>
        </w:rPr>
        <w:t>2</w:t>
      </w:r>
      <w:r w:rsidRPr="00777BCD">
        <w:rPr>
          <w:rFonts w:ascii="Calibri" w:hAnsi="Calibri" w:cs="Calibri"/>
          <w:color w:val="000000" w:themeColor="text1"/>
          <w:sz w:val="24"/>
        </w:rPr>
        <w:t>）、（</w:t>
      </w:r>
      <w:r w:rsidRPr="00777BCD">
        <w:rPr>
          <w:rFonts w:ascii="Calibri" w:hAnsi="Calibri" w:cs="Calibri"/>
          <w:color w:val="000000" w:themeColor="text1"/>
          <w:sz w:val="24"/>
        </w:rPr>
        <w:t>9</w:t>
      </w:r>
      <w:r w:rsidRPr="00777BCD">
        <w:rPr>
          <w:rFonts w:ascii="Calibri" w:hAnsi="Calibri" w:cs="Calibri"/>
          <w:color w:val="000000" w:themeColor="text1"/>
          <w:sz w:val="24"/>
        </w:rPr>
        <w:t>）、（</w:t>
      </w:r>
      <w:r w:rsidRPr="00777BCD">
        <w:rPr>
          <w:rFonts w:ascii="Calibri" w:hAnsi="Calibri" w:cs="Calibri"/>
          <w:color w:val="000000" w:themeColor="text1"/>
          <w:sz w:val="24"/>
        </w:rPr>
        <w:t>14</w:t>
      </w:r>
      <w:r w:rsidRPr="00777BCD">
        <w:rPr>
          <w:rFonts w:ascii="Calibri" w:hAnsi="Calibri" w:cs="Calibri"/>
          <w:color w:val="000000" w:themeColor="text1"/>
          <w:sz w:val="24"/>
        </w:rPr>
        <w:t>）、（</w:t>
      </w:r>
      <w:r w:rsidRPr="00777BCD">
        <w:rPr>
          <w:rFonts w:ascii="Calibri" w:hAnsi="Calibri" w:cs="Calibri"/>
          <w:color w:val="000000" w:themeColor="text1"/>
          <w:sz w:val="24"/>
        </w:rPr>
        <w:t>15</w:t>
      </w:r>
      <w:r w:rsidRPr="00777BCD">
        <w:rPr>
          <w:rFonts w:ascii="Calibri" w:hAnsi="Calibri" w:cs="Calibri"/>
          <w:color w:val="000000" w:themeColor="text1"/>
          <w:sz w:val="24"/>
        </w:rPr>
        <w:t>）项另有约定外，因证券</w:t>
      </w:r>
      <w:r w:rsidRPr="00777BCD">
        <w:rPr>
          <w:rFonts w:ascii="Calibri" w:hAnsi="Calibri" w:cs="Calibri"/>
          <w:color w:val="000000" w:themeColor="text1"/>
          <w:sz w:val="24"/>
        </w:rPr>
        <w:t>/</w:t>
      </w:r>
      <w:r w:rsidRPr="00777BCD">
        <w:rPr>
          <w:rFonts w:ascii="Calibri" w:hAnsi="Calibri" w:cs="Calibri"/>
          <w:color w:val="000000" w:themeColor="text1"/>
          <w:sz w:val="24"/>
        </w:rPr>
        <w:t>期货市场波动、证券发行人合并、基金规模变动等基金管理人之外的因素致使基金投资比例不符合上述规定投资比例的，基金管理人应当在</w:t>
      </w:r>
      <w:r w:rsidRPr="00777BCD">
        <w:rPr>
          <w:rFonts w:ascii="Calibri" w:hAnsi="Calibri" w:cs="Calibri"/>
          <w:color w:val="000000" w:themeColor="text1"/>
          <w:sz w:val="24"/>
        </w:rPr>
        <w:t>10</w:t>
      </w:r>
      <w:r w:rsidRPr="00777BCD">
        <w:rPr>
          <w:rFonts w:ascii="Calibri" w:hAnsi="Calibri" w:cs="Calibri"/>
          <w:color w:val="000000" w:themeColor="text1"/>
          <w:sz w:val="24"/>
        </w:rPr>
        <w:t>个交易日内进行调整，但中国证监会规定的特殊情形除外。法律法规另有规定的，从其规定。</w:t>
      </w:r>
    </w:p>
    <w:p w14:paraId="6B724A00"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基金管理人应当自基金合同生效之日起六个月内使基金的投资组合比例符合基金合同的有关约定。在上述期间内，本基金的投资范围、投资策略应当符合基金合同的约定。基金托管人对基金的投资的监督与检查自本基金合同生效之日起开始。</w:t>
      </w:r>
    </w:p>
    <w:p w14:paraId="1A8DD744" w14:textId="77777777" w:rsidR="007149DF" w:rsidRPr="00777BCD" w:rsidRDefault="00284640">
      <w:pPr>
        <w:ind w:firstLine="480"/>
        <w:rPr>
          <w:rFonts w:ascii="Calibri" w:hAnsi="Calibri" w:cs="Calibri"/>
          <w:color w:val="000000" w:themeColor="text1"/>
          <w:sz w:val="24"/>
        </w:rPr>
      </w:pPr>
      <w:r w:rsidRPr="00777BCD">
        <w:rPr>
          <w:rFonts w:ascii="Calibri" w:hAnsi="Calibri" w:cs="Calibri"/>
          <w:color w:val="000000" w:themeColor="text1"/>
          <w:sz w:val="24"/>
        </w:rPr>
        <w:lastRenderedPageBreak/>
        <w:t>法律法规或监管部门取消或变更上述限制，如适用于本基金，基金管理人在履行适当程序后，则本基金投资不再受相关限制或按变更后的规定执行。</w:t>
      </w:r>
    </w:p>
    <w:p w14:paraId="53E2078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、禁止行为</w:t>
      </w:r>
    </w:p>
    <w:p w14:paraId="2147F2E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为维护基金份额持有人的合法权益，基金财产不得用于下列投资或者活动：</w:t>
      </w:r>
    </w:p>
    <w:p w14:paraId="603E637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w:t>
      </w:r>
      <w:r w:rsidRPr="00777BCD">
        <w:rPr>
          <w:rFonts w:ascii="Calibri" w:hAnsi="Calibri" w:cs="Calibri"/>
          <w:bCs/>
          <w:color w:val="000000" w:themeColor="text1"/>
          <w:sz w:val="24"/>
        </w:rPr>
        <w:t>）承销证券；</w:t>
      </w:r>
    </w:p>
    <w:p w14:paraId="547B3E2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2</w:t>
      </w:r>
      <w:r w:rsidRPr="00777BCD">
        <w:rPr>
          <w:rFonts w:ascii="Calibri" w:hAnsi="Calibri" w:cs="Calibri"/>
          <w:bCs/>
          <w:color w:val="000000" w:themeColor="text1"/>
          <w:sz w:val="24"/>
        </w:rPr>
        <w:t>）违反规定向他人贷款或者提供担保；</w:t>
      </w:r>
    </w:p>
    <w:p w14:paraId="170D0BA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3</w:t>
      </w:r>
      <w:r w:rsidRPr="00777BCD">
        <w:rPr>
          <w:rFonts w:ascii="Calibri" w:hAnsi="Calibri" w:cs="Calibri"/>
          <w:bCs/>
          <w:color w:val="000000" w:themeColor="text1"/>
          <w:sz w:val="24"/>
        </w:rPr>
        <w:t>）从事承担无限责任的投资；</w:t>
      </w:r>
    </w:p>
    <w:p w14:paraId="6A85E90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4</w:t>
      </w:r>
      <w:r w:rsidRPr="00777BCD">
        <w:rPr>
          <w:rFonts w:ascii="Calibri" w:hAnsi="Calibri" w:cs="Calibri"/>
          <w:bCs/>
          <w:color w:val="000000" w:themeColor="text1"/>
          <w:sz w:val="24"/>
        </w:rPr>
        <w:t>）买卖其他基金份额，但是中国证监会另有规定的除外；</w:t>
      </w:r>
    </w:p>
    <w:p w14:paraId="2E4A859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5</w:t>
      </w:r>
      <w:r w:rsidRPr="00777BCD">
        <w:rPr>
          <w:rFonts w:ascii="Calibri" w:hAnsi="Calibri" w:cs="Calibri"/>
          <w:bCs/>
          <w:color w:val="000000" w:themeColor="text1"/>
          <w:sz w:val="24"/>
        </w:rPr>
        <w:t>）向其基金管理人、基金托管人出资；</w:t>
      </w:r>
    </w:p>
    <w:p w14:paraId="7BF2F07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6</w:t>
      </w:r>
      <w:r w:rsidRPr="00777BCD">
        <w:rPr>
          <w:rFonts w:ascii="Calibri" w:hAnsi="Calibri" w:cs="Calibri"/>
          <w:bCs/>
          <w:color w:val="000000" w:themeColor="text1"/>
          <w:sz w:val="24"/>
        </w:rPr>
        <w:t>）从事内幕交易、操纵证券交易价格及其他不正当的证券交易活动；</w:t>
      </w:r>
    </w:p>
    <w:p w14:paraId="31FF77B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7</w:t>
      </w:r>
      <w:r w:rsidRPr="00777BCD">
        <w:rPr>
          <w:rFonts w:ascii="Calibri" w:hAnsi="Calibri" w:cs="Calibri"/>
          <w:bCs/>
          <w:color w:val="000000" w:themeColor="text1"/>
          <w:sz w:val="24"/>
        </w:rPr>
        <w:t>）法律、行政法规和中国证监会规定禁止的其他活动。</w:t>
      </w:r>
    </w:p>
    <w:p w14:paraId="30A1998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428C94C8"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color w:val="000000" w:themeColor="text1"/>
          <w:sz w:val="24"/>
        </w:rPr>
        <w:t>法律法规或监管部门取消或变更上述限制，如适用于本基金，基金管理人在履行适当程序后，则本基金投资不再受相关限制或按</w:t>
      </w:r>
      <w:r w:rsidRPr="00777BCD">
        <w:rPr>
          <w:rFonts w:ascii="Calibri" w:hAnsi="Calibri" w:cs="Calibri"/>
          <w:bCs/>
          <w:color w:val="000000" w:themeColor="text1"/>
          <w:sz w:val="24"/>
          <w:szCs w:val="24"/>
        </w:rPr>
        <w:t>变更后的规定执行。</w:t>
      </w:r>
    </w:p>
    <w:p w14:paraId="26349F57" w14:textId="77777777" w:rsidR="007149DF" w:rsidRPr="00777BCD" w:rsidRDefault="00284640">
      <w:pPr>
        <w:ind w:firstLine="480"/>
        <w:rPr>
          <w:rFonts w:ascii="Calibri" w:hAnsi="Calibri" w:cs="Calibri"/>
          <w:color w:val="000000" w:themeColor="text1"/>
          <w:sz w:val="24"/>
        </w:rPr>
      </w:pPr>
      <w:r w:rsidRPr="00777BCD">
        <w:rPr>
          <w:rFonts w:ascii="Calibri" w:hAnsi="Calibri" w:cs="Calibri"/>
          <w:color w:val="000000" w:themeColor="text1"/>
          <w:sz w:val="24"/>
        </w:rPr>
        <w:t>六、基金资产净值的计算方法和公告方式</w:t>
      </w:r>
    </w:p>
    <w:p w14:paraId="4BD1888C" w14:textId="77777777" w:rsidR="007149DF" w:rsidRPr="00777BCD" w:rsidRDefault="00284640">
      <w:pPr>
        <w:ind w:firstLine="480"/>
        <w:rPr>
          <w:rFonts w:ascii="Calibri" w:hAnsi="Calibri" w:cs="Calibri"/>
          <w:color w:val="000000" w:themeColor="text1"/>
          <w:sz w:val="24"/>
        </w:rPr>
      </w:pPr>
      <w:r w:rsidRPr="00777BCD">
        <w:rPr>
          <w:rFonts w:ascii="Calibri" w:hAnsi="Calibri" w:cs="Calibri"/>
          <w:color w:val="000000" w:themeColor="text1"/>
          <w:sz w:val="24"/>
        </w:rPr>
        <w:t>（一）基金资产净值</w:t>
      </w:r>
    </w:p>
    <w:p w14:paraId="407048B0" w14:textId="77777777" w:rsidR="007149DF" w:rsidRPr="00777BCD" w:rsidRDefault="00284640">
      <w:pPr>
        <w:ind w:firstLine="480"/>
        <w:rPr>
          <w:rFonts w:ascii="Calibri" w:hAnsi="Calibri" w:cs="Calibri"/>
          <w:color w:val="000000" w:themeColor="text1"/>
          <w:sz w:val="24"/>
        </w:rPr>
      </w:pPr>
      <w:r w:rsidRPr="00777BCD">
        <w:rPr>
          <w:rFonts w:ascii="Calibri" w:hAnsi="Calibri" w:cs="Calibri"/>
          <w:bCs/>
          <w:color w:val="000000" w:themeColor="text1"/>
          <w:sz w:val="24"/>
        </w:rPr>
        <w:t>基金资产净值是指基金资产总值减去基金负债后的价值。</w:t>
      </w:r>
    </w:p>
    <w:p w14:paraId="2EA15C02" w14:textId="77777777" w:rsidR="007149DF" w:rsidRPr="00777BCD" w:rsidRDefault="00284640">
      <w:pPr>
        <w:ind w:firstLine="480"/>
        <w:rPr>
          <w:rFonts w:ascii="Calibri" w:hAnsi="Calibri" w:cs="Calibri"/>
          <w:color w:val="000000" w:themeColor="text1"/>
          <w:sz w:val="24"/>
        </w:rPr>
      </w:pPr>
      <w:r w:rsidRPr="00777BCD">
        <w:rPr>
          <w:rFonts w:ascii="Calibri" w:hAnsi="Calibri" w:cs="Calibri"/>
          <w:color w:val="000000" w:themeColor="text1"/>
          <w:sz w:val="24"/>
        </w:rPr>
        <w:t>（二）估值方法</w:t>
      </w:r>
    </w:p>
    <w:p w14:paraId="7F538AE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、证券交易所上市的权益类证券的估值</w:t>
      </w:r>
    </w:p>
    <w:p w14:paraId="4305638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w:t>
      </w:r>
      <w:r w:rsidRPr="00777BCD">
        <w:rPr>
          <w:rFonts w:ascii="Calibri" w:hAnsi="Calibri" w:cs="Calibri"/>
          <w:bCs/>
          <w:color w:val="000000" w:themeColor="text1"/>
          <w:sz w:val="24"/>
        </w:rPr>
        <w:t>）交易所上市的权益类证券（包括股票等），以其估值日在证券交易所挂牌的市价（收盘价）估值；估值日无交易的，且最近交易日后经济环境未发</w:t>
      </w:r>
      <w:r w:rsidRPr="00777BCD">
        <w:rPr>
          <w:rFonts w:ascii="Calibri" w:hAnsi="Calibri" w:cs="Calibri"/>
          <w:bCs/>
          <w:color w:val="000000" w:themeColor="text1"/>
          <w:sz w:val="24"/>
        </w:rPr>
        <w:lastRenderedPageBreak/>
        <w:t>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40C87CE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2</w:t>
      </w:r>
      <w:r w:rsidRPr="00777BCD">
        <w:rPr>
          <w:rFonts w:ascii="Calibri" w:hAnsi="Calibri" w:cs="Calibri"/>
          <w:bCs/>
          <w:color w:val="000000" w:themeColor="text1"/>
          <w:sz w:val="24"/>
        </w:rPr>
        <w:t>）交易所上市不存在活跃市场的权益类证券，采用估值技术确定公允价值。</w:t>
      </w:r>
    </w:p>
    <w:p w14:paraId="666B6BB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、处于未上市期间的权益类证券应区分如下情况处理：</w:t>
      </w:r>
    </w:p>
    <w:p w14:paraId="42117E7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w:t>
      </w:r>
      <w:r w:rsidRPr="00777BCD">
        <w:rPr>
          <w:rFonts w:ascii="Calibri" w:hAnsi="Calibri" w:cs="Calibri"/>
          <w:bCs/>
          <w:color w:val="000000" w:themeColor="text1"/>
          <w:sz w:val="24"/>
        </w:rPr>
        <w:t>）送股、转增股、配股和公开增发的新股，按估值日在证券交易所挂牌的同一股票的估值方法估值；该日无交易的，以最近一日的市价（收盘价）估值。</w:t>
      </w:r>
    </w:p>
    <w:p w14:paraId="342C78C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2</w:t>
      </w:r>
      <w:r w:rsidRPr="00777BCD">
        <w:rPr>
          <w:rFonts w:ascii="Calibri" w:hAnsi="Calibri" w:cs="Calibri"/>
          <w:bCs/>
          <w:color w:val="000000" w:themeColor="text1"/>
          <w:sz w:val="24"/>
        </w:rPr>
        <w:t>）首次公开发行未上市的股票，采用估值技术确定公允价值。</w:t>
      </w:r>
    </w:p>
    <w:p w14:paraId="292298A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3</w:t>
      </w:r>
      <w:r w:rsidRPr="00777BCD">
        <w:rPr>
          <w:rFonts w:ascii="Calibri" w:hAnsi="Calibri" w:cs="Calibri"/>
          <w:bCs/>
          <w:color w:val="000000" w:themeColor="text1"/>
          <w:sz w:val="24"/>
        </w:rPr>
        <w:t>）在发行时明确一定期限限售期的股票，包括但不限于非公开发行股票、首次公开发行股票时公司股东公开发售股份、通过大宗交易取得的带限售期的股票等，不包括停牌、新发行未上市、回购交易中的质押</w:t>
      </w:r>
      <w:proofErr w:type="gramStart"/>
      <w:r w:rsidRPr="00777BCD">
        <w:rPr>
          <w:rFonts w:ascii="Calibri" w:hAnsi="Calibri" w:cs="Calibri"/>
          <w:bCs/>
          <w:color w:val="000000" w:themeColor="text1"/>
          <w:sz w:val="24"/>
        </w:rPr>
        <w:t>券</w:t>
      </w:r>
      <w:proofErr w:type="gramEnd"/>
      <w:r w:rsidRPr="00777BCD">
        <w:rPr>
          <w:rFonts w:ascii="Calibri" w:hAnsi="Calibri" w:cs="Calibri"/>
          <w:bCs/>
          <w:color w:val="000000" w:themeColor="text1"/>
          <w:sz w:val="24"/>
        </w:rPr>
        <w:t>等流通受限股票，按监管机构或行业协会有关规定确定公允价值。</w:t>
      </w:r>
    </w:p>
    <w:p w14:paraId="2F470C2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、对于已上市或已挂牌转让的不含</w:t>
      </w:r>
      <w:proofErr w:type="gramStart"/>
      <w:r w:rsidRPr="00777BCD">
        <w:rPr>
          <w:rFonts w:ascii="Calibri" w:hAnsi="Calibri" w:cs="Calibri"/>
          <w:bCs/>
          <w:color w:val="000000" w:themeColor="text1"/>
          <w:sz w:val="24"/>
        </w:rPr>
        <w:t>权固定</w:t>
      </w:r>
      <w:proofErr w:type="gramEnd"/>
      <w:r w:rsidRPr="00777BCD">
        <w:rPr>
          <w:rFonts w:ascii="Calibri" w:hAnsi="Calibri" w:cs="Calibri"/>
          <w:bCs/>
          <w:color w:val="000000" w:themeColor="text1"/>
          <w:sz w:val="24"/>
        </w:rPr>
        <w:t>收益品种，选取第三方估值基准服务机构提供的相应品种当日的估值全价。</w:t>
      </w:r>
    </w:p>
    <w:p w14:paraId="53A9BA3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、对于已上市或已挂牌转让的含</w:t>
      </w:r>
      <w:proofErr w:type="gramStart"/>
      <w:r w:rsidRPr="00777BCD">
        <w:rPr>
          <w:rFonts w:ascii="Calibri" w:hAnsi="Calibri" w:cs="Calibri"/>
          <w:bCs/>
          <w:color w:val="000000" w:themeColor="text1"/>
          <w:sz w:val="24"/>
        </w:rPr>
        <w:t>权固定</w:t>
      </w:r>
      <w:proofErr w:type="gramEnd"/>
      <w:r w:rsidRPr="00777BCD">
        <w:rPr>
          <w:rFonts w:ascii="Calibri" w:hAnsi="Calibri" w:cs="Calibri"/>
          <w:bCs/>
          <w:color w:val="000000" w:themeColor="text1"/>
          <w:sz w:val="24"/>
        </w:rPr>
        <w:t>收益品种，选取第三方估值基准服务机构提供的相应品种当日的唯一估值全价或推荐估值全价。</w:t>
      </w:r>
    </w:p>
    <w:p w14:paraId="315A84F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对于含投资者回售权的固定收益品种，行使回售权的，在回售登记日至实际收款日期间选取第三方估值基准服务机构提供的相应品种的唯一估值全价或推荐估值全价，同时应充分考虑发行人的信用风险变化对公允价值的影响。回售登记期截止日（含当日）后未行使回售权的建议按照长待偿期所对应的价格进行估值。</w:t>
      </w:r>
    </w:p>
    <w:p w14:paraId="78AC94A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5</w:t>
      </w:r>
      <w:r w:rsidRPr="00777BCD">
        <w:rPr>
          <w:rFonts w:ascii="Calibri" w:hAnsi="Calibri" w:cs="Calibri"/>
          <w:bCs/>
          <w:color w:val="000000" w:themeColor="text1"/>
          <w:sz w:val="24"/>
        </w:rPr>
        <w:t>、对于在交易所市场上市交易的公开发行的可转换债券等有活跃市场的含转股权的债券，实行全价交易的债券选取估值日收盘价作为估值全价；实行净价交易的债券选取估值日收盘价并加计每百元税前应计利息作为估值全价。</w:t>
      </w:r>
    </w:p>
    <w:p w14:paraId="0FD0CEF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6</w:t>
      </w:r>
      <w:r w:rsidRPr="00777BCD">
        <w:rPr>
          <w:rFonts w:ascii="Calibri" w:hAnsi="Calibri" w:cs="Calibri"/>
          <w:bCs/>
          <w:color w:val="000000" w:themeColor="text1"/>
          <w:sz w:val="24"/>
        </w:rPr>
        <w:t>、对于未上市或未挂牌转让且不存在活跃市场的固定收益品种，应采用在当前情况下适用并且有足够可利用数据和其他信息支持的估值技术确定其公允价值。</w:t>
      </w:r>
    </w:p>
    <w:p w14:paraId="589FFDF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7</w:t>
      </w:r>
      <w:r w:rsidRPr="00777BCD">
        <w:rPr>
          <w:rFonts w:ascii="Calibri" w:hAnsi="Calibri" w:cs="Calibri"/>
          <w:bCs/>
          <w:color w:val="000000" w:themeColor="text1"/>
          <w:sz w:val="24"/>
        </w:rPr>
        <w:t>、对于发行人已破产、发行人未能按时足额偿付本金或利息，或者有其它可靠信息表明本金或利息无法按时足额偿付的债券投资品种，第三方估值基准服务机构可在提供推荐价格的同时提供价格区间作为公允价值的参考范围以及公允价值存在重大不确定性的相关提示。基金管理人在与基金托管人协商一致后，可采用价格区间中的数据作为该债券投资品种的公允价值。</w:t>
      </w:r>
    </w:p>
    <w:p w14:paraId="0CDDF33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8</w:t>
      </w:r>
      <w:r w:rsidRPr="00777BCD">
        <w:rPr>
          <w:rFonts w:ascii="Calibri" w:hAnsi="Calibri" w:cs="Calibri"/>
          <w:bCs/>
          <w:color w:val="000000" w:themeColor="text1"/>
          <w:sz w:val="24"/>
        </w:rPr>
        <w:t>、同一证券同时在两个或两个以上市场交易的，按证券所处的市场分别估值。</w:t>
      </w:r>
    </w:p>
    <w:p w14:paraId="39C7AD8A"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9</w:t>
      </w:r>
      <w:r w:rsidRPr="00777BCD">
        <w:rPr>
          <w:rFonts w:ascii="Calibri" w:hAnsi="Calibri" w:cs="Calibri"/>
          <w:bCs/>
          <w:color w:val="000000" w:themeColor="text1"/>
          <w:sz w:val="24"/>
        </w:rPr>
        <w:t>、估值计算中涉及港币对人民币汇率的，应当以估值日中国人民银行或其授权机构公布的人民币与港币的中间价为准。</w:t>
      </w:r>
    </w:p>
    <w:p w14:paraId="3C5961F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10</w:t>
      </w:r>
      <w:r w:rsidRPr="00777BCD">
        <w:rPr>
          <w:rFonts w:ascii="Calibri" w:hAnsi="Calibri" w:cs="Calibri"/>
          <w:bCs/>
          <w:color w:val="000000" w:themeColor="text1"/>
          <w:sz w:val="24"/>
        </w:rPr>
        <w:t>、持有的银行定期存款或通知存款以本金列示，根据存款协议列示的利息总额或约定利率</w:t>
      </w:r>
      <w:proofErr w:type="gramStart"/>
      <w:r w:rsidRPr="00777BCD">
        <w:rPr>
          <w:rFonts w:ascii="Calibri" w:hAnsi="Calibri" w:cs="Calibri"/>
          <w:bCs/>
          <w:color w:val="000000" w:themeColor="text1"/>
          <w:sz w:val="24"/>
        </w:rPr>
        <w:t>每自然</w:t>
      </w:r>
      <w:proofErr w:type="gramEnd"/>
      <w:r w:rsidRPr="00777BCD">
        <w:rPr>
          <w:rFonts w:ascii="Calibri" w:hAnsi="Calibri" w:cs="Calibri"/>
          <w:bCs/>
          <w:color w:val="000000" w:themeColor="text1"/>
          <w:sz w:val="24"/>
        </w:rPr>
        <w:t>日计提利息。</w:t>
      </w:r>
    </w:p>
    <w:p w14:paraId="4C0F607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11</w:t>
      </w:r>
      <w:r w:rsidRPr="00777BCD">
        <w:rPr>
          <w:rFonts w:ascii="Calibri" w:hAnsi="Calibri" w:cs="Calibri"/>
          <w:bCs/>
          <w:color w:val="000000" w:themeColor="text1"/>
          <w:sz w:val="24"/>
        </w:rPr>
        <w:t>、股指期货合约以估值当日结算价进行估值，估值当日无结算价的，且最近交易日后经济环境未发生重大变化的，采用最近交易日结算价估值。</w:t>
      </w:r>
    </w:p>
    <w:p w14:paraId="04F3E5F6"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12</w:t>
      </w:r>
      <w:r w:rsidRPr="00777BCD">
        <w:rPr>
          <w:rFonts w:ascii="Calibri" w:hAnsi="Calibri" w:cs="Calibri"/>
          <w:bCs/>
          <w:color w:val="000000" w:themeColor="text1"/>
          <w:sz w:val="24"/>
        </w:rPr>
        <w:t>、本基金投资存托凭证的估值核算，依照境内上市交易的股票执行。</w:t>
      </w:r>
    </w:p>
    <w:p w14:paraId="0F7DC0D6" w14:textId="663FF590"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13</w:t>
      </w:r>
      <w:r w:rsidRPr="00777BCD">
        <w:rPr>
          <w:rFonts w:ascii="Calibri" w:hAnsi="Calibri" w:cs="Calibri"/>
          <w:bCs/>
          <w:color w:val="000000" w:themeColor="text1"/>
          <w:sz w:val="24"/>
        </w:rPr>
        <w:t>、本基金参与融资业务的，按照相关法律法规、监管部门和行业协会的相关规定进行估值。</w:t>
      </w:r>
    </w:p>
    <w:p w14:paraId="665B846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14</w:t>
      </w:r>
      <w:r w:rsidRPr="00777BCD">
        <w:rPr>
          <w:rFonts w:ascii="Calibri" w:hAnsi="Calibri" w:cs="Calibri"/>
          <w:bCs/>
          <w:color w:val="000000" w:themeColor="text1"/>
          <w:sz w:val="24"/>
        </w:rPr>
        <w:t>、如有确凿证据表明按上述方法进行估值不能客观反映其公允价值的，基金管理人可根据具体情况与基金托管人商定后，按最能反映公允价值的价格估值。</w:t>
      </w:r>
    </w:p>
    <w:p w14:paraId="5FF2E87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15</w:t>
      </w:r>
      <w:r w:rsidRPr="00777BCD">
        <w:rPr>
          <w:rFonts w:ascii="Calibri" w:hAnsi="Calibri" w:cs="Calibri"/>
          <w:bCs/>
          <w:color w:val="000000" w:themeColor="text1"/>
          <w:sz w:val="24"/>
        </w:rPr>
        <w:t>、当发生大额申购或赎回情形时，基金管理人可以采用摆动定价机制，以确保基金估值的公平性。</w:t>
      </w:r>
    </w:p>
    <w:p w14:paraId="04CBF10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16</w:t>
      </w:r>
      <w:r w:rsidRPr="00777BCD">
        <w:rPr>
          <w:rFonts w:ascii="Calibri" w:hAnsi="Calibri" w:cs="Calibri"/>
          <w:bCs/>
          <w:color w:val="000000" w:themeColor="text1"/>
          <w:sz w:val="24"/>
        </w:rPr>
        <w:t>、税收：对于按照中国法律法规和基金投资境内外股票市场交易互联互通机制涉及的境外交易场所所在地的法律法规规定应交纳的各项税金，本基金将按权责发生制原则进行估值；对于因税收规定调整或其他原因导致基金实际交纳税金与估算的应交税金有差异的，基金将在相关税金调整日或实际支付日进行相应的估值调整。</w:t>
      </w:r>
    </w:p>
    <w:p w14:paraId="1EEB237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17</w:t>
      </w:r>
      <w:r w:rsidRPr="00777BCD">
        <w:rPr>
          <w:rFonts w:ascii="Calibri" w:hAnsi="Calibri" w:cs="Calibri"/>
          <w:bCs/>
          <w:color w:val="000000" w:themeColor="text1"/>
          <w:sz w:val="24"/>
        </w:rPr>
        <w:t>、相关法律法规以及监管部门有强制规定的，从其规定。如有新增事项，按国家最新规定估值。</w:t>
      </w:r>
    </w:p>
    <w:p w14:paraId="3DBC585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如基金管理人或基金托管人发现基金估值违反基金合同订明的估值方法、程序及相关法律法规的规定或者未能充分维护基金份额持有人利益时，应立即通知对方，共同查明原因，双方协商解决。</w:t>
      </w:r>
    </w:p>
    <w:p w14:paraId="13344905" w14:textId="77777777" w:rsidR="007149DF" w:rsidRPr="00777BCD" w:rsidRDefault="00284640">
      <w:pPr>
        <w:ind w:firstLine="480"/>
        <w:rPr>
          <w:rFonts w:ascii="Calibri" w:hAnsi="Calibri" w:cs="Calibri"/>
          <w:color w:val="000000" w:themeColor="text1"/>
          <w:sz w:val="24"/>
        </w:rPr>
      </w:pPr>
      <w:r w:rsidRPr="00777BCD">
        <w:rPr>
          <w:rFonts w:ascii="Calibri" w:hAnsi="Calibri" w:cs="Calibri"/>
          <w:bCs/>
          <w:color w:val="000000" w:themeColor="text1"/>
          <w:sz w:val="24"/>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基金管理人向基金托管人出具加盖公章的书面说明后，按照基金管理人对基金净值信息的计算结果对外予以公布。</w:t>
      </w:r>
    </w:p>
    <w:p w14:paraId="57E1F4FF"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color w:val="000000" w:themeColor="text1"/>
          <w:sz w:val="24"/>
        </w:rPr>
        <w:t>（三）基金净值信息的公告方式</w:t>
      </w:r>
    </w:p>
    <w:p w14:paraId="1280AC9D"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《基金合同》生效后，在开始办理基金份额申购或者赎回前，基金管理人应当至少每周在规定网站披露一次各类基金份额净值和各类基金份额累计净值。</w:t>
      </w:r>
    </w:p>
    <w:p w14:paraId="6D6AAB9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在开始办理基金份额申购或者赎回后，基金管理人应当在不晚于每个开放日的次日，通过规定网站、基金销售机构网站或者营业网点披露开放日的各类基金份额净值和各类基金份额累计净值。</w:t>
      </w:r>
    </w:p>
    <w:p w14:paraId="3044E42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基金管理人应当在不晚于半年度和年度最后一日的次日，在规定网站披露半年度和年度最后一日的各类基金份额净值和各类基金份额累计净值。</w:t>
      </w:r>
    </w:p>
    <w:p w14:paraId="5DF12CB1" w14:textId="77777777" w:rsidR="007149DF" w:rsidRPr="00777BCD" w:rsidRDefault="007149DF">
      <w:pPr>
        <w:ind w:firstLine="480"/>
        <w:rPr>
          <w:rFonts w:ascii="Calibri" w:hAnsi="Calibri" w:cs="Calibri"/>
          <w:color w:val="000000" w:themeColor="text1"/>
          <w:sz w:val="24"/>
        </w:rPr>
      </w:pPr>
    </w:p>
    <w:p w14:paraId="084C668F" w14:textId="77777777" w:rsidR="007149DF" w:rsidRPr="00777BCD" w:rsidRDefault="00284640">
      <w:pPr>
        <w:ind w:firstLine="480"/>
        <w:jc w:val="left"/>
        <w:rPr>
          <w:rFonts w:ascii="Calibri" w:hAnsi="Calibri" w:cs="Calibri"/>
          <w:color w:val="000000" w:themeColor="text1"/>
          <w:sz w:val="24"/>
        </w:rPr>
      </w:pPr>
      <w:r w:rsidRPr="00777BCD">
        <w:rPr>
          <w:rFonts w:ascii="Calibri" w:hAnsi="Calibri" w:cs="Calibri"/>
          <w:color w:val="000000" w:themeColor="text1"/>
          <w:sz w:val="24"/>
        </w:rPr>
        <w:t>七、基金合同解除和终止的事由、程序以及基金财产清算方式</w:t>
      </w:r>
    </w:p>
    <w:p w14:paraId="760730C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（一）《基金合同》的变更</w:t>
      </w:r>
    </w:p>
    <w:p w14:paraId="0CE6F7F2" w14:textId="6E0BCBC5"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、变更基金合同涉及法律法规规定或本</w:t>
      </w:r>
      <w:r w:rsidR="00531917">
        <w:rPr>
          <w:rFonts w:ascii="Calibri" w:hAnsi="Calibri" w:cs="Calibri" w:hint="eastAsia"/>
          <w:bCs/>
          <w:color w:val="000000" w:themeColor="text1"/>
          <w:sz w:val="24"/>
        </w:rPr>
        <w:t>基金</w:t>
      </w:r>
      <w:r w:rsidRPr="00777BCD">
        <w:rPr>
          <w:rFonts w:ascii="Calibri" w:hAnsi="Calibri" w:cs="Calibri"/>
          <w:bCs/>
          <w:color w:val="000000" w:themeColor="text1"/>
          <w:sz w:val="24"/>
        </w:rPr>
        <w:t>合同约定应经基金份额持有人大会决议通过的事项的，应召</w:t>
      </w:r>
      <w:proofErr w:type="gramStart"/>
      <w:r w:rsidRPr="00777BCD">
        <w:rPr>
          <w:rFonts w:ascii="Calibri" w:hAnsi="Calibri" w:cs="Calibri"/>
          <w:bCs/>
          <w:color w:val="000000" w:themeColor="text1"/>
          <w:sz w:val="24"/>
        </w:rPr>
        <w:t>开基金</w:t>
      </w:r>
      <w:proofErr w:type="gramEnd"/>
      <w:r w:rsidRPr="00777BCD">
        <w:rPr>
          <w:rFonts w:ascii="Calibri" w:hAnsi="Calibri" w:cs="Calibri"/>
          <w:bCs/>
          <w:color w:val="000000" w:themeColor="text1"/>
          <w:sz w:val="24"/>
        </w:rPr>
        <w:t>份额持有人大会决议通过。对于法律法规规定和基金合同约定可不经基金份额持有人大会决议通过的事项，由基金管理人和基金托管人同意后变更并公告。</w:t>
      </w:r>
    </w:p>
    <w:p w14:paraId="13C2B47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、关于《基金合同》变更的基金份额持有人大会决议自生效后方可执行，</w:t>
      </w:r>
      <w:proofErr w:type="gramStart"/>
      <w:r w:rsidRPr="00777BCD">
        <w:rPr>
          <w:rFonts w:ascii="Calibri" w:hAnsi="Calibri" w:cs="Calibri"/>
          <w:bCs/>
          <w:color w:val="000000" w:themeColor="text1"/>
          <w:sz w:val="24"/>
        </w:rPr>
        <w:t>自决议</w:t>
      </w:r>
      <w:proofErr w:type="gramEnd"/>
      <w:r w:rsidRPr="00777BCD">
        <w:rPr>
          <w:rFonts w:ascii="Calibri" w:hAnsi="Calibri" w:cs="Calibri"/>
          <w:bCs/>
          <w:color w:val="000000" w:themeColor="text1"/>
          <w:sz w:val="24"/>
        </w:rPr>
        <w:t>生效后两日内在规定媒介公告。</w:t>
      </w:r>
    </w:p>
    <w:p w14:paraId="2F92F461" w14:textId="77777777" w:rsidR="007149DF" w:rsidRPr="00777BCD" w:rsidRDefault="00284640">
      <w:pPr>
        <w:ind w:firstLine="480"/>
        <w:rPr>
          <w:rFonts w:ascii="Calibri" w:hAnsi="Calibri" w:cs="Calibri"/>
          <w:color w:val="000000" w:themeColor="text1"/>
          <w:sz w:val="24"/>
        </w:rPr>
      </w:pPr>
      <w:r w:rsidRPr="00777BCD">
        <w:rPr>
          <w:rFonts w:ascii="Calibri" w:hAnsi="Calibri" w:cs="Calibri"/>
          <w:color w:val="000000" w:themeColor="text1"/>
          <w:sz w:val="24"/>
        </w:rPr>
        <w:t>（二）《基金合同》的终止事由</w:t>
      </w:r>
    </w:p>
    <w:p w14:paraId="33B6065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有下列情形之一的，经履行相关程序后，《基金合同》应当终止：</w:t>
      </w:r>
    </w:p>
    <w:p w14:paraId="691D9D3B"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、基金份额持有人大会决定终止的；</w:t>
      </w:r>
    </w:p>
    <w:p w14:paraId="3025BCAC"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、基金管理人、基金托管人职责终止，在</w:t>
      </w:r>
      <w:r w:rsidRPr="00777BCD">
        <w:rPr>
          <w:rFonts w:ascii="Calibri" w:hAnsi="Calibri" w:cs="Calibri"/>
          <w:bCs/>
          <w:color w:val="000000" w:themeColor="text1"/>
          <w:sz w:val="24"/>
        </w:rPr>
        <w:t>6</w:t>
      </w:r>
      <w:r w:rsidRPr="00777BCD">
        <w:rPr>
          <w:rFonts w:ascii="Calibri" w:hAnsi="Calibri" w:cs="Calibri"/>
          <w:bCs/>
          <w:color w:val="000000" w:themeColor="text1"/>
          <w:sz w:val="24"/>
        </w:rPr>
        <w:t>个月内没有新基金管理人、新基金托管人承接的；</w:t>
      </w:r>
    </w:p>
    <w:p w14:paraId="32C3DCF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、《基金合同》约定的其他情形；</w:t>
      </w:r>
    </w:p>
    <w:p w14:paraId="1F00B85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、相关法律法规和中国证监会规定的其他情况。</w:t>
      </w:r>
    </w:p>
    <w:p w14:paraId="79AC957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（三）基金财产的清算</w:t>
      </w:r>
    </w:p>
    <w:p w14:paraId="6CEE77A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1</w:t>
      </w:r>
      <w:r w:rsidRPr="00777BCD">
        <w:rPr>
          <w:rFonts w:ascii="Calibri" w:hAnsi="Calibri" w:cs="Calibri"/>
          <w:bCs/>
          <w:color w:val="000000" w:themeColor="text1"/>
          <w:sz w:val="24"/>
        </w:rPr>
        <w:t>、基金财产清算小组：自出现《基金合同》终止事由之日起</w:t>
      </w:r>
      <w:r w:rsidRPr="00777BCD">
        <w:rPr>
          <w:rFonts w:ascii="Calibri" w:hAnsi="Calibri" w:cs="Calibri"/>
          <w:bCs/>
          <w:color w:val="000000" w:themeColor="text1"/>
          <w:sz w:val="24"/>
        </w:rPr>
        <w:t>30</w:t>
      </w:r>
      <w:r w:rsidRPr="00777BCD">
        <w:rPr>
          <w:rFonts w:ascii="Calibri" w:hAnsi="Calibri" w:cs="Calibri"/>
          <w:bCs/>
          <w:color w:val="000000" w:themeColor="text1"/>
          <w:sz w:val="24"/>
        </w:rPr>
        <w:t>个工作日内成立基金财产清算小组，基金管理人组织基金财产清算小组并在中国证监会的监督下进行基金清算。</w:t>
      </w:r>
    </w:p>
    <w:p w14:paraId="13712CE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2</w:t>
      </w:r>
      <w:r w:rsidRPr="00777BCD">
        <w:rPr>
          <w:rFonts w:ascii="Calibri" w:hAnsi="Calibri" w:cs="Calibri"/>
          <w:bCs/>
          <w:color w:val="000000" w:themeColor="text1"/>
          <w:sz w:val="24"/>
        </w:rPr>
        <w:t>、基金财产清算小组组成：基金财产清算小组成员由基金管理人、基金托管人、符合《中华人民共和国证券法》规定的注册会计师、律师以及中国证监会指定的人员组成。基金财产清算小组可以聘用必要的工作人员。</w:t>
      </w:r>
    </w:p>
    <w:p w14:paraId="77D3FDF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3</w:t>
      </w:r>
      <w:r w:rsidRPr="00777BCD">
        <w:rPr>
          <w:rFonts w:ascii="Calibri" w:hAnsi="Calibri" w:cs="Calibri"/>
          <w:bCs/>
          <w:color w:val="000000" w:themeColor="text1"/>
          <w:sz w:val="24"/>
        </w:rPr>
        <w:t>、基金财产清算小组职责：基金财产清算小组负责基金财产的保管、清理、估价、变现和分配。基金财产清算小组可以依法进行必要的民事活动。</w:t>
      </w:r>
    </w:p>
    <w:p w14:paraId="1AC2F674"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4</w:t>
      </w:r>
      <w:r w:rsidRPr="00777BCD">
        <w:rPr>
          <w:rFonts w:ascii="Calibri" w:hAnsi="Calibri" w:cs="Calibri"/>
          <w:bCs/>
          <w:color w:val="000000" w:themeColor="text1"/>
          <w:sz w:val="24"/>
        </w:rPr>
        <w:t>、基金财产清算程序：</w:t>
      </w:r>
    </w:p>
    <w:p w14:paraId="44756E3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1</w:t>
      </w:r>
      <w:r w:rsidRPr="00777BCD">
        <w:rPr>
          <w:rFonts w:ascii="Calibri" w:hAnsi="Calibri" w:cs="Calibri"/>
          <w:bCs/>
          <w:color w:val="000000" w:themeColor="text1"/>
          <w:sz w:val="24"/>
        </w:rPr>
        <w:t>）《基金合同》终止情形出现时，由基金财产清算小组统一接管基金；</w:t>
      </w:r>
    </w:p>
    <w:p w14:paraId="68124F6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2</w:t>
      </w:r>
      <w:r w:rsidRPr="00777BCD">
        <w:rPr>
          <w:rFonts w:ascii="Calibri" w:hAnsi="Calibri" w:cs="Calibri"/>
          <w:bCs/>
          <w:color w:val="000000" w:themeColor="text1"/>
          <w:sz w:val="24"/>
        </w:rPr>
        <w:t>）对基金财产和债权债务进行清理和确认；</w:t>
      </w:r>
    </w:p>
    <w:p w14:paraId="217C31C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3</w:t>
      </w:r>
      <w:r w:rsidRPr="00777BCD">
        <w:rPr>
          <w:rFonts w:ascii="Calibri" w:hAnsi="Calibri" w:cs="Calibri"/>
          <w:bCs/>
          <w:color w:val="000000" w:themeColor="text1"/>
          <w:sz w:val="24"/>
        </w:rPr>
        <w:t>）对基金财产进行估值和变现；</w:t>
      </w:r>
    </w:p>
    <w:p w14:paraId="348F5F17"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4</w:t>
      </w:r>
      <w:r w:rsidRPr="00777BCD">
        <w:rPr>
          <w:rFonts w:ascii="Calibri" w:hAnsi="Calibri" w:cs="Calibri"/>
          <w:bCs/>
          <w:color w:val="000000" w:themeColor="text1"/>
          <w:sz w:val="24"/>
        </w:rPr>
        <w:t>）制作清算报告；</w:t>
      </w:r>
    </w:p>
    <w:p w14:paraId="7B3FB21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5</w:t>
      </w:r>
      <w:r w:rsidRPr="00777BCD">
        <w:rPr>
          <w:rFonts w:ascii="Calibri" w:hAnsi="Calibri" w:cs="Calibri"/>
          <w:bCs/>
          <w:color w:val="000000" w:themeColor="text1"/>
          <w:sz w:val="24"/>
        </w:rPr>
        <w:t>）聘请符合《中华人民共和国证券法》规定的会计师事务所对清算报告进行外部审计，聘请律师事务所对清算报告出具法律意见书；</w:t>
      </w:r>
    </w:p>
    <w:p w14:paraId="55A13503"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6</w:t>
      </w:r>
      <w:r w:rsidRPr="00777BCD">
        <w:rPr>
          <w:rFonts w:ascii="Calibri" w:hAnsi="Calibri" w:cs="Calibri"/>
          <w:bCs/>
          <w:color w:val="000000" w:themeColor="text1"/>
          <w:sz w:val="24"/>
        </w:rPr>
        <w:t>）将清算报告报中国证监会备案并公告；</w:t>
      </w:r>
    </w:p>
    <w:p w14:paraId="247BA7B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w:t>
      </w:r>
      <w:r w:rsidRPr="00777BCD">
        <w:rPr>
          <w:rFonts w:ascii="Calibri" w:hAnsi="Calibri" w:cs="Calibri"/>
          <w:bCs/>
          <w:color w:val="000000" w:themeColor="text1"/>
          <w:sz w:val="24"/>
        </w:rPr>
        <w:t>7</w:t>
      </w:r>
      <w:r w:rsidRPr="00777BCD">
        <w:rPr>
          <w:rFonts w:ascii="Calibri" w:hAnsi="Calibri" w:cs="Calibri"/>
          <w:bCs/>
          <w:color w:val="000000" w:themeColor="text1"/>
          <w:sz w:val="24"/>
        </w:rPr>
        <w:t>）对基金剩余财产进行分配。</w:t>
      </w:r>
    </w:p>
    <w:p w14:paraId="36DD88A5"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5</w:t>
      </w:r>
      <w:r w:rsidRPr="00777BCD">
        <w:rPr>
          <w:rFonts w:ascii="Calibri" w:hAnsi="Calibri" w:cs="Calibri"/>
          <w:bCs/>
          <w:color w:val="000000" w:themeColor="text1"/>
          <w:sz w:val="24"/>
        </w:rPr>
        <w:t>、基金财产清算的期限为</w:t>
      </w:r>
      <w:r w:rsidRPr="00777BCD">
        <w:rPr>
          <w:rFonts w:ascii="Calibri" w:hAnsi="Calibri" w:cs="Calibri"/>
          <w:bCs/>
          <w:color w:val="000000" w:themeColor="text1"/>
          <w:sz w:val="24"/>
        </w:rPr>
        <w:t>6</w:t>
      </w:r>
      <w:r w:rsidRPr="00777BCD">
        <w:rPr>
          <w:rFonts w:ascii="Calibri" w:hAnsi="Calibri" w:cs="Calibri"/>
          <w:bCs/>
          <w:color w:val="000000" w:themeColor="text1"/>
          <w:sz w:val="24"/>
        </w:rPr>
        <w:t>个月，但因本基金所持证券的流动性受到限制而不能及时变现的，清算期限相应顺延。</w:t>
      </w:r>
    </w:p>
    <w:p w14:paraId="6BCFFD2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（四）清算费用</w:t>
      </w:r>
    </w:p>
    <w:p w14:paraId="252EB70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清算费用是指基金财产清算小组在进行基金财产清算过程中发生的所有合理费用，清算费用由基金财产清算小组优先从基金剩余财产中支付。</w:t>
      </w:r>
    </w:p>
    <w:p w14:paraId="0C2F56F1"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lastRenderedPageBreak/>
        <w:t>（五）基金财产清算剩余资产的分配</w:t>
      </w:r>
    </w:p>
    <w:p w14:paraId="0F270A29"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依据基金财产清算的分配方案，将基金财产清算后的全部剩余资产扣除基金财产清算费用、交纳所欠税款并清偿基金债务后，各类基金份额按基金份额持有人持有的该类基金份额比例进行分配。</w:t>
      </w:r>
    </w:p>
    <w:p w14:paraId="67BD799E"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（六）基金财产清算的公告</w:t>
      </w:r>
    </w:p>
    <w:p w14:paraId="6AEFA179" w14:textId="3A522FB4"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清算过程中的有关重大事项须及时公告；基金财产清算报告</w:t>
      </w:r>
      <w:proofErr w:type="gramStart"/>
      <w:r w:rsidRPr="00777BCD">
        <w:rPr>
          <w:rFonts w:ascii="Calibri" w:hAnsi="Calibri" w:cs="Calibri"/>
          <w:bCs/>
          <w:color w:val="000000" w:themeColor="text1"/>
          <w:sz w:val="24"/>
        </w:rPr>
        <w:t>经符合</w:t>
      </w:r>
      <w:proofErr w:type="gramEnd"/>
      <w:r w:rsidRPr="00777BCD">
        <w:rPr>
          <w:rFonts w:ascii="Calibri" w:hAnsi="Calibri" w:cs="Calibri"/>
          <w:bCs/>
          <w:color w:val="000000" w:themeColor="text1"/>
          <w:sz w:val="24"/>
        </w:rPr>
        <w:t>《中华人民共和国证券法》规定的会计师事务所审计并由律师事务所出具法律意见书后报中国证监会备案并公告。基金财产清算报告报中国证监会备案后</w:t>
      </w:r>
      <w:r w:rsidRPr="00777BCD">
        <w:rPr>
          <w:rFonts w:ascii="Calibri" w:hAnsi="Calibri" w:cs="Calibri"/>
          <w:bCs/>
          <w:color w:val="000000" w:themeColor="text1"/>
          <w:sz w:val="24"/>
        </w:rPr>
        <w:t>5</w:t>
      </w:r>
      <w:r w:rsidRPr="00777BCD">
        <w:rPr>
          <w:rFonts w:ascii="Calibri" w:hAnsi="Calibri" w:cs="Calibri"/>
          <w:bCs/>
          <w:color w:val="000000" w:themeColor="text1"/>
          <w:sz w:val="24"/>
        </w:rPr>
        <w:t>个工作日内由基金财产清算小组进行公告，</w:t>
      </w:r>
      <w:r w:rsidR="00B64864" w:rsidRPr="00777BCD">
        <w:rPr>
          <w:rFonts w:ascii="Calibri" w:hAnsi="Calibri" w:cs="Calibri"/>
          <w:bCs/>
          <w:color w:val="000000" w:themeColor="text1"/>
          <w:sz w:val="24"/>
        </w:rPr>
        <w:t>基金财产</w:t>
      </w:r>
      <w:r w:rsidRPr="00777BCD">
        <w:rPr>
          <w:rFonts w:ascii="Calibri" w:hAnsi="Calibri" w:cs="Calibri"/>
          <w:bCs/>
          <w:color w:val="000000" w:themeColor="text1"/>
          <w:sz w:val="24"/>
        </w:rPr>
        <w:t>清算小组应当将清算报告登载在规定网站上，并将清算报告提示性公告登载在规定报刊上。</w:t>
      </w:r>
    </w:p>
    <w:p w14:paraId="0612A190"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（七）基金财产清算账册及文件的保存</w:t>
      </w:r>
    </w:p>
    <w:p w14:paraId="13CCB582"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基金财产清算账册及有关文件由基金托管人保存，保存期限不少于法定最低期限。</w:t>
      </w:r>
    </w:p>
    <w:p w14:paraId="2F5BE570" w14:textId="77777777" w:rsidR="007149DF" w:rsidRPr="00777BCD" w:rsidRDefault="007149DF">
      <w:pPr>
        <w:ind w:firstLine="480"/>
        <w:rPr>
          <w:rFonts w:ascii="Calibri" w:hAnsi="Calibri" w:cs="Calibri"/>
          <w:bCs/>
          <w:color w:val="000000" w:themeColor="text1"/>
          <w:sz w:val="24"/>
        </w:rPr>
      </w:pPr>
    </w:p>
    <w:p w14:paraId="737DCFC7" w14:textId="77777777" w:rsidR="007149DF" w:rsidRPr="00777BCD" w:rsidRDefault="00284640">
      <w:pPr>
        <w:ind w:firstLine="480"/>
        <w:rPr>
          <w:rFonts w:ascii="Calibri" w:hAnsi="Calibri" w:cs="Calibri"/>
          <w:color w:val="000000" w:themeColor="text1"/>
          <w:sz w:val="24"/>
        </w:rPr>
      </w:pPr>
      <w:r w:rsidRPr="00777BCD">
        <w:rPr>
          <w:rFonts w:ascii="Calibri" w:hAnsi="Calibri" w:cs="Calibri"/>
          <w:color w:val="000000" w:themeColor="text1"/>
          <w:sz w:val="24"/>
        </w:rPr>
        <w:t>八、争议解决方式</w:t>
      </w:r>
    </w:p>
    <w:p w14:paraId="3C98FA2E" w14:textId="6ABC1B3E" w:rsidR="007149DF" w:rsidRPr="00777BCD" w:rsidRDefault="00284640">
      <w:pPr>
        <w:ind w:firstLine="480"/>
        <w:rPr>
          <w:rFonts w:ascii="Calibri" w:hAnsi="Calibri" w:cs="Calibri"/>
          <w:color w:val="000000" w:themeColor="text1"/>
          <w:sz w:val="24"/>
        </w:rPr>
      </w:pPr>
      <w:r w:rsidRPr="00777BCD">
        <w:rPr>
          <w:rFonts w:ascii="Calibri" w:hAnsi="Calibri" w:cs="Calibri"/>
          <w:bCs/>
          <w:color w:val="000000" w:themeColor="text1"/>
          <w:sz w:val="24"/>
        </w:rPr>
        <w:t>各方当事人同意，因《基金合同》而产生的或与《基金合同》有关的一切争议，如经友好协商</w:t>
      </w:r>
      <w:r w:rsidR="00B64864" w:rsidRPr="00777BCD">
        <w:rPr>
          <w:rFonts w:ascii="Calibri" w:hAnsi="Calibri" w:cs="Calibri"/>
          <w:bCs/>
          <w:color w:val="000000" w:themeColor="text1"/>
          <w:sz w:val="24"/>
        </w:rPr>
        <w:t>、调解</w:t>
      </w:r>
      <w:r w:rsidRPr="00777BCD">
        <w:rPr>
          <w:rFonts w:ascii="Calibri" w:hAnsi="Calibri" w:cs="Calibri"/>
          <w:bCs/>
          <w:color w:val="000000" w:themeColor="text1"/>
          <w:sz w:val="24"/>
        </w:rPr>
        <w:t>未能解决的，任何一方均应当提交中国国际经济贸易仲裁委员会，按照中国国际经济贸易仲裁委员会届时有效的仲裁规则进行仲裁。仲裁地点在北京市。仲裁裁决是终局的，对各方当事人均有约束力。除非仲裁裁决另有决定，仲裁费用由败诉方承担</w:t>
      </w:r>
      <w:r w:rsidRPr="00777BCD">
        <w:rPr>
          <w:rFonts w:ascii="Calibri" w:hAnsi="Calibri" w:cs="Calibri"/>
          <w:color w:val="000000" w:themeColor="text1"/>
          <w:sz w:val="24"/>
        </w:rPr>
        <w:t>。</w:t>
      </w:r>
    </w:p>
    <w:p w14:paraId="53C29E56" w14:textId="77777777" w:rsidR="007149DF" w:rsidRPr="00777BCD" w:rsidRDefault="00284640">
      <w:pPr>
        <w:ind w:firstLine="480"/>
        <w:rPr>
          <w:rFonts w:ascii="Calibri" w:hAnsi="Calibri" w:cs="Calibri"/>
          <w:bCs/>
          <w:color w:val="000000" w:themeColor="text1"/>
          <w:sz w:val="24"/>
        </w:rPr>
      </w:pPr>
      <w:r w:rsidRPr="00777BCD">
        <w:rPr>
          <w:rFonts w:ascii="Calibri" w:hAnsi="Calibri" w:cs="Calibri"/>
          <w:color w:val="000000" w:themeColor="text1"/>
          <w:sz w:val="24"/>
        </w:rPr>
        <w:t>争议处理期间，各方当事人应恪守职责，各自继续忠实、勤勉、尽责地履行</w:t>
      </w:r>
      <w:r w:rsidRPr="00777BCD">
        <w:rPr>
          <w:rFonts w:ascii="Calibri" w:hAnsi="Calibri" w:cs="Calibri"/>
          <w:bCs/>
          <w:color w:val="000000" w:themeColor="text1"/>
          <w:sz w:val="24"/>
        </w:rPr>
        <w:t>《基金合同》</w:t>
      </w:r>
      <w:r w:rsidRPr="00777BCD">
        <w:rPr>
          <w:rFonts w:ascii="Calibri" w:hAnsi="Calibri" w:cs="Calibri"/>
          <w:color w:val="000000" w:themeColor="text1"/>
          <w:sz w:val="24"/>
        </w:rPr>
        <w:t>规定的义务，维护基金份额持有人的合法权益。</w:t>
      </w:r>
    </w:p>
    <w:p w14:paraId="6C412B19" w14:textId="77777777" w:rsidR="007149DF" w:rsidRPr="00777BCD" w:rsidRDefault="00284640">
      <w:pPr>
        <w:ind w:firstLine="480"/>
        <w:jc w:val="left"/>
        <w:rPr>
          <w:rFonts w:ascii="Calibri" w:hAnsi="Calibri" w:cs="Calibri"/>
          <w:bCs/>
          <w:color w:val="000000" w:themeColor="text1"/>
          <w:sz w:val="24"/>
        </w:rPr>
      </w:pPr>
      <w:r w:rsidRPr="00777BCD">
        <w:rPr>
          <w:rFonts w:ascii="Calibri" w:hAnsi="Calibri" w:cs="Calibri"/>
          <w:bCs/>
          <w:color w:val="000000" w:themeColor="text1"/>
          <w:sz w:val="24"/>
        </w:rPr>
        <w:t>《基金合同》受中国法律（为本基金合同之目的，不包括香港、澳门特别行政区和台湾地区法律）管辖并从其解释。</w:t>
      </w:r>
    </w:p>
    <w:p w14:paraId="1B1F4077" w14:textId="77777777" w:rsidR="007149DF" w:rsidRPr="00777BCD" w:rsidRDefault="007149DF">
      <w:pPr>
        <w:ind w:firstLine="480"/>
        <w:rPr>
          <w:rFonts w:ascii="Calibri" w:hAnsi="Calibri" w:cs="Calibri"/>
          <w:color w:val="000000" w:themeColor="text1"/>
          <w:sz w:val="24"/>
        </w:rPr>
      </w:pPr>
    </w:p>
    <w:p w14:paraId="18F8DBBE" w14:textId="77777777" w:rsidR="007149DF" w:rsidRPr="00777BCD" w:rsidRDefault="00284640">
      <w:pPr>
        <w:ind w:firstLine="480"/>
        <w:rPr>
          <w:rFonts w:ascii="Calibri" w:hAnsi="Calibri" w:cs="Calibri"/>
          <w:color w:val="000000" w:themeColor="text1"/>
          <w:sz w:val="24"/>
        </w:rPr>
      </w:pPr>
      <w:r w:rsidRPr="00777BCD">
        <w:rPr>
          <w:rFonts w:ascii="Calibri" w:hAnsi="Calibri" w:cs="Calibri"/>
          <w:color w:val="000000" w:themeColor="text1"/>
          <w:sz w:val="24"/>
        </w:rPr>
        <w:t>九、基金合同存放地和投资者取得基金合同的方式</w:t>
      </w:r>
    </w:p>
    <w:p w14:paraId="1E12B894" w14:textId="14C58D84" w:rsidR="00A54EF8" w:rsidRDefault="00284640">
      <w:pPr>
        <w:ind w:firstLine="480"/>
        <w:rPr>
          <w:rFonts w:ascii="Calibri" w:hAnsi="Calibri" w:cs="Calibri"/>
          <w:bCs/>
          <w:color w:val="000000" w:themeColor="text1"/>
          <w:sz w:val="24"/>
        </w:rPr>
      </w:pPr>
      <w:r w:rsidRPr="00777BCD">
        <w:rPr>
          <w:rFonts w:ascii="Calibri" w:hAnsi="Calibri" w:cs="Calibri"/>
          <w:bCs/>
          <w:color w:val="000000" w:themeColor="text1"/>
          <w:sz w:val="24"/>
        </w:rPr>
        <w:t>《基金合同》可印制成册，供投资者在基金管理人、基金托管人、销售机构的办公场所和营业场所查阅。</w:t>
      </w:r>
    </w:p>
    <w:p w14:paraId="5EBD22A3" w14:textId="23525248" w:rsidR="007149DF" w:rsidRPr="00A54EF8" w:rsidRDefault="00A54EF8" w:rsidP="00A54EF8">
      <w:pPr>
        <w:pBdr>
          <w:top w:val="none" w:sz="0" w:space="0" w:color="auto"/>
          <w:left w:val="none" w:sz="0" w:space="0" w:color="auto"/>
          <w:bottom w:val="none" w:sz="0" w:space="0" w:color="auto"/>
          <w:right w:val="none" w:sz="0" w:space="0" w:color="auto"/>
          <w:between w:val="none" w:sz="0" w:space="0" w:color="auto"/>
        </w:pBdr>
        <w:spacing w:line="240" w:lineRule="auto"/>
        <w:ind w:firstLine="0"/>
        <w:jc w:val="left"/>
        <w:rPr>
          <w:rFonts w:ascii="Calibri" w:hAnsi="Calibri" w:cs="Calibri"/>
          <w:bCs/>
          <w:color w:val="000000" w:themeColor="text1"/>
          <w:sz w:val="24"/>
        </w:rPr>
      </w:pPr>
      <w:r>
        <w:rPr>
          <w:rFonts w:ascii="Calibri" w:hAnsi="Calibri" w:cs="Calibri"/>
          <w:bCs/>
          <w:color w:val="000000" w:themeColor="text1"/>
          <w:sz w:val="24"/>
        </w:rPr>
        <w:br w:type="page"/>
      </w:r>
    </w:p>
    <w:bookmarkEnd w:id="556"/>
    <w:p w14:paraId="18E6AD32" w14:textId="3DCC237E" w:rsidR="007149DF" w:rsidRPr="00777BCD" w:rsidRDefault="00284640">
      <w:pPr>
        <w:ind w:firstLine="0"/>
        <w:jc w:val="left"/>
        <w:rPr>
          <w:rFonts w:ascii="Calibri" w:hAnsi="Calibri" w:cs="Calibri"/>
          <w:color w:val="000000" w:themeColor="text1"/>
          <w:sz w:val="24"/>
        </w:rPr>
      </w:pPr>
      <w:r w:rsidRPr="00777BCD">
        <w:rPr>
          <w:rFonts w:ascii="Calibri" w:hAnsi="Calibri" w:cs="Calibri"/>
          <w:color w:val="000000" w:themeColor="text1"/>
          <w:sz w:val="24"/>
        </w:rPr>
        <w:lastRenderedPageBreak/>
        <w:t>本页无正文，为《银河</w:t>
      </w:r>
      <w:r w:rsidR="00B43597">
        <w:rPr>
          <w:rFonts w:ascii="Calibri" w:hAnsi="Calibri" w:cs="Calibri"/>
          <w:color w:val="000000" w:themeColor="text1"/>
          <w:sz w:val="24"/>
        </w:rPr>
        <w:t>ESG</w:t>
      </w:r>
      <w:r w:rsidR="00B43597">
        <w:rPr>
          <w:rFonts w:ascii="Calibri" w:hAnsi="Calibri" w:cs="Calibri"/>
          <w:color w:val="000000" w:themeColor="text1"/>
          <w:sz w:val="24"/>
        </w:rPr>
        <w:t>主题</w:t>
      </w:r>
      <w:r w:rsidRPr="00777BCD">
        <w:rPr>
          <w:rFonts w:ascii="Calibri" w:hAnsi="Calibri" w:cs="Calibri"/>
          <w:color w:val="000000" w:themeColor="text1"/>
          <w:sz w:val="24"/>
        </w:rPr>
        <w:t>混合型发起式证券投资基金基金合同》签署页。</w:t>
      </w:r>
    </w:p>
    <w:p w14:paraId="648F12CE" w14:textId="77777777" w:rsidR="007149DF" w:rsidRPr="00777BCD" w:rsidRDefault="007149DF">
      <w:pPr>
        <w:ind w:firstLine="0"/>
        <w:rPr>
          <w:rFonts w:ascii="Calibri" w:hAnsi="Calibri" w:cs="Calibri"/>
          <w:color w:val="000000" w:themeColor="text1"/>
          <w:sz w:val="24"/>
        </w:rPr>
      </w:pPr>
    </w:p>
    <w:p w14:paraId="5FD15927" w14:textId="77777777" w:rsidR="007149DF" w:rsidRPr="007A6A04" w:rsidRDefault="007149DF">
      <w:pPr>
        <w:ind w:firstLine="0"/>
        <w:rPr>
          <w:rFonts w:ascii="Calibri" w:hAnsi="Calibri" w:cs="Calibri"/>
          <w:color w:val="000000" w:themeColor="text1"/>
          <w:sz w:val="24"/>
        </w:rPr>
      </w:pPr>
    </w:p>
    <w:p w14:paraId="7D5611B8" w14:textId="77777777" w:rsidR="007149DF" w:rsidRPr="00777BCD" w:rsidRDefault="007149DF">
      <w:pPr>
        <w:ind w:right="26" w:firstLine="0"/>
        <w:rPr>
          <w:rFonts w:ascii="Calibri" w:hAnsi="Calibri" w:cs="Calibri"/>
          <w:color w:val="000000" w:themeColor="text1"/>
          <w:sz w:val="24"/>
        </w:rPr>
      </w:pPr>
    </w:p>
    <w:p w14:paraId="69F2B6E7" w14:textId="77777777" w:rsidR="007149DF" w:rsidRPr="00777BCD" w:rsidRDefault="00284640">
      <w:pPr>
        <w:ind w:right="26" w:firstLine="0"/>
        <w:rPr>
          <w:rFonts w:ascii="Calibri" w:hAnsi="Calibri" w:cs="Calibri"/>
          <w:b/>
          <w:color w:val="000000" w:themeColor="text1"/>
          <w:sz w:val="24"/>
        </w:rPr>
      </w:pPr>
      <w:r w:rsidRPr="00777BCD">
        <w:rPr>
          <w:rFonts w:ascii="Calibri" w:hAnsi="Calibri" w:cs="Calibri"/>
          <w:b/>
          <w:color w:val="000000" w:themeColor="text1"/>
          <w:sz w:val="24"/>
        </w:rPr>
        <w:t>基金管理人：银河基金管理有限公司（公章）</w:t>
      </w:r>
    </w:p>
    <w:p w14:paraId="1F5FADE3" w14:textId="77777777" w:rsidR="007149DF" w:rsidRPr="00777BCD" w:rsidRDefault="007149DF">
      <w:pPr>
        <w:ind w:right="26" w:firstLine="0"/>
        <w:rPr>
          <w:rFonts w:ascii="Calibri" w:hAnsi="Calibri" w:cs="Calibri"/>
          <w:b/>
          <w:color w:val="000000" w:themeColor="text1"/>
          <w:sz w:val="24"/>
        </w:rPr>
      </w:pPr>
    </w:p>
    <w:p w14:paraId="349E9B82" w14:textId="77777777" w:rsidR="007149DF" w:rsidRPr="00777BCD" w:rsidRDefault="007149DF">
      <w:pPr>
        <w:ind w:right="26" w:firstLine="0"/>
        <w:rPr>
          <w:rFonts w:ascii="Calibri" w:hAnsi="Calibri" w:cs="Calibri"/>
          <w:b/>
          <w:color w:val="000000" w:themeColor="text1"/>
          <w:sz w:val="24"/>
        </w:rPr>
      </w:pPr>
    </w:p>
    <w:p w14:paraId="43C08CFD" w14:textId="77777777" w:rsidR="007149DF" w:rsidRPr="00777BCD" w:rsidRDefault="007149DF">
      <w:pPr>
        <w:ind w:right="26" w:firstLine="0"/>
        <w:rPr>
          <w:rFonts w:ascii="Calibri" w:hAnsi="Calibri" w:cs="Calibri"/>
          <w:b/>
          <w:color w:val="000000" w:themeColor="text1"/>
          <w:sz w:val="24"/>
        </w:rPr>
      </w:pPr>
    </w:p>
    <w:p w14:paraId="4CED99AE" w14:textId="77777777" w:rsidR="007149DF" w:rsidRPr="00777BCD" w:rsidRDefault="00284640">
      <w:pPr>
        <w:ind w:right="26" w:firstLine="0"/>
        <w:rPr>
          <w:rFonts w:ascii="Calibri" w:hAnsi="Calibri" w:cs="Calibri"/>
          <w:b/>
          <w:color w:val="000000" w:themeColor="text1"/>
          <w:sz w:val="24"/>
        </w:rPr>
      </w:pPr>
      <w:r w:rsidRPr="00777BCD">
        <w:rPr>
          <w:rFonts w:ascii="Calibri" w:hAnsi="Calibri" w:cs="Calibri"/>
          <w:b/>
          <w:color w:val="000000" w:themeColor="text1"/>
          <w:sz w:val="24"/>
        </w:rPr>
        <w:t>法定代表人或授权代表（签字或签章）：</w:t>
      </w:r>
    </w:p>
    <w:p w14:paraId="522D84E5" w14:textId="77777777" w:rsidR="007149DF" w:rsidRPr="00777BCD" w:rsidRDefault="007149DF">
      <w:pPr>
        <w:ind w:right="26" w:firstLine="0"/>
        <w:rPr>
          <w:rFonts w:ascii="Calibri" w:hAnsi="Calibri" w:cs="Calibri"/>
          <w:b/>
          <w:color w:val="000000" w:themeColor="text1"/>
          <w:sz w:val="24"/>
        </w:rPr>
      </w:pPr>
    </w:p>
    <w:p w14:paraId="3750397B" w14:textId="77777777" w:rsidR="007149DF" w:rsidRPr="00777BCD" w:rsidRDefault="007149DF">
      <w:pPr>
        <w:ind w:right="26" w:firstLine="0"/>
        <w:rPr>
          <w:rFonts w:ascii="Calibri" w:hAnsi="Calibri" w:cs="Calibri"/>
          <w:b/>
          <w:color w:val="000000" w:themeColor="text1"/>
          <w:sz w:val="24"/>
        </w:rPr>
      </w:pPr>
    </w:p>
    <w:p w14:paraId="1BB9F9EE" w14:textId="77777777" w:rsidR="007149DF" w:rsidRPr="00777BCD" w:rsidRDefault="007149DF">
      <w:pPr>
        <w:ind w:right="26" w:firstLine="0"/>
        <w:rPr>
          <w:rFonts w:ascii="Calibri" w:hAnsi="Calibri" w:cs="Calibri"/>
          <w:b/>
          <w:color w:val="000000" w:themeColor="text1"/>
          <w:sz w:val="24"/>
        </w:rPr>
      </w:pPr>
    </w:p>
    <w:p w14:paraId="48B5D58F" w14:textId="77777777" w:rsidR="007149DF" w:rsidRPr="00777BCD" w:rsidRDefault="007149DF">
      <w:pPr>
        <w:ind w:right="26" w:firstLine="0"/>
        <w:rPr>
          <w:rFonts w:ascii="Calibri" w:hAnsi="Calibri" w:cs="Calibri"/>
          <w:b/>
          <w:color w:val="000000" w:themeColor="text1"/>
          <w:sz w:val="24"/>
        </w:rPr>
      </w:pPr>
    </w:p>
    <w:p w14:paraId="02CEAE56" w14:textId="77777777" w:rsidR="007149DF" w:rsidRPr="00777BCD" w:rsidRDefault="007149DF">
      <w:pPr>
        <w:ind w:right="26" w:firstLine="0"/>
        <w:rPr>
          <w:rFonts w:ascii="Calibri" w:hAnsi="Calibri" w:cs="Calibri"/>
          <w:b/>
          <w:color w:val="000000" w:themeColor="text1"/>
          <w:sz w:val="24"/>
        </w:rPr>
      </w:pPr>
    </w:p>
    <w:p w14:paraId="4E02D57C" w14:textId="77777777" w:rsidR="007149DF" w:rsidRPr="00777BCD" w:rsidRDefault="007149DF">
      <w:pPr>
        <w:ind w:right="26" w:firstLine="0"/>
        <w:rPr>
          <w:rFonts w:ascii="Calibri" w:hAnsi="Calibri" w:cs="Calibri"/>
          <w:b/>
          <w:color w:val="000000" w:themeColor="text1"/>
          <w:sz w:val="24"/>
        </w:rPr>
      </w:pPr>
    </w:p>
    <w:p w14:paraId="5DC4D163" w14:textId="77777777" w:rsidR="007149DF" w:rsidRPr="00777BCD" w:rsidRDefault="00284640">
      <w:pPr>
        <w:ind w:right="26" w:firstLine="0"/>
        <w:rPr>
          <w:rFonts w:ascii="Calibri" w:hAnsi="Calibri" w:cs="Calibri"/>
          <w:b/>
          <w:color w:val="000000" w:themeColor="text1"/>
          <w:sz w:val="24"/>
        </w:rPr>
      </w:pPr>
      <w:r w:rsidRPr="00777BCD">
        <w:rPr>
          <w:rFonts w:ascii="Calibri" w:hAnsi="Calibri" w:cs="Calibri"/>
          <w:b/>
          <w:color w:val="000000" w:themeColor="text1"/>
          <w:sz w:val="24"/>
        </w:rPr>
        <w:t>基金托管人：中国民生银行股份有限公司（公章）</w:t>
      </w:r>
    </w:p>
    <w:p w14:paraId="62A19D8D" w14:textId="77777777" w:rsidR="007149DF" w:rsidRPr="00777BCD" w:rsidRDefault="007149DF">
      <w:pPr>
        <w:ind w:right="26" w:firstLine="0"/>
        <w:rPr>
          <w:rFonts w:ascii="Calibri" w:hAnsi="Calibri" w:cs="Calibri"/>
          <w:b/>
          <w:color w:val="000000" w:themeColor="text1"/>
          <w:sz w:val="24"/>
        </w:rPr>
      </w:pPr>
    </w:p>
    <w:p w14:paraId="6D261B36" w14:textId="77777777" w:rsidR="007149DF" w:rsidRPr="00777BCD" w:rsidRDefault="007149DF">
      <w:pPr>
        <w:ind w:right="26" w:firstLine="0"/>
        <w:rPr>
          <w:rFonts w:ascii="Calibri" w:hAnsi="Calibri" w:cs="Calibri"/>
          <w:b/>
          <w:color w:val="000000" w:themeColor="text1"/>
          <w:sz w:val="24"/>
        </w:rPr>
      </w:pPr>
    </w:p>
    <w:p w14:paraId="69EEE385" w14:textId="77777777" w:rsidR="007149DF" w:rsidRPr="00777BCD" w:rsidRDefault="007149DF">
      <w:pPr>
        <w:ind w:right="26" w:firstLine="0"/>
        <w:rPr>
          <w:rFonts w:ascii="Calibri" w:hAnsi="Calibri" w:cs="Calibri"/>
          <w:b/>
          <w:color w:val="000000" w:themeColor="text1"/>
          <w:sz w:val="24"/>
        </w:rPr>
      </w:pPr>
    </w:p>
    <w:p w14:paraId="0C9B5DBB" w14:textId="77777777" w:rsidR="007149DF" w:rsidRPr="00777BCD" w:rsidRDefault="00284640">
      <w:pPr>
        <w:ind w:right="26" w:firstLine="0"/>
        <w:rPr>
          <w:rFonts w:ascii="Calibri" w:hAnsi="Calibri" w:cs="Calibri"/>
          <w:b/>
          <w:color w:val="000000" w:themeColor="text1"/>
          <w:sz w:val="24"/>
        </w:rPr>
      </w:pPr>
      <w:r w:rsidRPr="00777BCD">
        <w:rPr>
          <w:rFonts w:ascii="Calibri" w:hAnsi="Calibri" w:cs="Calibri"/>
          <w:b/>
          <w:color w:val="000000" w:themeColor="text1"/>
          <w:sz w:val="24"/>
        </w:rPr>
        <w:t>法定代表人或授权代表（签字或签章）：</w:t>
      </w:r>
    </w:p>
    <w:p w14:paraId="3F677E70" w14:textId="77777777" w:rsidR="007149DF" w:rsidRPr="00777BCD" w:rsidRDefault="007149DF">
      <w:pPr>
        <w:ind w:right="26" w:firstLine="0"/>
        <w:rPr>
          <w:rFonts w:ascii="Calibri" w:hAnsi="Calibri" w:cs="Calibri"/>
          <w:b/>
          <w:color w:val="000000" w:themeColor="text1"/>
          <w:sz w:val="24"/>
        </w:rPr>
      </w:pPr>
    </w:p>
    <w:p w14:paraId="006A6EAD" w14:textId="77777777" w:rsidR="007149DF" w:rsidRPr="00777BCD" w:rsidRDefault="007149DF">
      <w:pPr>
        <w:ind w:right="26" w:firstLine="0"/>
        <w:rPr>
          <w:rFonts w:ascii="Calibri" w:hAnsi="Calibri" w:cs="Calibri"/>
          <w:b/>
          <w:color w:val="000000" w:themeColor="text1"/>
          <w:sz w:val="24"/>
        </w:rPr>
      </w:pPr>
    </w:p>
    <w:p w14:paraId="0E248A1D" w14:textId="77777777" w:rsidR="007149DF" w:rsidRPr="00777BCD" w:rsidRDefault="007149DF">
      <w:pPr>
        <w:ind w:right="26" w:firstLine="0"/>
        <w:rPr>
          <w:rFonts w:ascii="Calibri" w:hAnsi="Calibri" w:cs="Calibri"/>
          <w:b/>
          <w:color w:val="000000" w:themeColor="text1"/>
          <w:sz w:val="24"/>
        </w:rPr>
      </w:pPr>
    </w:p>
    <w:p w14:paraId="2AD334E8" w14:textId="77777777" w:rsidR="007149DF" w:rsidRPr="00777BCD" w:rsidRDefault="007149DF">
      <w:pPr>
        <w:ind w:right="26" w:firstLine="0"/>
        <w:rPr>
          <w:rFonts w:ascii="Calibri" w:hAnsi="Calibri" w:cs="Calibri"/>
          <w:b/>
          <w:color w:val="000000" w:themeColor="text1"/>
          <w:sz w:val="24"/>
        </w:rPr>
      </w:pPr>
    </w:p>
    <w:p w14:paraId="03A17A5F" w14:textId="77777777" w:rsidR="007149DF" w:rsidRPr="00777BCD" w:rsidRDefault="007149DF">
      <w:pPr>
        <w:ind w:right="26" w:firstLine="0"/>
        <w:rPr>
          <w:rFonts w:ascii="Calibri" w:hAnsi="Calibri" w:cs="Calibri"/>
          <w:b/>
          <w:color w:val="000000" w:themeColor="text1"/>
          <w:sz w:val="24"/>
        </w:rPr>
      </w:pPr>
    </w:p>
    <w:p w14:paraId="64E02E51" w14:textId="77777777" w:rsidR="007149DF" w:rsidRPr="00777BCD" w:rsidRDefault="007149DF">
      <w:pPr>
        <w:ind w:right="26" w:firstLine="0"/>
        <w:rPr>
          <w:rFonts w:ascii="Calibri" w:hAnsi="Calibri" w:cs="Calibri"/>
          <w:b/>
          <w:color w:val="000000" w:themeColor="text1"/>
          <w:sz w:val="24"/>
        </w:rPr>
      </w:pPr>
    </w:p>
    <w:p w14:paraId="075DCA89" w14:textId="77777777" w:rsidR="007149DF" w:rsidRPr="00777BCD" w:rsidRDefault="00284640">
      <w:pPr>
        <w:ind w:right="26" w:firstLine="0"/>
        <w:rPr>
          <w:rFonts w:ascii="Calibri" w:hAnsi="Calibri" w:cs="Calibri"/>
          <w:b/>
          <w:color w:val="000000" w:themeColor="text1"/>
          <w:sz w:val="24"/>
        </w:rPr>
      </w:pPr>
      <w:r w:rsidRPr="00777BCD">
        <w:rPr>
          <w:rFonts w:ascii="Calibri" w:hAnsi="Calibri" w:cs="Calibri"/>
          <w:b/>
          <w:color w:val="000000" w:themeColor="text1"/>
          <w:sz w:val="24"/>
        </w:rPr>
        <w:t>签订地点：</w:t>
      </w:r>
    </w:p>
    <w:p w14:paraId="342F912F" w14:textId="77777777" w:rsidR="007149DF" w:rsidRPr="00777BCD" w:rsidRDefault="00284640">
      <w:pPr>
        <w:ind w:firstLine="0"/>
        <w:jc w:val="left"/>
        <w:rPr>
          <w:rFonts w:ascii="Calibri" w:hAnsi="Calibri" w:cs="Calibri"/>
          <w:bCs/>
          <w:color w:val="000000" w:themeColor="text1"/>
        </w:rPr>
      </w:pPr>
      <w:r w:rsidRPr="00777BCD">
        <w:rPr>
          <w:rFonts w:ascii="Calibri" w:hAnsi="Calibri" w:cs="Calibri"/>
          <w:b/>
          <w:color w:val="000000" w:themeColor="text1"/>
          <w:sz w:val="24"/>
        </w:rPr>
        <w:t>签订日：</w:t>
      </w:r>
      <w:r w:rsidRPr="00777BCD">
        <w:rPr>
          <w:rFonts w:ascii="Calibri" w:hAnsi="Calibri" w:cs="Calibri"/>
          <w:b/>
          <w:color w:val="000000" w:themeColor="text1"/>
          <w:sz w:val="24"/>
        </w:rPr>
        <w:t xml:space="preserve">      </w:t>
      </w:r>
      <w:r w:rsidRPr="00777BCD">
        <w:rPr>
          <w:rFonts w:ascii="Calibri" w:hAnsi="Calibri" w:cs="Calibri"/>
          <w:b/>
          <w:color w:val="000000" w:themeColor="text1"/>
          <w:sz w:val="24"/>
        </w:rPr>
        <w:t>年</w:t>
      </w:r>
      <w:r w:rsidRPr="00777BCD">
        <w:rPr>
          <w:rFonts w:ascii="Calibri" w:hAnsi="Calibri" w:cs="Calibri"/>
          <w:b/>
          <w:color w:val="000000" w:themeColor="text1"/>
          <w:sz w:val="24"/>
        </w:rPr>
        <w:t xml:space="preserve">      </w:t>
      </w:r>
      <w:r w:rsidRPr="00777BCD">
        <w:rPr>
          <w:rFonts w:ascii="Calibri" w:hAnsi="Calibri" w:cs="Calibri"/>
          <w:b/>
          <w:color w:val="000000" w:themeColor="text1"/>
          <w:sz w:val="24"/>
        </w:rPr>
        <w:t>月</w:t>
      </w:r>
      <w:r w:rsidRPr="00777BCD">
        <w:rPr>
          <w:rFonts w:ascii="Calibri" w:hAnsi="Calibri" w:cs="Calibri"/>
          <w:b/>
          <w:color w:val="000000" w:themeColor="text1"/>
          <w:sz w:val="24"/>
        </w:rPr>
        <w:t xml:space="preserve">     </w:t>
      </w:r>
      <w:r w:rsidRPr="00777BCD">
        <w:rPr>
          <w:rFonts w:ascii="Calibri" w:hAnsi="Calibri" w:cs="Calibri"/>
          <w:b/>
          <w:color w:val="000000" w:themeColor="text1"/>
          <w:sz w:val="24"/>
        </w:rPr>
        <w:t>日</w:t>
      </w:r>
      <w:bookmarkEnd w:id="2"/>
      <w:bookmarkEnd w:id="39"/>
      <w:bookmarkEnd w:id="67"/>
      <w:bookmarkEnd w:id="68"/>
      <w:bookmarkEnd w:id="555"/>
    </w:p>
    <w:sectPr w:rsidR="007149DF" w:rsidRPr="00777BCD">
      <w:headerReference w:type="default" r:id="rId15"/>
      <w:footerReference w:type="default" r:id="rId16"/>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5813A4" w14:textId="77777777" w:rsidR="00DB5482" w:rsidRDefault="00DB5482">
      <w:pPr>
        <w:spacing w:line="240" w:lineRule="auto"/>
      </w:pPr>
      <w:r>
        <w:separator/>
      </w:r>
    </w:p>
  </w:endnote>
  <w:endnote w:type="continuationSeparator" w:id="0">
    <w:p w14:paraId="66B610B8" w14:textId="77777777" w:rsidR="00DB5482" w:rsidRDefault="00DB5482">
      <w:pPr>
        <w:spacing w:line="240" w:lineRule="auto"/>
      </w:pPr>
      <w:r>
        <w:continuationSeparator/>
      </w:r>
    </w:p>
  </w:endnote>
  <w:endnote w:type="continuationNotice" w:id="1">
    <w:p w14:paraId="7B77EB03" w14:textId="77777777" w:rsidR="00DB5482" w:rsidRDefault="00DB548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A64B2" w14:textId="77777777" w:rsidR="00FD79B1" w:rsidRDefault="00FD79B1">
    <w:pPr>
      <w:pStyle w:val="10"/>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685A8C" w14:textId="77777777" w:rsidR="00FD79B1" w:rsidRDefault="00FD79B1">
    <w:pPr>
      <w:pStyle w:val="10"/>
      <w:ind w:firstLine="360"/>
      <w:jc w:val="center"/>
      <w:rPr>
        <w:rFonts w:asciiTheme="minorHAnsi" w:hAnsiTheme="minorHAnsi" w:cstheme="minorHAnsi"/>
      </w:rPr>
    </w:pPr>
    <w:r>
      <w:rPr>
        <w:rFonts w:asciiTheme="minorHAnsi" w:hAnsiTheme="minorHAnsi" w:cstheme="minorHAnsi"/>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A01DE9" w14:textId="77777777" w:rsidR="00FD79B1" w:rsidRDefault="00FD79B1">
    <w:pPr>
      <w:pStyle w:val="10"/>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szCs w:val="18"/>
      </w:rPr>
      <w:id w:val="-363992037"/>
    </w:sdtPr>
    <w:sdtContent>
      <w:p w14:paraId="23C44D8E" w14:textId="2F183450" w:rsidR="00FD79B1" w:rsidRDefault="00FD79B1">
        <w:pPr>
          <w:pStyle w:val="aa"/>
          <w:jc w:val="center"/>
          <w:rPr>
            <w:sz w:val="18"/>
            <w:szCs w:val="18"/>
          </w:rPr>
        </w:pPr>
        <w:r>
          <w:rPr>
            <w:sz w:val="18"/>
            <w:szCs w:val="18"/>
          </w:rPr>
          <w:fldChar w:fldCharType="begin"/>
        </w:r>
        <w:r>
          <w:rPr>
            <w:sz w:val="18"/>
            <w:szCs w:val="18"/>
          </w:rPr>
          <w:instrText>PAGE   \* MERGEFORMAT</w:instrText>
        </w:r>
        <w:r>
          <w:rPr>
            <w:sz w:val="18"/>
            <w:szCs w:val="18"/>
          </w:rPr>
          <w:fldChar w:fldCharType="separate"/>
        </w:r>
        <w:r w:rsidR="00B64864" w:rsidRPr="00B64864">
          <w:rPr>
            <w:noProof/>
            <w:sz w:val="18"/>
            <w:szCs w:val="18"/>
            <w:lang w:val="zh-CN"/>
          </w:rPr>
          <w:t>117</w:t>
        </w:r>
        <w:r>
          <w:rPr>
            <w:sz w:val="18"/>
            <w:szCs w:val="18"/>
          </w:rPr>
          <w:fldChar w:fldCharType="end"/>
        </w:r>
      </w:p>
    </w:sdtContent>
  </w:sdt>
  <w:p w14:paraId="3CDFFCAE" w14:textId="77777777" w:rsidR="00FD79B1" w:rsidRDefault="00FD79B1">
    <w:pPr>
      <w:pStyle w:val="10"/>
      <w:ind w:firstLine="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3E9C1F" w14:textId="77777777" w:rsidR="00DB5482" w:rsidRDefault="00DB5482">
      <w:r>
        <w:separator/>
      </w:r>
    </w:p>
  </w:footnote>
  <w:footnote w:type="continuationSeparator" w:id="0">
    <w:p w14:paraId="5074A0C7" w14:textId="77777777" w:rsidR="00DB5482" w:rsidRDefault="00DB5482">
      <w:r>
        <w:continuationSeparator/>
      </w:r>
    </w:p>
  </w:footnote>
  <w:footnote w:type="continuationNotice" w:id="1">
    <w:p w14:paraId="76501490" w14:textId="77777777" w:rsidR="00DB5482" w:rsidRDefault="00DB548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18192" w14:textId="77777777" w:rsidR="00FD79B1" w:rsidRDefault="00FD79B1">
    <w:pPr>
      <w:pStyle w:val="12"/>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BCEC61" w14:textId="5595381B" w:rsidR="00FD79B1" w:rsidRDefault="00FD79B1">
    <w:pPr>
      <w:pStyle w:val="12"/>
      <w:pBdr>
        <w:bottom w:val="single" w:sz="24" w:space="10" w:color="auto"/>
      </w:pBdr>
      <w:tabs>
        <w:tab w:val="right" w:pos="8280"/>
      </w:tabs>
      <w:ind w:firstLine="360"/>
      <w:jc w:val="both"/>
    </w:pPr>
    <w:r>
      <w:rPr>
        <w:rFonts w:hint="eastAsia"/>
        <w:color w:val="000000"/>
      </w:rPr>
      <w:t>银河</w:t>
    </w:r>
    <w:r>
      <w:rPr>
        <w:rFonts w:hint="eastAsia"/>
        <w:color w:val="000000"/>
      </w:rPr>
      <w:t>ESG</w:t>
    </w:r>
    <w:r>
      <w:rPr>
        <w:rFonts w:hint="eastAsia"/>
        <w:color w:val="000000"/>
      </w:rPr>
      <w:t>可持续投资混合型发起式证券投资基金</w:t>
    </w:r>
    <w:r>
      <w:rPr>
        <w:rFonts w:hint="eastAsia"/>
      </w:rPr>
      <w:t xml:space="preserve">                             </w:t>
    </w:r>
    <w:r>
      <w:rPr>
        <w:rFonts w:hint="eastAsia"/>
      </w:rPr>
      <w:t>募集申请材料－基金合同（草案）</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ABE2CB" w14:textId="77777777" w:rsidR="00FD79B1" w:rsidRDefault="00FD79B1">
    <w:pPr>
      <w:pStyle w:val="12"/>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A926B" w14:textId="057A2C78" w:rsidR="00FD79B1" w:rsidRDefault="00FD79B1">
    <w:pPr>
      <w:pStyle w:val="12"/>
      <w:pBdr>
        <w:bottom w:val="single" w:sz="24" w:space="10" w:color="auto"/>
      </w:pBdr>
      <w:tabs>
        <w:tab w:val="right" w:pos="8280"/>
      </w:tabs>
      <w:spacing w:line="240" w:lineRule="auto"/>
      <w:ind w:firstLine="0"/>
      <w:jc w:val="both"/>
    </w:pPr>
    <w:r>
      <w:rPr>
        <w:rFonts w:hint="eastAsia"/>
        <w:color w:val="000000"/>
      </w:rPr>
      <w:t>银河</w:t>
    </w:r>
    <w:r w:rsidR="00FD166D">
      <w:rPr>
        <w:rFonts w:hint="eastAsia"/>
        <w:color w:val="000000"/>
      </w:rPr>
      <w:t>ESG</w:t>
    </w:r>
    <w:r w:rsidR="00FD166D">
      <w:rPr>
        <w:rFonts w:hint="eastAsia"/>
        <w:color w:val="000000"/>
      </w:rPr>
      <w:t>主题</w:t>
    </w:r>
    <w:r>
      <w:rPr>
        <w:rFonts w:hint="eastAsia"/>
        <w:color w:val="000000"/>
      </w:rPr>
      <w:t>混合型发起式证券投资</w:t>
    </w:r>
    <w:proofErr w:type="gramStart"/>
    <w:r>
      <w:rPr>
        <w:rFonts w:hint="eastAsia"/>
        <w:color w:val="000000"/>
      </w:rPr>
      <w:t>基金</w:t>
    </w:r>
    <w:r>
      <w:rPr>
        <w:rFonts w:hint="eastAsia"/>
      </w:rPr>
      <w:t>基金</w:t>
    </w:r>
    <w:proofErr w:type="gramEnd"/>
    <w:r>
      <w:rPr>
        <w:rFonts w:hint="eastAsia"/>
      </w:rPr>
      <w:t>合同</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58CF89" w14:textId="5B7A7F80" w:rsidR="00FD79B1" w:rsidRDefault="00FD79B1">
    <w:pPr>
      <w:pStyle w:val="12"/>
      <w:pBdr>
        <w:bottom w:val="single" w:sz="24" w:space="10" w:color="auto"/>
      </w:pBdr>
      <w:tabs>
        <w:tab w:val="right" w:pos="8280"/>
      </w:tabs>
      <w:spacing w:line="240" w:lineRule="auto"/>
      <w:ind w:firstLine="0"/>
      <w:jc w:val="both"/>
    </w:pPr>
    <w:bookmarkStart w:id="559" w:name="_Hlk142313121"/>
    <w:r>
      <w:rPr>
        <w:rFonts w:hint="eastAsia"/>
        <w:color w:val="000000"/>
      </w:rPr>
      <w:t>银河</w:t>
    </w:r>
    <w:r w:rsidR="00FD166D">
      <w:rPr>
        <w:rFonts w:hint="eastAsia"/>
        <w:color w:val="000000"/>
      </w:rPr>
      <w:t>ESG</w:t>
    </w:r>
    <w:r w:rsidR="00FD166D">
      <w:rPr>
        <w:rFonts w:hint="eastAsia"/>
        <w:color w:val="000000"/>
      </w:rPr>
      <w:t>主题</w:t>
    </w:r>
    <w:r>
      <w:rPr>
        <w:rFonts w:hint="eastAsia"/>
        <w:color w:val="000000"/>
      </w:rPr>
      <w:t>混合型发起式证券投资</w:t>
    </w:r>
    <w:proofErr w:type="gramStart"/>
    <w:r>
      <w:rPr>
        <w:rFonts w:hint="eastAsia"/>
        <w:color w:val="000000"/>
      </w:rPr>
      <w:t>基金</w:t>
    </w:r>
    <w:bookmarkEnd w:id="559"/>
    <w:r>
      <w:rPr>
        <w:rFonts w:hint="eastAsia"/>
      </w:rPr>
      <w:t>基金</w:t>
    </w:r>
    <w:proofErr w:type="gramEnd"/>
    <w:r>
      <w:rPr>
        <w:rFonts w:hint="eastAsia"/>
      </w:rPr>
      <w:t>合同</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D5360E8"/>
    <w:multiLevelType w:val="multilevel"/>
    <w:tmpl w:val="6D5360E8"/>
    <w:lvl w:ilvl="0">
      <w:start w:val="1"/>
      <w:numFmt w:val="bullet"/>
      <w:pStyle w:val="Listbullet"/>
      <w:lvlText w:val=""/>
      <w:lvlJc w:val="left"/>
      <w:pPr>
        <w:tabs>
          <w:tab w:val="left" w:pos="360"/>
        </w:tabs>
        <w:ind w:left="360" w:hanging="360"/>
      </w:pPr>
      <w:rPr>
        <w:rFonts w:ascii="Symbol" w:hAnsi="Symbol" w:hint="default"/>
        <w:color w:val="auto"/>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num w:numId="1" w16cid:durableId="2598035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defaultTabStop w:val="4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E2NDU3MWY0YWY5OTA0OTBkN2FmZmM5ZjJiYTk5ZTQifQ=="/>
  </w:docVars>
  <w:rsids>
    <w:rsidRoot w:val="007149DF"/>
    <w:rsid w:val="0000414C"/>
    <w:rsid w:val="00016628"/>
    <w:rsid w:val="0003038C"/>
    <w:rsid w:val="00030B7D"/>
    <w:rsid w:val="00032408"/>
    <w:rsid w:val="00035FD3"/>
    <w:rsid w:val="000445D8"/>
    <w:rsid w:val="0006248E"/>
    <w:rsid w:val="00070312"/>
    <w:rsid w:val="0008121B"/>
    <w:rsid w:val="00090DD2"/>
    <w:rsid w:val="00094E19"/>
    <w:rsid w:val="000D0CD9"/>
    <w:rsid w:val="000D3F76"/>
    <w:rsid w:val="000D6ADB"/>
    <w:rsid w:val="000E1830"/>
    <w:rsid w:val="000E71EA"/>
    <w:rsid w:val="000F19BC"/>
    <w:rsid w:val="00114339"/>
    <w:rsid w:val="001160A5"/>
    <w:rsid w:val="001238A6"/>
    <w:rsid w:val="0013471F"/>
    <w:rsid w:val="00143E4D"/>
    <w:rsid w:val="0016234E"/>
    <w:rsid w:val="00164A41"/>
    <w:rsid w:val="00173C55"/>
    <w:rsid w:val="00174E1A"/>
    <w:rsid w:val="00177C6A"/>
    <w:rsid w:val="001B6C39"/>
    <w:rsid w:val="001C7369"/>
    <w:rsid w:val="001E14AF"/>
    <w:rsid w:val="001E203E"/>
    <w:rsid w:val="001E3282"/>
    <w:rsid w:val="001E7F1B"/>
    <w:rsid w:val="00204504"/>
    <w:rsid w:val="002152D5"/>
    <w:rsid w:val="00236458"/>
    <w:rsid w:val="002568DF"/>
    <w:rsid w:val="00260E61"/>
    <w:rsid w:val="00261AE9"/>
    <w:rsid w:val="00267E9A"/>
    <w:rsid w:val="0027078A"/>
    <w:rsid w:val="002822C4"/>
    <w:rsid w:val="00284640"/>
    <w:rsid w:val="0028684D"/>
    <w:rsid w:val="00287059"/>
    <w:rsid w:val="00294015"/>
    <w:rsid w:val="002A1D0F"/>
    <w:rsid w:val="002D35FD"/>
    <w:rsid w:val="002E2198"/>
    <w:rsid w:val="00301FCC"/>
    <w:rsid w:val="003040DD"/>
    <w:rsid w:val="00310424"/>
    <w:rsid w:val="003255DF"/>
    <w:rsid w:val="003341D9"/>
    <w:rsid w:val="00336925"/>
    <w:rsid w:val="003465FF"/>
    <w:rsid w:val="003471A4"/>
    <w:rsid w:val="00355571"/>
    <w:rsid w:val="00357673"/>
    <w:rsid w:val="0037698B"/>
    <w:rsid w:val="003808A6"/>
    <w:rsid w:val="003812B5"/>
    <w:rsid w:val="00381A19"/>
    <w:rsid w:val="003851E9"/>
    <w:rsid w:val="003875B0"/>
    <w:rsid w:val="00387A48"/>
    <w:rsid w:val="00392001"/>
    <w:rsid w:val="00392198"/>
    <w:rsid w:val="003B43ED"/>
    <w:rsid w:val="003B725F"/>
    <w:rsid w:val="003C2379"/>
    <w:rsid w:val="003C66BA"/>
    <w:rsid w:val="003C7AD0"/>
    <w:rsid w:val="003E283A"/>
    <w:rsid w:val="003E78C4"/>
    <w:rsid w:val="003F1F74"/>
    <w:rsid w:val="00434837"/>
    <w:rsid w:val="00451D02"/>
    <w:rsid w:val="00495BE5"/>
    <w:rsid w:val="004A1CA9"/>
    <w:rsid w:val="004A23B6"/>
    <w:rsid w:val="004A5C1E"/>
    <w:rsid w:val="004B6384"/>
    <w:rsid w:val="004B70E8"/>
    <w:rsid w:val="004C31B9"/>
    <w:rsid w:val="004D0A9C"/>
    <w:rsid w:val="00510D77"/>
    <w:rsid w:val="00531917"/>
    <w:rsid w:val="00540D9C"/>
    <w:rsid w:val="00541FA1"/>
    <w:rsid w:val="00544B44"/>
    <w:rsid w:val="005533CB"/>
    <w:rsid w:val="00554F6F"/>
    <w:rsid w:val="0056249F"/>
    <w:rsid w:val="00572037"/>
    <w:rsid w:val="00577ECB"/>
    <w:rsid w:val="005A28A3"/>
    <w:rsid w:val="005B4524"/>
    <w:rsid w:val="005C45C8"/>
    <w:rsid w:val="005E2A0B"/>
    <w:rsid w:val="005E404A"/>
    <w:rsid w:val="005F3613"/>
    <w:rsid w:val="00610C30"/>
    <w:rsid w:val="00611D15"/>
    <w:rsid w:val="00623BFB"/>
    <w:rsid w:val="00632A10"/>
    <w:rsid w:val="00652E1A"/>
    <w:rsid w:val="00657378"/>
    <w:rsid w:val="00680136"/>
    <w:rsid w:val="006857DC"/>
    <w:rsid w:val="006A135A"/>
    <w:rsid w:val="006B3A66"/>
    <w:rsid w:val="006B6B3B"/>
    <w:rsid w:val="006B7119"/>
    <w:rsid w:val="006C3361"/>
    <w:rsid w:val="006C5D71"/>
    <w:rsid w:val="006C7552"/>
    <w:rsid w:val="006D13B3"/>
    <w:rsid w:val="006D6D31"/>
    <w:rsid w:val="006F3CF0"/>
    <w:rsid w:val="00703DA6"/>
    <w:rsid w:val="007149DF"/>
    <w:rsid w:val="007159E4"/>
    <w:rsid w:val="00720C60"/>
    <w:rsid w:val="007413DE"/>
    <w:rsid w:val="00742879"/>
    <w:rsid w:val="00752202"/>
    <w:rsid w:val="00760F0E"/>
    <w:rsid w:val="007756C1"/>
    <w:rsid w:val="00777BCD"/>
    <w:rsid w:val="007A0E3F"/>
    <w:rsid w:val="007A1836"/>
    <w:rsid w:val="007A6A04"/>
    <w:rsid w:val="007B3983"/>
    <w:rsid w:val="007B3E06"/>
    <w:rsid w:val="007C4B9F"/>
    <w:rsid w:val="007C5D4D"/>
    <w:rsid w:val="007D60A1"/>
    <w:rsid w:val="00803E49"/>
    <w:rsid w:val="0080622E"/>
    <w:rsid w:val="00837A08"/>
    <w:rsid w:val="00847054"/>
    <w:rsid w:val="00850A27"/>
    <w:rsid w:val="00854C42"/>
    <w:rsid w:val="00861158"/>
    <w:rsid w:val="00863F1A"/>
    <w:rsid w:val="0087605A"/>
    <w:rsid w:val="00884276"/>
    <w:rsid w:val="008844EB"/>
    <w:rsid w:val="00894C30"/>
    <w:rsid w:val="00896EB9"/>
    <w:rsid w:val="008A6B0E"/>
    <w:rsid w:val="008B5558"/>
    <w:rsid w:val="008B6473"/>
    <w:rsid w:val="008E060B"/>
    <w:rsid w:val="008F2638"/>
    <w:rsid w:val="009006E8"/>
    <w:rsid w:val="00916261"/>
    <w:rsid w:val="0092084B"/>
    <w:rsid w:val="00925456"/>
    <w:rsid w:val="0092762E"/>
    <w:rsid w:val="009461CE"/>
    <w:rsid w:val="00946266"/>
    <w:rsid w:val="009604AA"/>
    <w:rsid w:val="00967D67"/>
    <w:rsid w:val="009C4767"/>
    <w:rsid w:val="009D0438"/>
    <w:rsid w:val="009E245A"/>
    <w:rsid w:val="009E6749"/>
    <w:rsid w:val="00A10E81"/>
    <w:rsid w:val="00A14B2F"/>
    <w:rsid w:val="00A2449D"/>
    <w:rsid w:val="00A303A6"/>
    <w:rsid w:val="00A32780"/>
    <w:rsid w:val="00A32B03"/>
    <w:rsid w:val="00A436A5"/>
    <w:rsid w:val="00A54EF8"/>
    <w:rsid w:val="00A70B67"/>
    <w:rsid w:val="00A75385"/>
    <w:rsid w:val="00A85F2C"/>
    <w:rsid w:val="00A91A7C"/>
    <w:rsid w:val="00A92F35"/>
    <w:rsid w:val="00A94E68"/>
    <w:rsid w:val="00AA3187"/>
    <w:rsid w:val="00AA7FF3"/>
    <w:rsid w:val="00AC31D5"/>
    <w:rsid w:val="00AC37EC"/>
    <w:rsid w:val="00AC687A"/>
    <w:rsid w:val="00AC7BD3"/>
    <w:rsid w:val="00AD0261"/>
    <w:rsid w:val="00AE3427"/>
    <w:rsid w:val="00B02589"/>
    <w:rsid w:val="00B02EE1"/>
    <w:rsid w:val="00B04905"/>
    <w:rsid w:val="00B07BA3"/>
    <w:rsid w:val="00B14238"/>
    <w:rsid w:val="00B23E55"/>
    <w:rsid w:val="00B3440D"/>
    <w:rsid w:val="00B409AE"/>
    <w:rsid w:val="00B43597"/>
    <w:rsid w:val="00B53014"/>
    <w:rsid w:val="00B57FCF"/>
    <w:rsid w:val="00B64864"/>
    <w:rsid w:val="00B77FF2"/>
    <w:rsid w:val="00B87F1B"/>
    <w:rsid w:val="00BA285B"/>
    <w:rsid w:val="00BA4866"/>
    <w:rsid w:val="00BC1040"/>
    <w:rsid w:val="00BD0201"/>
    <w:rsid w:val="00BD29CF"/>
    <w:rsid w:val="00BD2CB6"/>
    <w:rsid w:val="00BD606A"/>
    <w:rsid w:val="00C105C1"/>
    <w:rsid w:val="00C157AA"/>
    <w:rsid w:val="00C17238"/>
    <w:rsid w:val="00C237C8"/>
    <w:rsid w:val="00C277F1"/>
    <w:rsid w:val="00C31410"/>
    <w:rsid w:val="00C524EA"/>
    <w:rsid w:val="00C53355"/>
    <w:rsid w:val="00C57880"/>
    <w:rsid w:val="00C67AD8"/>
    <w:rsid w:val="00C82BC8"/>
    <w:rsid w:val="00C92D89"/>
    <w:rsid w:val="00C94D40"/>
    <w:rsid w:val="00CA1424"/>
    <w:rsid w:val="00CA19C3"/>
    <w:rsid w:val="00CA28FF"/>
    <w:rsid w:val="00CD1251"/>
    <w:rsid w:val="00CE3874"/>
    <w:rsid w:val="00D015D5"/>
    <w:rsid w:val="00D02BCD"/>
    <w:rsid w:val="00D040B0"/>
    <w:rsid w:val="00D05995"/>
    <w:rsid w:val="00D305A4"/>
    <w:rsid w:val="00D317D3"/>
    <w:rsid w:val="00D31A68"/>
    <w:rsid w:val="00D402ED"/>
    <w:rsid w:val="00D75118"/>
    <w:rsid w:val="00D918A5"/>
    <w:rsid w:val="00D94882"/>
    <w:rsid w:val="00D94CE2"/>
    <w:rsid w:val="00D96253"/>
    <w:rsid w:val="00DA3266"/>
    <w:rsid w:val="00DA63D0"/>
    <w:rsid w:val="00DB5482"/>
    <w:rsid w:val="00DE2932"/>
    <w:rsid w:val="00DF4FF2"/>
    <w:rsid w:val="00E014D7"/>
    <w:rsid w:val="00E03BC9"/>
    <w:rsid w:val="00E14454"/>
    <w:rsid w:val="00E1751E"/>
    <w:rsid w:val="00E220E5"/>
    <w:rsid w:val="00E45C83"/>
    <w:rsid w:val="00E6297E"/>
    <w:rsid w:val="00E70969"/>
    <w:rsid w:val="00EA00D3"/>
    <w:rsid w:val="00EA3538"/>
    <w:rsid w:val="00EE1C95"/>
    <w:rsid w:val="00EF3D82"/>
    <w:rsid w:val="00F25EE3"/>
    <w:rsid w:val="00F303F6"/>
    <w:rsid w:val="00F343AF"/>
    <w:rsid w:val="00F663A6"/>
    <w:rsid w:val="00F8402F"/>
    <w:rsid w:val="00F84156"/>
    <w:rsid w:val="00F92346"/>
    <w:rsid w:val="00F94A9D"/>
    <w:rsid w:val="00FA29A3"/>
    <w:rsid w:val="00FB73A2"/>
    <w:rsid w:val="00FC667B"/>
    <w:rsid w:val="00FD0706"/>
    <w:rsid w:val="00FD166D"/>
    <w:rsid w:val="00FD5962"/>
    <w:rsid w:val="00FD79B1"/>
    <w:rsid w:val="00FE0386"/>
    <w:rsid w:val="00FE2384"/>
    <w:rsid w:val="00FE3613"/>
    <w:rsid w:val="00FE4684"/>
    <w:rsid w:val="00FE4AFB"/>
    <w:rsid w:val="00FF662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9DBF31"/>
  <w15:docId w15:val="{8EF9F3BD-E41B-4EDD-BA08-4D4281E45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0"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uiPriority="0" w:qFormat="1"/>
    <w:lsdException w:name="annotation text" w:uiPriority="0" w:qFormat="1"/>
    <w:lsdException w:name="header"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pBdr>
        <w:top w:val="none" w:sz="0" w:space="0" w:color="000000"/>
        <w:left w:val="none" w:sz="0" w:space="0" w:color="000000"/>
        <w:bottom w:val="none" w:sz="0" w:space="0" w:color="000000"/>
        <w:right w:val="none" w:sz="0" w:space="0" w:color="000000"/>
        <w:between w:val="none" w:sz="0" w:space="0" w:color="000000"/>
      </w:pBdr>
      <w:spacing w:line="360" w:lineRule="auto"/>
      <w:ind w:firstLine="20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spacing w:after="57"/>
      <w:ind w:left="1701" w:firstLine="0"/>
    </w:pPr>
  </w:style>
  <w:style w:type="paragraph" w:styleId="a3">
    <w:name w:val="Normal Indent"/>
    <w:basedOn w:val="a"/>
    <w:qFormat/>
    <w:pPr>
      <w:ind w:firstLine="420"/>
    </w:pPr>
  </w:style>
  <w:style w:type="paragraph" w:styleId="a4">
    <w:name w:val="Document Map"/>
    <w:basedOn w:val="a"/>
    <w:qFormat/>
    <w:pPr>
      <w:shd w:val="clear" w:color="auto" w:fill="000080"/>
    </w:pPr>
  </w:style>
  <w:style w:type="paragraph" w:styleId="a5">
    <w:name w:val="annotation text"/>
    <w:basedOn w:val="a"/>
    <w:link w:val="1"/>
    <w:qFormat/>
    <w:pPr>
      <w:jc w:val="left"/>
    </w:pPr>
  </w:style>
  <w:style w:type="paragraph" w:styleId="a6">
    <w:name w:val="Body Text"/>
    <w:basedOn w:val="a"/>
    <w:link w:val="a7"/>
    <w:qFormat/>
    <w:pPr>
      <w:jc w:val="left"/>
    </w:pPr>
    <w:rPr>
      <w:rFonts w:ascii="宋体"/>
      <w:sz w:val="20"/>
    </w:rPr>
  </w:style>
  <w:style w:type="paragraph" w:styleId="TOC5">
    <w:name w:val="toc 5"/>
    <w:basedOn w:val="a"/>
    <w:next w:val="a"/>
    <w:uiPriority w:val="39"/>
    <w:unhideWhenUsed/>
    <w:qFormat/>
    <w:pPr>
      <w:spacing w:after="57"/>
      <w:ind w:left="1134" w:firstLine="0"/>
    </w:pPr>
  </w:style>
  <w:style w:type="paragraph" w:styleId="TOC3">
    <w:name w:val="toc 3"/>
    <w:basedOn w:val="a"/>
    <w:next w:val="a"/>
    <w:qFormat/>
    <w:pPr>
      <w:ind w:left="840"/>
    </w:pPr>
  </w:style>
  <w:style w:type="paragraph" w:styleId="a8">
    <w:name w:val="Plain Text"/>
    <w:basedOn w:val="a"/>
    <w:qFormat/>
    <w:pPr>
      <w:spacing w:line="312" w:lineRule="atLeast"/>
    </w:pPr>
    <w:rPr>
      <w:rFonts w:ascii="宋体" w:hAnsi="Courier New"/>
    </w:rPr>
  </w:style>
  <w:style w:type="paragraph" w:styleId="TOC8">
    <w:name w:val="toc 8"/>
    <w:basedOn w:val="a"/>
    <w:next w:val="a"/>
    <w:uiPriority w:val="39"/>
    <w:unhideWhenUsed/>
    <w:qFormat/>
    <w:pPr>
      <w:spacing w:after="57"/>
      <w:ind w:left="1984" w:firstLine="0"/>
    </w:pPr>
  </w:style>
  <w:style w:type="paragraph" w:styleId="2">
    <w:name w:val="Body Text Indent 2"/>
    <w:basedOn w:val="a"/>
    <w:link w:val="20"/>
    <w:qFormat/>
    <w:pPr>
      <w:ind w:firstLine="425"/>
    </w:pPr>
    <w:rPr>
      <w:rFonts w:ascii="仿宋_GB2312" w:eastAsia="仿宋_GB2312"/>
      <w:sz w:val="28"/>
    </w:rPr>
  </w:style>
  <w:style w:type="paragraph" w:styleId="a9">
    <w:name w:val="Balloon Text"/>
    <w:basedOn w:val="a"/>
    <w:qFormat/>
    <w:rPr>
      <w:sz w:val="18"/>
    </w:rPr>
  </w:style>
  <w:style w:type="paragraph" w:styleId="aa">
    <w:name w:val="footer"/>
    <w:basedOn w:val="a"/>
    <w:link w:val="ab"/>
    <w:uiPriority w:val="99"/>
    <w:unhideWhenUsed/>
    <w:qFormat/>
    <w:pPr>
      <w:pBdr>
        <w:top w:val="none" w:sz="0" w:space="0" w:color="auto"/>
        <w:left w:val="none" w:sz="0" w:space="0" w:color="auto"/>
        <w:bottom w:val="none" w:sz="0" w:space="0" w:color="auto"/>
        <w:right w:val="none" w:sz="0" w:space="0" w:color="auto"/>
        <w:between w:val="none" w:sz="0" w:space="0" w:color="auto"/>
      </w:pBdr>
      <w:tabs>
        <w:tab w:val="center" w:pos="4680"/>
        <w:tab w:val="right" w:pos="9360"/>
      </w:tabs>
      <w:spacing w:line="240" w:lineRule="auto"/>
      <w:ind w:firstLine="0"/>
      <w:jc w:val="left"/>
    </w:pPr>
    <w:rPr>
      <w:rFonts w:asciiTheme="minorHAnsi" w:eastAsiaTheme="minorEastAsia" w:hAnsiTheme="minorHAnsi"/>
      <w:sz w:val="22"/>
    </w:rPr>
  </w:style>
  <w:style w:type="paragraph" w:styleId="TOC1">
    <w:name w:val="toc 1"/>
    <w:basedOn w:val="a"/>
    <w:next w:val="a"/>
    <w:uiPriority w:val="39"/>
    <w:qFormat/>
    <w:pPr>
      <w:tabs>
        <w:tab w:val="right" w:leader="dot" w:pos="8296"/>
      </w:tabs>
    </w:pPr>
  </w:style>
  <w:style w:type="paragraph" w:styleId="TOC4">
    <w:name w:val="toc 4"/>
    <w:basedOn w:val="a"/>
    <w:next w:val="a"/>
    <w:uiPriority w:val="39"/>
    <w:unhideWhenUsed/>
    <w:qFormat/>
    <w:pPr>
      <w:spacing w:after="57"/>
      <w:ind w:left="850" w:firstLine="0"/>
    </w:pPr>
  </w:style>
  <w:style w:type="paragraph" w:styleId="ac">
    <w:name w:val="Subtitle"/>
    <w:basedOn w:val="a"/>
    <w:next w:val="a"/>
    <w:link w:val="ad"/>
    <w:uiPriority w:val="11"/>
    <w:qFormat/>
    <w:pPr>
      <w:spacing w:before="200" w:after="200"/>
    </w:pPr>
    <w:rPr>
      <w:sz w:val="24"/>
      <w:szCs w:val="24"/>
    </w:rPr>
  </w:style>
  <w:style w:type="paragraph" w:styleId="ae">
    <w:name w:val="footnote text"/>
    <w:basedOn w:val="a"/>
    <w:link w:val="af"/>
    <w:qFormat/>
    <w:pPr>
      <w:jc w:val="left"/>
    </w:pPr>
    <w:rPr>
      <w:sz w:val="18"/>
    </w:rPr>
  </w:style>
  <w:style w:type="paragraph" w:styleId="TOC6">
    <w:name w:val="toc 6"/>
    <w:basedOn w:val="a"/>
    <w:next w:val="a"/>
    <w:uiPriority w:val="39"/>
    <w:unhideWhenUsed/>
    <w:qFormat/>
    <w:pPr>
      <w:spacing w:after="57"/>
      <w:ind w:left="1417" w:firstLine="0"/>
    </w:pPr>
  </w:style>
  <w:style w:type="paragraph" w:styleId="3">
    <w:name w:val="Body Text Indent 3"/>
    <w:basedOn w:val="a"/>
    <w:qFormat/>
    <w:pPr>
      <w:ind w:left="420" w:firstLine="435"/>
    </w:pPr>
    <w:rPr>
      <w:color w:val="0000FF"/>
    </w:rPr>
  </w:style>
  <w:style w:type="paragraph" w:styleId="TOC2">
    <w:name w:val="toc 2"/>
    <w:basedOn w:val="a"/>
    <w:next w:val="a"/>
    <w:uiPriority w:val="39"/>
    <w:unhideWhenUsed/>
    <w:qFormat/>
    <w:pPr>
      <w:spacing w:after="57"/>
      <w:ind w:left="283" w:firstLine="0"/>
    </w:pPr>
  </w:style>
  <w:style w:type="paragraph" w:styleId="TOC9">
    <w:name w:val="toc 9"/>
    <w:basedOn w:val="a"/>
    <w:next w:val="a"/>
    <w:uiPriority w:val="39"/>
    <w:unhideWhenUsed/>
    <w:qFormat/>
    <w:pPr>
      <w:spacing w:after="57"/>
      <w:ind w:left="2268" w:firstLine="0"/>
    </w:pPr>
  </w:style>
  <w:style w:type="paragraph" w:styleId="HTML">
    <w:name w:val="HTML Preformatted"/>
    <w:basedOn w:val="a"/>
    <w:link w:val="HTML0"/>
    <w:uiPriority w:val="99"/>
    <w:unhideWhenUsed/>
    <w:qFormat/>
    <w:pPr>
      <w:pBdr>
        <w:top w:val="none" w:sz="0" w:space="0" w:color="auto"/>
        <w:left w:val="none" w:sz="0" w:space="0" w:color="auto"/>
        <w:bottom w:val="none" w:sz="0" w:space="0" w:color="auto"/>
        <w:right w:val="none" w:sz="0" w:space="0" w:color="auto"/>
        <w:between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宋体" w:hAnsi="宋体" w:cs="宋体"/>
      <w:sz w:val="24"/>
      <w:szCs w:val="24"/>
    </w:rPr>
  </w:style>
  <w:style w:type="paragraph" w:styleId="af0">
    <w:name w:val="Normal (Web)"/>
    <w:basedOn w:val="a"/>
    <w:uiPriority w:val="99"/>
    <w:unhideWhenUsed/>
    <w:qFormat/>
    <w:pPr>
      <w:spacing w:before="100" w:beforeAutospacing="1" w:after="100" w:afterAutospacing="1"/>
      <w:jc w:val="left"/>
    </w:pPr>
    <w:rPr>
      <w:rFonts w:ascii="宋体" w:hAnsi="宋体" w:cs="宋体"/>
      <w:color w:val="000000"/>
      <w:sz w:val="24"/>
      <w:szCs w:val="24"/>
    </w:rPr>
  </w:style>
  <w:style w:type="paragraph" w:styleId="af1">
    <w:name w:val="Title"/>
    <w:basedOn w:val="a"/>
    <w:next w:val="a"/>
    <w:link w:val="af2"/>
    <w:qFormat/>
    <w:pPr>
      <w:spacing w:before="240" w:after="60"/>
      <w:jc w:val="center"/>
      <w:outlineLvl w:val="0"/>
    </w:pPr>
    <w:rPr>
      <w:rFonts w:ascii="Cambria" w:hAnsi="Cambria"/>
      <w:b/>
      <w:sz w:val="28"/>
    </w:rPr>
  </w:style>
  <w:style w:type="paragraph" w:styleId="af3">
    <w:name w:val="annotation subject"/>
    <w:basedOn w:val="a5"/>
    <w:next w:val="a5"/>
    <w:qFormat/>
    <w:rPr>
      <w:b/>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pPr>
        <w:snapToGrid/>
      </w:pPr>
    </w:tblStylePr>
    <w:tblStylePr w:type="lastRow">
      <w:pPr>
        <w:snapToGrid/>
      </w:pPr>
    </w:tblStylePr>
    <w:tblStylePr w:type="firstCol">
      <w:pPr>
        <w:snapToGrid/>
      </w:pPr>
    </w:tblStylePr>
    <w:tblStylePr w:type="lastCol">
      <w:pPr>
        <w:snapToGrid/>
      </w:pPr>
    </w:tblStylePr>
    <w:tblStylePr w:type="band1Vert">
      <w:pPr>
        <w:snapToGrid/>
      </w:pPr>
    </w:tblStylePr>
    <w:tblStylePr w:type="band2Vert">
      <w:pPr>
        <w:snapToGrid/>
      </w:pPr>
    </w:tblStylePr>
    <w:tblStylePr w:type="band1Horz">
      <w:pPr>
        <w:snapToGrid/>
      </w:p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character" w:styleId="af5">
    <w:name w:val="page number"/>
    <w:basedOn w:val="a0"/>
    <w:qFormat/>
  </w:style>
  <w:style w:type="character" w:styleId="af6">
    <w:name w:val="FollowedHyperlink"/>
    <w:basedOn w:val="a0"/>
    <w:uiPriority w:val="99"/>
    <w:unhideWhenUsed/>
    <w:qFormat/>
    <w:rPr>
      <w:color w:val="800080"/>
      <w:u w:val="single"/>
    </w:rPr>
  </w:style>
  <w:style w:type="character" w:styleId="af7">
    <w:name w:val="Hyperlink"/>
    <w:uiPriority w:val="99"/>
    <w:qFormat/>
    <w:rPr>
      <w:color w:val="0000FF"/>
      <w:u w:val="single"/>
    </w:rPr>
  </w:style>
  <w:style w:type="character" w:styleId="af8">
    <w:name w:val="annotation reference"/>
    <w:qFormat/>
    <w:rPr>
      <w:sz w:val="21"/>
    </w:rPr>
  </w:style>
  <w:style w:type="character" w:styleId="af9">
    <w:name w:val="footnote reference"/>
    <w:qFormat/>
    <w:rPr>
      <w:vertAlign w:val="superscript"/>
    </w:rPr>
  </w:style>
  <w:style w:type="character" w:customStyle="1" w:styleId="Heading1Char">
    <w:name w:val="Heading 1 Char"/>
    <w:basedOn w:val="a0"/>
    <w:link w:val="11"/>
    <w:uiPriority w:val="9"/>
    <w:qFormat/>
    <w:rPr>
      <w:rFonts w:ascii="Arial" w:eastAsia="Arial" w:hAnsi="Arial" w:cs="Arial"/>
      <w:sz w:val="40"/>
      <w:szCs w:val="40"/>
    </w:rPr>
  </w:style>
  <w:style w:type="paragraph" w:customStyle="1" w:styleId="11">
    <w:name w:val="标题 11"/>
    <w:basedOn w:val="a"/>
    <w:next w:val="a"/>
    <w:link w:val="Heading1Char"/>
    <w:qFormat/>
    <w:pPr>
      <w:keepNext/>
      <w:keepLines/>
      <w:spacing w:before="120" w:after="120"/>
      <w:outlineLvl w:val="0"/>
    </w:pPr>
    <w:rPr>
      <w:rFonts w:ascii="宋体"/>
      <w:b/>
      <w:color w:val="000000"/>
      <w:sz w:val="24"/>
    </w:rPr>
  </w:style>
  <w:style w:type="character" w:customStyle="1" w:styleId="Heading2Char">
    <w:name w:val="Heading 2 Char"/>
    <w:basedOn w:val="a0"/>
    <w:link w:val="21"/>
    <w:uiPriority w:val="9"/>
    <w:qFormat/>
    <w:rPr>
      <w:rFonts w:ascii="Arial" w:eastAsia="Arial" w:hAnsi="Arial" w:cs="Arial"/>
      <w:sz w:val="34"/>
    </w:rPr>
  </w:style>
  <w:style w:type="paragraph" w:customStyle="1" w:styleId="21">
    <w:name w:val="标题 21"/>
    <w:basedOn w:val="a"/>
    <w:next w:val="a"/>
    <w:link w:val="Heading2Char"/>
    <w:qFormat/>
    <w:pPr>
      <w:keepNext/>
      <w:keepLines/>
      <w:spacing w:before="260" w:after="260" w:line="413" w:lineRule="auto"/>
      <w:outlineLvl w:val="1"/>
    </w:pPr>
    <w:rPr>
      <w:rFonts w:ascii="Arial" w:eastAsia="黑体" w:hAnsi="Arial"/>
      <w:b/>
      <w:sz w:val="28"/>
    </w:rPr>
  </w:style>
  <w:style w:type="character" w:customStyle="1" w:styleId="Heading3Char">
    <w:name w:val="Heading 3 Char"/>
    <w:basedOn w:val="a0"/>
    <w:link w:val="31"/>
    <w:uiPriority w:val="9"/>
    <w:qFormat/>
    <w:rPr>
      <w:rFonts w:ascii="Arial" w:eastAsia="Arial" w:hAnsi="Arial" w:cs="Arial"/>
      <w:sz w:val="30"/>
      <w:szCs w:val="30"/>
    </w:rPr>
  </w:style>
  <w:style w:type="paragraph" w:customStyle="1" w:styleId="31">
    <w:name w:val="标题 31"/>
    <w:basedOn w:val="a"/>
    <w:next w:val="a"/>
    <w:link w:val="Heading3Char"/>
    <w:qFormat/>
    <w:pPr>
      <w:keepNext/>
      <w:keepLines/>
      <w:spacing w:before="260" w:after="260" w:line="413" w:lineRule="auto"/>
      <w:outlineLvl w:val="2"/>
    </w:pPr>
    <w:rPr>
      <w:b/>
      <w:sz w:val="28"/>
    </w:rPr>
  </w:style>
  <w:style w:type="paragraph" w:customStyle="1" w:styleId="41">
    <w:name w:val="标题 41"/>
    <w:basedOn w:val="a"/>
    <w:next w:val="a"/>
    <w:link w:val="Heading4Char"/>
    <w:uiPriority w:val="9"/>
    <w:unhideWhenUsed/>
    <w:qFormat/>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a0"/>
    <w:link w:val="41"/>
    <w:uiPriority w:val="9"/>
    <w:qFormat/>
    <w:rPr>
      <w:rFonts w:ascii="Arial" w:eastAsia="Arial" w:hAnsi="Arial" w:cs="Arial"/>
      <w:b/>
      <w:bCs/>
      <w:sz w:val="26"/>
      <w:szCs w:val="26"/>
    </w:rPr>
  </w:style>
  <w:style w:type="paragraph" w:customStyle="1" w:styleId="51">
    <w:name w:val="标题 51"/>
    <w:basedOn w:val="a"/>
    <w:next w:val="a"/>
    <w:link w:val="Heading5Char"/>
    <w:uiPriority w:val="9"/>
    <w:unhideWhenUsed/>
    <w:qFormat/>
    <w:pPr>
      <w:keepNext/>
      <w:keepLines/>
      <w:spacing w:before="320" w:after="200"/>
      <w:outlineLvl w:val="4"/>
    </w:pPr>
    <w:rPr>
      <w:rFonts w:ascii="Arial" w:eastAsia="Arial" w:hAnsi="Arial" w:cs="Arial"/>
      <w:b/>
      <w:bCs/>
      <w:sz w:val="24"/>
      <w:szCs w:val="24"/>
    </w:rPr>
  </w:style>
  <w:style w:type="character" w:customStyle="1" w:styleId="Heading5Char">
    <w:name w:val="Heading 5 Char"/>
    <w:basedOn w:val="a0"/>
    <w:link w:val="51"/>
    <w:uiPriority w:val="9"/>
    <w:qFormat/>
    <w:rPr>
      <w:rFonts w:ascii="Arial" w:eastAsia="Arial" w:hAnsi="Arial" w:cs="Arial"/>
      <w:b/>
      <w:bCs/>
      <w:sz w:val="24"/>
      <w:szCs w:val="24"/>
    </w:rPr>
  </w:style>
  <w:style w:type="paragraph" w:customStyle="1" w:styleId="61">
    <w:name w:val="标题 61"/>
    <w:basedOn w:val="a"/>
    <w:next w:val="a"/>
    <w:link w:val="Heading6Char"/>
    <w:uiPriority w:val="9"/>
    <w:unhideWhenUsed/>
    <w:qFormat/>
    <w:pPr>
      <w:keepNext/>
      <w:keepLines/>
      <w:spacing w:before="320" w:after="200"/>
      <w:outlineLvl w:val="5"/>
    </w:pPr>
    <w:rPr>
      <w:rFonts w:ascii="Arial" w:eastAsia="Arial" w:hAnsi="Arial" w:cs="Arial"/>
      <w:b/>
      <w:bCs/>
      <w:sz w:val="22"/>
    </w:rPr>
  </w:style>
  <w:style w:type="character" w:customStyle="1" w:styleId="Heading6Char">
    <w:name w:val="Heading 6 Char"/>
    <w:basedOn w:val="a0"/>
    <w:link w:val="61"/>
    <w:uiPriority w:val="9"/>
    <w:qFormat/>
    <w:rPr>
      <w:rFonts w:ascii="Arial" w:eastAsia="Arial" w:hAnsi="Arial" w:cs="Arial"/>
      <w:b/>
      <w:bCs/>
      <w:sz w:val="22"/>
      <w:szCs w:val="22"/>
    </w:rPr>
  </w:style>
  <w:style w:type="paragraph" w:customStyle="1" w:styleId="71">
    <w:name w:val="标题 71"/>
    <w:basedOn w:val="a"/>
    <w:next w:val="a"/>
    <w:link w:val="Heading7Char"/>
    <w:uiPriority w:val="9"/>
    <w:unhideWhenUsed/>
    <w:qFormat/>
    <w:pPr>
      <w:keepNext/>
      <w:keepLines/>
      <w:spacing w:before="320" w:after="200"/>
      <w:outlineLvl w:val="6"/>
    </w:pPr>
    <w:rPr>
      <w:rFonts w:ascii="Arial" w:eastAsia="Arial" w:hAnsi="Arial" w:cs="Arial"/>
      <w:b/>
      <w:bCs/>
      <w:i/>
      <w:iCs/>
      <w:sz w:val="22"/>
    </w:rPr>
  </w:style>
  <w:style w:type="character" w:customStyle="1" w:styleId="Heading7Char">
    <w:name w:val="Heading 7 Char"/>
    <w:basedOn w:val="a0"/>
    <w:link w:val="71"/>
    <w:uiPriority w:val="9"/>
    <w:qFormat/>
    <w:rPr>
      <w:rFonts w:ascii="Arial" w:eastAsia="Arial" w:hAnsi="Arial" w:cs="Arial"/>
      <w:b/>
      <w:bCs/>
      <w:i/>
      <w:iCs/>
      <w:sz w:val="22"/>
      <w:szCs w:val="22"/>
    </w:rPr>
  </w:style>
  <w:style w:type="paragraph" w:customStyle="1" w:styleId="81">
    <w:name w:val="标题 81"/>
    <w:basedOn w:val="a"/>
    <w:next w:val="a"/>
    <w:link w:val="Heading8Char"/>
    <w:uiPriority w:val="9"/>
    <w:unhideWhenUsed/>
    <w:qFormat/>
    <w:pPr>
      <w:keepNext/>
      <w:keepLines/>
      <w:spacing w:before="320" w:after="200"/>
      <w:outlineLvl w:val="7"/>
    </w:pPr>
    <w:rPr>
      <w:rFonts w:ascii="Arial" w:eastAsia="Arial" w:hAnsi="Arial" w:cs="Arial"/>
      <w:i/>
      <w:iCs/>
      <w:sz w:val="22"/>
    </w:rPr>
  </w:style>
  <w:style w:type="character" w:customStyle="1" w:styleId="Heading8Char">
    <w:name w:val="Heading 8 Char"/>
    <w:basedOn w:val="a0"/>
    <w:link w:val="81"/>
    <w:uiPriority w:val="9"/>
    <w:qFormat/>
    <w:rPr>
      <w:rFonts w:ascii="Arial" w:eastAsia="Arial" w:hAnsi="Arial" w:cs="Arial"/>
      <w:i/>
      <w:iCs/>
      <w:sz w:val="22"/>
      <w:szCs w:val="22"/>
    </w:rPr>
  </w:style>
  <w:style w:type="paragraph" w:customStyle="1" w:styleId="91">
    <w:name w:val="标题 91"/>
    <w:basedOn w:val="a"/>
    <w:next w:val="a"/>
    <w:link w:val="Heading9Char"/>
    <w:uiPriority w:val="9"/>
    <w:unhideWhenUsed/>
    <w:qFormat/>
    <w:pPr>
      <w:keepNext/>
      <w:keepLines/>
      <w:spacing w:before="320" w:after="200"/>
      <w:outlineLvl w:val="8"/>
    </w:pPr>
    <w:rPr>
      <w:rFonts w:ascii="Arial" w:eastAsia="Arial" w:hAnsi="Arial" w:cs="Arial"/>
      <w:i/>
      <w:iCs/>
      <w:szCs w:val="21"/>
    </w:rPr>
  </w:style>
  <w:style w:type="character" w:customStyle="1" w:styleId="Heading9Char">
    <w:name w:val="Heading 9 Char"/>
    <w:basedOn w:val="a0"/>
    <w:link w:val="91"/>
    <w:uiPriority w:val="9"/>
    <w:qFormat/>
    <w:rPr>
      <w:rFonts w:ascii="Arial" w:eastAsia="Arial" w:hAnsi="Arial" w:cs="Arial"/>
      <w:i/>
      <w:iCs/>
      <w:sz w:val="21"/>
      <w:szCs w:val="21"/>
    </w:rPr>
  </w:style>
  <w:style w:type="paragraph" w:styleId="afa">
    <w:name w:val="List Paragraph"/>
    <w:basedOn w:val="a"/>
    <w:uiPriority w:val="34"/>
    <w:qFormat/>
    <w:pPr>
      <w:ind w:left="720"/>
      <w:contextualSpacing/>
    </w:pPr>
  </w:style>
  <w:style w:type="character" w:customStyle="1" w:styleId="TitleChar">
    <w:name w:val="Title Char"/>
    <w:basedOn w:val="a0"/>
    <w:uiPriority w:val="10"/>
    <w:qFormat/>
    <w:rPr>
      <w:sz w:val="48"/>
      <w:szCs w:val="48"/>
    </w:rPr>
  </w:style>
  <w:style w:type="character" w:customStyle="1" w:styleId="ad">
    <w:name w:val="副标题 字符"/>
    <w:basedOn w:val="a0"/>
    <w:link w:val="ac"/>
    <w:uiPriority w:val="11"/>
    <w:qFormat/>
    <w:rPr>
      <w:sz w:val="24"/>
      <w:szCs w:val="24"/>
    </w:rPr>
  </w:style>
  <w:style w:type="paragraph" w:styleId="afb">
    <w:name w:val="Quote"/>
    <w:basedOn w:val="a"/>
    <w:next w:val="a"/>
    <w:link w:val="afc"/>
    <w:uiPriority w:val="29"/>
    <w:qFormat/>
    <w:pPr>
      <w:ind w:left="720" w:right="720"/>
    </w:pPr>
    <w:rPr>
      <w:i/>
    </w:rPr>
  </w:style>
  <w:style w:type="character" w:customStyle="1" w:styleId="afc">
    <w:name w:val="引用 字符"/>
    <w:link w:val="afb"/>
    <w:uiPriority w:val="29"/>
    <w:qFormat/>
    <w:rPr>
      <w:i/>
    </w:rPr>
  </w:style>
  <w:style w:type="paragraph" w:styleId="afd">
    <w:name w:val="Intense Quote"/>
    <w:basedOn w:val="a"/>
    <w:next w:val="a"/>
    <w:link w:val="af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e">
    <w:name w:val="明显引用 字符"/>
    <w:link w:val="afd"/>
    <w:uiPriority w:val="30"/>
    <w:qFormat/>
    <w:rPr>
      <w:i/>
    </w:rPr>
  </w:style>
  <w:style w:type="character" w:customStyle="1" w:styleId="HeaderChar">
    <w:name w:val="Header Char"/>
    <w:basedOn w:val="a0"/>
    <w:uiPriority w:val="99"/>
    <w:qFormat/>
  </w:style>
  <w:style w:type="character" w:customStyle="1" w:styleId="FooterChar">
    <w:name w:val="Footer Char"/>
    <w:basedOn w:val="a0"/>
    <w:link w:val="10"/>
    <w:uiPriority w:val="99"/>
    <w:qFormat/>
  </w:style>
  <w:style w:type="paragraph" w:customStyle="1" w:styleId="10">
    <w:name w:val="页脚1"/>
    <w:basedOn w:val="a"/>
    <w:link w:val="FooterChar"/>
    <w:qFormat/>
    <w:pPr>
      <w:tabs>
        <w:tab w:val="center" w:pos="4153"/>
        <w:tab w:val="right" w:pos="8306"/>
      </w:tabs>
      <w:jc w:val="left"/>
    </w:pPr>
    <w:rPr>
      <w:sz w:val="18"/>
    </w:rPr>
  </w:style>
  <w:style w:type="table" w:customStyle="1" w:styleId="TableGridLight">
    <w:name w:val="Table Grid Light"/>
    <w:basedOn w:val="a1"/>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pPr>
        <w:snapToGrid/>
      </w:pPr>
    </w:tblStylePr>
    <w:tblStylePr w:type="lastRow">
      <w:pPr>
        <w:snapToGrid/>
      </w:pPr>
    </w:tblStylePr>
    <w:tblStylePr w:type="firstCol">
      <w:pPr>
        <w:snapToGrid/>
      </w:pPr>
    </w:tblStylePr>
    <w:tblStylePr w:type="lastCol">
      <w:pPr>
        <w:snapToGrid/>
      </w:pPr>
    </w:tblStylePr>
    <w:tblStylePr w:type="band1Vert">
      <w:pPr>
        <w:snapToGrid/>
      </w:pPr>
    </w:tblStylePr>
    <w:tblStylePr w:type="band2Vert">
      <w:pPr>
        <w:snapToGrid/>
      </w:pPr>
    </w:tblStylePr>
    <w:tblStylePr w:type="band1Horz">
      <w:pPr>
        <w:snapToGrid/>
      </w:p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110">
    <w:name w:val="无格式表格 11"/>
    <w:basedOn w:val="a1"/>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pPr>
        <w:snapToGrid/>
      </w:pPr>
      <w:rPr>
        <w:rFonts w:ascii="Arial" w:hAnsi="Arial"/>
        <w:b/>
        <w:color w:val="404040"/>
        <w:sz w:val="22"/>
      </w:rPr>
    </w:tblStylePr>
    <w:tblStylePr w:type="lastRow">
      <w:pPr>
        <w:snapToGrid/>
      </w:pPr>
      <w:rPr>
        <w:rFonts w:ascii="Arial" w:hAnsi="Arial"/>
        <w:b/>
        <w:color w:val="404040"/>
        <w:sz w:val="22"/>
      </w:rPr>
    </w:tblStylePr>
    <w:tblStylePr w:type="firstCol">
      <w:pPr>
        <w:snapToGrid/>
      </w:pPr>
      <w:rPr>
        <w:rFonts w:ascii="Arial" w:hAnsi="Arial"/>
        <w:b/>
        <w:color w:val="404040"/>
        <w:sz w:val="22"/>
      </w:rPr>
    </w:tblStylePr>
    <w:tblStylePr w:type="lastCol">
      <w:pPr>
        <w:snapToGrid/>
      </w:pPr>
      <w:rPr>
        <w:rFonts w:ascii="Arial" w:hAnsi="Arial"/>
        <w:b/>
        <w:color w:val="404040"/>
        <w:sz w:val="22"/>
      </w:rPr>
    </w:tblStylePr>
    <w:tblStylePr w:type="band1Vert">
      <w:pPr>
        <w:snapToGrid/>
      </w:pPr>
      <w:tblPr/>
      <w:tcPr>
        <w:shd w:val="clear" w:color="auto" w:fill="F2F2F2" w:themeFill="text1" w:themeFillTint="0D"/>
      </w:tcPr>
    </w:tblStylePr>
    <w:tblStylePr w:type="band2Vert">
      <w:pPr>
        <w:snapToGrid/>
      </w:pPr>
    </w:tblStylePr>
    <w:tblStylePr w:type="band1Horz">
      <w:pPr>
        <w:snapToGrid/>
      </w:pPr>
      <w:tblPr/>
      <w:tcPr>
        <w:shd w:val="clear" w:color="auto" w:fill="F2F2F2" w:themeFill="text1" w:themeFillTint="0D"/>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210">
    <w:name w:val="无格式表格 21"/>
    <w:basedOn w:val="a1"/>
    <w:uiPriority w:val="59"/>
    <w:qFormat/>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pPr>
        <w:snapToGrid/>
      </w:pPr>
      <w:rPr>
        <w:rFonts w:ascii="Arial" w:hAnsi="Arial"/>
        <w:b/>
        <w:color w:val="404040"/>
        <w:sz w:val="22"/>
      </w:rPr>
      <w:tblPr/>
      <w:tcPr>
        <w:tcBorders>
          <w:top w:val="single" w:sz="4" w:space="0" w:color="000000" w:themeColor="text1"/>
          <w:bottom w:val="single" w:sz="4" w:space="0" w:color="000000" w:themeColor="text1"/>
        </w:tcBorders>
      </w:tcPr>
    </w:tblStylePr>
    <w:tblStylePr w:type="lastRow">
      <w:pPr>
        <w:snapToGrid/>
      </w:pPr>
      <w:rPr>
        <w:rFonts w:ascii="Arial" w:hAnsi="Arial"/>
        <w:b/>
        <w:color w:val="404040"/>
        <w:sz w:val="22"/>
      </w:rPr>
    </w:tblStylePr>
    <w:tblStylePr w:type="firstCol">
      <w:pPr>
        <w:snapToGrid/>
      </w:pPr>
      <w:rPr>
        <w:rFonts w:ascii="Arial" w:hAnsi="Arial"/>
        <w:b/>
        <w:color w:val="404040"/>
        <w:sz w:val="22"/>
      </w:rPr>
    </w:tblStylePr>
    <w:tblStylePr w:type="lastCol">
      <w:pPr>
        <w:snapToGrid/>
      </w:pPr>
      <w:rPr>
        <w:rFonts w:ascii="Arial" w:hAnsi="Arial"/>
        <w:b/>
        <w:color w:val="404040"/>
        <w:sz w:val="22"/>
      </w:rPr>
    </w:tblStylePr>
    <w:tblStylePr w:type="band1Vert">
      <w:pPr>
        <w:snapToGrid/>
      </w:pPr>
      <w:tblPr/>
      <w:tcPr>
        <w:tcBorders>
          <w:left w:val="single" w:sz="4" w:space="0" w:color="000000" w:themeColor="text1"/>
          <w:right w:val="single" w:sz="4" w:space="0" w:color="000000" w:themeColor="text1"/>
        </w:tcBorders>
      </w:tcPr>
    </w:tblStylePr>
    <w:tblStylePr w:type="band2Vert">
      <w:pPr>
        <w:snapToGrid/>
      </w:pPr>
      <w:tblPr/>
      <w:tcPr>
        <w:tcBorders>
          <w:left w:val="single" w:sz="4" w:space="0" w:color="000000" w:themeColor="text1"/>
          <w:right w:val="single" w:sz="4" w:space="0" w:color="000000" w:themeColor="text1"/>
        </w:tcBorders>
      </w:tcPr>
    </w:tblStylePr>
    <w:tblStylePr w:type="band1Horz">
      <w:pPr>
        <w:snapToGrid/>
      </w:pPr>
      <w:tblPr/>
      <w:tcPr>
        <w:tcBorders>
          <w:top w:val="single" w:sz="4" w:space="0" w:color="000000" w:themeColor="text1"/>
          <w:bottom w:val="single" w:sz="4" w:space="0" w:color="000000" w:themeColor="text1"/>
        </w:tcBorders>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310">
    <w:name w:val="无格式表格 31"/>
    <w:basedOn w:val="a1"/>
    <w:uiPriority w:val="99"/>
    <w:qFormat/>
    <w:tblPr/>
    <w:tblStylePr w:type="firstRow">
      <w:pPr>
        <w:snapToGrid/>
      </w:pPr>
      <w:rPr>
        <w:b/>
        <w:caps/>
        <w:color w:val="404040"/>
      </w:rPr>
      <w:tblPr/>
      <w:tcPr>
        <w:tcBorders>
          <w:top w:val="nil"/>
          <w:left w:val="nil"/>
          <w:bottom w:val="single" w:sz="4" w:space="0" w:color="404040"/>
          <w:right w:val="nil"/>
        </w:tcBorders>
      </w:tcPr>
    </w:tblStylePr>
    <w:tblStylePr w:type="lastRow">
      <w:pPr>
        <w:snapToGrid/>
      </w:pPr>
      <w:rPr>
        <w:b/>
        <w:caps/>
        <w:color w:val="404040"/>
      </w:rPr>
    </w:tblStylePr>
    <w:tblStylePr w:type="firstCol">
      <w:pPr>
        <w:snapToGrid/>
      </w:pPr>
      <w:rPr>
        <w:b/>
        <w:caps/>
        <w:color w:val="404040"/>
      </w:rPr>
      <w:tblPr/>
      <w:tcPr>
        <w:tcBorders>
          <w:top w:val="nil"/>
          <w:left w:val="nil"/>
          <w:bottom w:val="nil"/>
          <w:right w:val="single" w:sz="4" w:space="0" w:color="404040"/>
        </w:tcBorders>
      </w:tcPr>
    </w:tblStylePr>
    <w:tblStylePr w:type="lastCol">
      <w:pPr>
        <w:snapToGrid/>
      </w:pPr>
      <w:rPr>
        <w:b/>
        <w:caps/>
        <w:color w:val="404040"/>
      </w:rPr>
    </w:tblStylePr>
    <w:tblStylePr w:type="band1Vert">
      <w:pPr>
        <w:snapToGrid/>
      </w:pPr>
      <w:rPr>
        <w:rFonts w:ascii="Arial" w:hAnsi="Arial"/>
        <w:color w:val="404040"/>
        <w:sz w:val="22"/>
      </w:rPr>
      <w:tblPr/>
      <w:tcPr>
        <w:shd w:val="clear" w:color="auto" w:fill="F2F2F2" w:themeFill="text1" w:themeFillTint="0D"/>
      </w:tcPr>
    </w:tblStylePr>
    <w:tblStylePr w:type="band2Vert">
      <w:pPr>
        <w:snapToGrid/>
      </w:pPr>
    </w:tblStylePr>
    <w:tblStylePr w:type="band1Horz">
      <w:pPr>
        <w:snapToGrid/>
      </w:pPr>
      <w:rPr>
        <w:rFonts w:ascii="Arial" w:hAnsi="Arial"/>
        <w:color w:val="404040"/>
        <w:sz w:val="22"/>
      </w:rPr>
      <w:tblPr/>
      <w:tcPr>
        <w:shd w:val="clear" w:color="auto" w:fill="F2F2F2" w:themeFill="text1" w:themeFillTint="0D"/>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410">
    <w:name w:val="无格式表格 41"/>
    <w:basedOn w:val="a1"/>
    <w:uiPriority w:val="99"/>
    <w:qFormat/>
    <w:tblPr/>
    <w:tblStylePr w:type="firstRow">
      <w:pPr>
        <w:snapToGrid/>
      </w:pPr>
      <w:rPr>
        <w:b/>
        <w:color w:val="404040"/>
      </w:rPr>
    </w:tblStylePr>
    <w:tblStylePr w:type="lastRow">
      <w:pPr>
        <w:snapToGrid/>
      </w:pPr>
      <w:rPr>
        <w:b/>
        <w:color w:val="404040"/>
      </w:r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blPr/>
      <w:tcPr>
        <w:shd w:val="clear" w:color="auto" w:fill="F2F2F2" w:themeFill="text1" w:themeFillTint="0D"/>
      </w:tcPr>
    </w:tblStylePr>
    <w:tblStylePr w:type="band2Vert">
      <w:pPr>
        <w:snapToGrid/>
      </w:pPr>
    </w:tblStylePr>
    <w:tblStylePr w:type="band1Horz">
      <w:pPr>
        <w:snapToGrid/>
      </w:pPr>
      <w:rPr>
        <w:rFonts w:ascii="Arial" w:hAnsi="Arial"/>
        <w:color w:val="404040"/>
        <w:sz w:val="22"/>
      </w:rPr>
      <w:tblPr/>
      <w:tcPr>
        <w:shd w:val="clear" w:color="auto" w:fill="F2F2F2" w:themeFill="text1" w:themeFillTint="0D"/>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510">
    <w:name w:val="无格式表格 51"/>
    <w:basedOn w:val="a1"/>
    <w:uiPriority w:val="99"/>
    <w:qFormat/>
    <w:tblPr/>
    <w:tblStylePr w:type="firstRow">
      <w:pPr>
        <w:snapToGrid/>
      </w:pPr>
      <w:rPr>
        <w:i/>
        <w:color w:val="404040"/>
      </w:rPr>
      <w:tblPr/>
      <w:tcPr>
        <w:tcBorders>
          <w:left w:val="nil"/>
          <w:bottom w:val="single" w:sz="4" w:space="0" w:color="404040"/>
          <w:right w:val="nil"/>
        </w:tcBorders>
        <w:shd w:val="clear" w:color="auto" w:fill="FFFFFF"/>
      </w:tcPr>
    </w:tblStylePr>
    <w:tblStylePr w:type="lastRow">
      <w:pPr>
        <w:snapToGrid/>
      </w:pPr>
      <w:rPr>
        <w:i/>
        <w:color w:val="404040"/>
      </w:rPr>
      <w:tblPr/>
      <w:tcPr>
        <w:tcBorders>
          <w:top w:val="single" w:sz="4" w:space="0" w:color="404040"/>
          <w:left w:val="nil"/>
          <w:right w:val="nil"/>
        </w:tcBorders>
        <w:shd w:val="clear" w:color="auto" w:fill="FFFFFF"/>
      </w:tcPr>
    </w:tblStylePr>
    <w:tblStylePr w:type="firstCol">
      <w:pPr>
        <w:snapToGrid/>
        <w:jc w:val="right"/>
      </w:pPr>
      <w:rPr>
        <w:i/>
        <w:color w:val="404040"/>
      </w:rPr>
      <w:tblPr/>
      <w:tcPr>
        <w:tcBorders>
          <w:right w:val="single" w:sz="4" w:space="0" w:color="404040"/>
        </w:tcBorders>
        <w:shd w:val="clear" w:color="auto" w:fill="FFFFFF"/>
      </w:tcPr>
    </w:tblStylePr>
    <w:tblStylePr w:type="lastCol">
      <w:pPr>
        <w:snapToGrid/>
      </w:pPr>
      <w:rPr>
        <w:i/>
        <w:color w:val="404040"/>
      </w:rPr>
      <w:tblPr/>
      <w:tcPr>
        <w:tcBorders>
          <w:left w:val="single" w:sz="4" w:space="0" w:color="404040"/>
        </w:tcBorders>
        <w:shd w:val="clear" w:color="auto" w:fill="FFFFFF"/>
      </w:tcPr>
    </w:tblStylePr>
    <w:tblStylePr w:type="band1Vert">
      <w:pPr>
        <w:snapToGrid/>
      </w:pPr>
      <w:rPr>
        <w:rFonts w:ascii="Arial" w:hAnsi="Arial"/>
        <w:color w:val="404040"/>
        <w:sz w:val="22"/>
      </w:rPr>
      <w:tblPr/>
      <w:tcPr>
        <w:shd w:val="clear" w:color="auto" w:fill="F2F2F2" w:themeFill="text1" w:themeFillTint="0D"/>
      </w:tcPr>
    </w:tblStylePr>
    <w:tblStylePr w:type="band2Vert">
      <w:pPr>
        <w:snapToGrid/>
      </w:pPr>
    </w:tblStylePr>
    <w:tblStylePr w:type="band1Horz">
      <w:pPr>
        <w:snapToGrid/>
      </w:pPr>
      <w:rPr>
        <w:rFonts w:ascii="Arial" w:hAnsi="Arial"/>
        <w:color w:val="404040"/>
        <w:sz w:val="22"/>
      </w:rPr>
      <w:tblPr/>
      <w:tcPr>
        <w:shd w:val="clear" w:color="auto" w:fill="F2F2F2" w:themeFill="text1" w:themeFillTint="0D"/>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111">
    <w:name w:val="网格表 1 浅色1"/>
    <w:basedOn w:val="a1"/>
    <w:uiPriority w:val="99"/>
    <w:qFormat/>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pPr>
        <w:snapToGrid/>
      </w:pPr>
      <w:rPr>
        <w:b/>
        <w:color w:val="404040"/>
      </w:rPr>
      <w:tblPr/>
      <w:tcPr>
        <w:tcBorders>
          <w:bottom w:val="single" w:sz="12" w:space="0" w:color="6A6A6A" w:themeColor="text1" w:themeTint="95"/>
        </w:tcBorders>
      </w:tcPr>
    </w:tblStylePr>
    <w:tblStylePr w:type="lastRow">
      <w:pPr>
        <w:snapToGrid/>
      </w:pPr>
      <w:rPr>
        <w:b/>
        <w:color w:val="404040"/>
      </w:rPr>
    </w:tblStylePr>
    <w:tblStylePr w:type="firstCol">
      <w:pPr>
        <w:snapToGrid/>
      </w:pPr>
      <w:rPr>
        <w:b/>
        <w:color w:val="404040"/>
      </w:rPr>
    </w:tblStylePr>
    <w:tblStylePr w:type="lastCol">
      <w:pPr>
        <w:snapToGrid/>
      </w:pPr>
      <w:rPr>
        <w:b/>
        <w:color w:val="404040"/>
      </w:rPr>
    </w:tblStylePr>
    <w:tblStylePr w:type="band1Vert">
      <w:pPr>
        <w:snapToGrid/>
      </w:pPr>
    </w:tblStylePr>
    <w:tblStylePr w:type="band2Vert">
      <w:pPr>
        <w:snapToGrid/>
      </w:pPr>
    </w:tblStylePr>
    <w:tblStylePr w:type="band1Horz">
      <w:pPr>
        <w:snapToGrid/>
      </w:pPr>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1Light-Accent1">
    <w:name w:val="Grid Table 1 Light - Accent 1"/>
    <w:basedOn w:val="a1"/>
    <w:uiPriority w:val="99"/>
    <w:qFormat/>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pPr>
        <w:snapToGrid/>
      </w:pPr>
      <w:rPr>
        <w:b/>
        <w:color w:val="404040"/>
      </w:rPr>
      <w:tblPr/>
      <w:tcPr>
        <w:tcBorders>
          <w:bottom w:val="single" w:sz="12" w:space="0" w:color="97B4D8" w:themeColor="accent1" w:themeTint="95"/>
        </w:tcBorders>
      </w:tcPr>
    </w:tblStylePr>
    <w:tblStylePr w:type="lastRow">
      <w:pPr>
        <w:snapToGrid/>
      </w:pPr>
      <w:rPr>
        <w:b/>
        <w:color w:val="404040"/>
      </w:rPr>
    </w:tblStylePr>
    <w:tblStylePr w:type="firstCol">
      <w:pPr>
        <w:snapToGrid/>
      </w:pPr>
      <w:rPr>
        <w:b/>
        <w:color w:val="404040"/>
      </w:rPr>
    </w:tblStylePr>
    <w:tblStylePr w:type="lastCol">
      <w:pPr>
        <w:snapToGrid/>
      </w:pPr>
      <w:rPr>
        <w:b/>
        <w:color w:val="404040"/>
      </w:rPr>
    </w:tblStylePr>
    <w:tblStylePr w:type="band1Vert">
      <w:pPr>
        <w:snapToGrid/>
      </w:pPr>
    </w:tblStylePr>
    <w:tblStylePr w:type="band2Vert">
      <w:pPr>
        <w:snapToGrid/>
      </w:pPr>
    </w:tblStylePr>
    <w:tblStylePr w:type="band1Horz">
      <w:pPr>
        <w:snapToGrid/>
      </w:pPr>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1Light-Accent2">
    <w:name w:val="Grid Table 1 Light - Accent 2"/>
    <w:basedOn w:val="a1"/>
    <w:uiPriority w:val="99"/>
    <w:qFormat/>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pPr>
        <w:snapToGrid/>
      </w:pPr>
      <w:rPr>
        <w:b/>
        <w:color w:val="404040"/>
      </w:rPr>
      <w:tblPr/>
      <w:tcPr>
        <w:tcBorders>
          <w:bottom w:val="single" w:sz="12" w:space="0" w:color="DA9896" w:themeColor="accent2" w:themeTint="95"/>
        </w:tcBorders>
      </w:tcPr>
    </w:tblStylePr>
    <w:tblStylePr w:type="lastRow">
      <w:pPr>
        <w:snapToGrid/>
      </w:pPr>
      <w:rPr>
        <w:b/>
        <w:color w:val="404040"/>
      </w:rPr>
    </w:tblStylePr>
    <w:tblStylePr w:type="firstCol">
      <w:pPr>
        <w:snapToGrid/>
      </w:pPr>
      <w:rPr>
        <w:b/>
        <w:color w:val="404040"/>
      </w:rPr>
    </w:tblStylePr>
    <w:tblStylePr w:type="lastCol">
      <w:pPr>
        <w:snapToGrid/>
      </w:pPr>
      <w:rPr>
        <w:b/>
        <w:color w:val="404040"/>
      </w:rPr>
    </w:tblStylePr>
    <w:tblStylePr w:type="band1Vert">
      <w:pPr>
        <w:snapToGrid/>
      </w:pPr>
    </w:tblStylePr>
    <w:tblStylePr w:type="band2Vert">
      <w:pPr>
        <w:snapToGrid/>
      </w:pPr>
    </w:tblStylePr>
    <w:tblStylePr w:type="band1Horz">
      <w:pPr>
        <w:snapToGrid/>
      </w:pPr>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1Light-Accent3">
    <w:name w:val="Grid Table 1 Light - Accent 3"/>
    <w:basedOn w:val="a1"/>
    <w:uiPriority w:val="99"/>
    <w:qFormat/>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pPr>
        <w:snapToGrid/>
      </w:pPr>
      <w:rPr>
        <w:b/>
        <w:color w:val="404040"/>
      </w:rPr>
      <w:tblPr/>
      <w:tcPr>
        <w:tcBorders>
          <w:bottom w:val="single" w:sz="12" w:space="0" w:color="C4D79D" w:themeColor="accent3" w:themeTint="95"/>
        </w:tcBorders>
      </w:tcPr>
    </w:tblStylePr>
    <w:tblStylePr w:type="lastRow">
      <w:pPr>
        <w:snapToGrid/>
      </w:pPr>
      <w:rPr>
        <w:b/>
        <w:color w:val="404040"/>
      </w:rPr>
    </w:tblStylePr>
    <w:tblStylePr w:type="firstCol">
      <w:pPr>
        <w:snapToGrid/>
      </w:pPr>
      <w:rPr>
        <w:b/>
        <w:color w:val="404040"/>
      </w:rPr>
    </w:tblStylePr>
    <w:tblStylePr w:type="lastCol">
      <w:pPr>
        <w:snapToGrid/>
      </w:pPr>
      <w:rPr>
        <w:b/>
        <w:color w:val="404040"/>
      </w:rPr>
    </w:tblStylePr>
    <w:tblStylePr w:type="band1Vert">
      <w:pPr>
        <w:snapToGrid/>
      </w:pPr>
    </w:tblStylePr>
    <w:tblStylePr w:type="band2Vert">
      <w:pPr>
        <w:snapToGrid/>
      </w:pPr>
    </w:tblStylePr>
    <w:tblStylePr w:type="band1Horz">
      <w:pPr>
        <w:snapToGrid/>
      </w:pPr>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1Light-Accent4">
    <w:name w:val="Grid Table 1 Light - Accent 4"/>
    <w:basedOn w:val="a1"/>
    <w:uiPriority w:val="99"/>
    <w:qFormat/>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pPr>
        <w:snapToGrid/>
      </w:pPr>
      <w:rPr>
        <w:b/>
        <w:color w:val="404040"/>
      </w:rPr>
      <w:tblPr/>
      <w:tcPr>
        <w:tcBorders>
          <w:bottom w:val="single" w:sz="12" w:space="0" w:color="B4A4C8" w:themeColor="accent4" w:themeTint="95"/>
        </w:tcBorders>
      </w:tcPr>
    </w:tblStylePr>
    <w:tblStylePr w:type="lastRow">
      <w:pPr>
        <w:snapToGrid/>
      </w:pPr>
      <w:rPr>
        <w:b/>
        <w:color w:val="404040"/>
      </w:rPr>
    </w:tblStylePr>
    <w:tblStylePr w:type="firstCol">
      <w:pPr>
        <w:snapToGrid/>
      </w:pPr>
      <w:rPr>
        <w:b/>
        <w:color w:val="404040"/>
      </w:rPr>
    </w:tblStylePr>
    <w:tblStylePr w:type="lastCol">
      <w:pPr>
        <w:snapToGrid/>
      </w:pPr>
      <w:rPr>
        <w:b/>
        <w:color w:val="404040"/>
      </w:rPr>
    </w:tblStylePr>
    <w:tblStylePr w:type="band1Vert">
      <w:pPr>
        <w:snapToGrid/>
      </w:pPr>
    </w:tblStylePr>
    <w:tblStylePr w:type="band2Vert">
      <w:pPr>
        <w:snapToGrid/>
      </w:pPr>
    </w:tblStylePr>
    <w:tblStylePr w:type="band1Horz">
      <w:pPr>
        <w:snapToGrid/>
      </w:pPr>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1Light-Accent5">
    <w:name w:val="Grid Table 1 Light - Accent 5"/>
    <w:basedOn w:val="a1"/>
    <w:uiPriority w:val="99"/>
    <w:qFormat/>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pPr>
        <w:snapToGrid/>
      </w:pPr>
      <w:rPr>
        <w:b/>
        <w:color w:val="404040"/>
      </w:rPr>
      <w:tblPr/>
      <w:tcPr>
        <w:tcBorders>
          <w:bottom w:val="single" w:sz="12" w:space="0" w:color="95CEDD" w:themeColor="accent5" w:themeTint="95"/>
        </w:tcBorders>
      </w:tcPr>
    </w:tblStylePr>
    <w:tblStylePr w:type="lastRow">
      <w:pPr>
        <w:snapToGrid/>
      </w:pPr>
      <w:rPr>
        <w:b/>
        <w:color w:val="404040"/>
      </w:rPr>
    </w:tblStylePr>
    <w:tblStylePr w:type="firstCol">
      <w:pPr>
        <w:snapToGrid/>
      </w:pPr>
      <w:rPr>
        <w:b/>
        <w:color w:val="404040"/>
      </w:rPr>
    </w:tblStylePr>
    <w:tblStylePr w:type="lastCol">
      <w:pPr>
        <w:snapToGrid/>
      </w:pPr>
      <w:rPr>
        <w:b/>
        <w:color w:val="404040"/>
      </w:rPr>
    </w:tblStylePr>
    <w:tblStylePr w:type="band1Vert">
      <w:pPr>
        <w:snapToGrid/>
      </w:pPr>
    </w:tblStylePr>
    <w:tblStylePr w:type="band2Vert">
      <w:pPr>
        <w:snapToGrid/>
      </w:pPr>
    </w:tblStylePr>
    <w:tblStylePr w:type="band1Horz">
      <w:pPr>
        <w:snapToGrid/>
      </w:pPr>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1Light-Accent6">
    <w:name w:val="Grid Table 1 Light - Accent 6"/>
    <w:basedOn w:val="a1"/>
    <w:uiPriority w:val="99"/>
    <w:qFormat/>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pPr>
        <w:snapToGrid/>
      </w:pPr>
      <w:rPr>
        <w:b/>
        <w:color w:val="404040"/>
      </w:rPr>
      <w:tblPr/>
      <w:tcPr>
        <w:tcBorders>
          <w:bottom w:val="single" w:sz="12" w:space="0" w:color="FAC192" w:themeColor="accent6" w:themeTint="95"/>
        </w:tcBorders>
      </w:tcPr>
    </w:tblStylePr>
    <w:tblStylePr w:type="lastRow">
      <w:pPr>
        <w:snapToGrid/>
      </w:pPr>
      <w:rPr>
        <w:b/>
        <w:color w:val="404040"/>
      </w:rPr>
    </w:tblStylePr>
    <w:tblStylePr w:type="firstCol">
      <w:pPr>
        <w:snapToGrid/>
      </w:pPr>
      <w:rPr>
        <w:b/>
        <w:color w:val="404040"/>
      </w:rPr>
    </w:tblStylePr>
    <w:tblStylePr w:type="lastCol">
      <w:pPr>
        <w:snapToGrid/>
      </w:pPr>
      <w:rPr>
        <w:b/>
        <w:color w:val="404040"/>
      </w:rPr>
    </w:tblStylePr>
    <w:tblStylePr w:type="band1Vert">
      <w:pPr>
        <w:snapToGrid/>
      </w:pPr>
    </w:tblStylePr>
    <w:tblStylePr w:type="band2Vert">
      <w:pPr>
        <w:snapToGrid/>
      </w:pPr>
    </w:tblStylePr>
    <w:tblStylePr w:type="band1Horz">
      <w:pPr>
        <w:snapToGrid/>
      </w:pPr>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211">
    <w:name w:val="网格表 21"/>
    <w:basedOn w:val="a1"/>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pPr>
        <w:snapToGrid/>
      </w:pPr>
      <w:rPr>
        <w:b/>
        <w:color w:val="404040"/>
      </w:rPr>
      <w:tblPr/>
      <w:tcPr>
        <w:tcBorders>
          <w:top w:val="nil"/>
          <w:left w:val="nil"/>
          <w:bottom w:val="single" w:sz="12" w:space="0" w:color="6A6A6A" w:themeColor="text1" w:themeTint="95"/>
          <w:right w:val="nil"/>
        </w:tcBorders>
        <w:shd w:val="clear" w:color="auto" w:fill="FFFFFF"/>
      </w:tcPr>
    </w:tblStylePr>
    <w:tblStylePr w:type="lastRow">
      <w:pPr>
        <w:snapToGrid/>
      </w:pPr>
      <w:rPr>
        <w:b/>
        <w:color w:val="404040"/>
      </w:rPr>
      <w:tblPr/>
      <w:tcPr>
        <w:tcBorders>
          <w:top w:val="single" w:sz="4" w:space="0" w:color="6A6A6A" w:themeColor="text1" w:themeTint="95"/>
          <w:left w:val="nil"/>
          <w:bottom w:val="nil"/>
          <w:right w:val="nil"/>
        </w:tcBorders>
        <w:shd w:val="clear" w:color="auto" w:fill="FFFFFF"/>
      </w:tc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blPr/>
      <w:tcPr>
        <w:shd w:val="clear" w:color="auto" w:fill="CBCBCB" w:themeFill="text1" w:themeFillTint="34"/>
      </w:tcPr>
    </w:tblStylePr>
    <w:tblStylePr w:type="band2Vert">
      <w:pPr>
        <w:snapToGrid/>
      </w:pPr>
    </w:tblStylePr>
    <w:tblStylePr w:type="band1Horz">
      <w:pPr>
        <w:snapToGrid/>
      </w:pPr>
      <w:rPr>
        <w:rFonts w:ascii="Arial" w:hAnsi="Arial"/>
        <w:color w:val="404040"/>
        <w:sz w:val="22"/>
      </w:rPr>
      <w:tblPr/>
      <w:tcPr>
        <w:shd w:val="clear" w:color="auto" w:fill="CBCBCB" w:themeFill="text1" w:themeFillTint="34"/>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2-Accent1">
    <w:name w:val="Grid Table 2 - Accent 1"/>
    <w:basedOn w:val="a1"/>
    <w:uiPriority w:val="99"/>
    <w:qFormat/>
    <w:tblPr>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pPr>
        <w:snapToGrid/>
      </w:pPr>
      <w:rPr>
        <w:b/>
        <w:color w:val="404040"/>
      </w:rPr>
      <w:tblPr/>
      <w:tcPr>
        <w:tcBorders>
          <w:top w:val="nil"/>
          <w:left w:val="nil"/>
          <w:bottom w:val="single" w:sz="12" w:space="0" w:color="5D8AC2" w:themeColor="accent1" w:themeTint="EA"/>
          <w:right w:val="nil"/>
        </w:tcBorders>
        <w:shd w:val="clear" w:color="auto" w:fill="FFFFFF"/>
      </w:tcPr>
    </w:tblStylePr>
    <w:tblStylePr w:type="lastRow">
      <w:pPr>
        <w:snapToGrid/>
      </w:pPr>
      <w:rPr>
        <w:b/>
        <w:color w:val="404040"/>
      </w:rPr>
      <w:tblPr/>
      <w:tcPr>
        <w:tcBorders>
          <w:top w:val="single" w:sz="4" w:space="0" w:color="5D8AC2" w:themeColor="accent1" w:themeTint="EA"/>
          <w:left w:val="nil"/>
          <w:bottom w:val="nil"/>
          <w:right w:val="nil"/>
        </w:tcBorders>
        <w:shd w:val="clear" w:color="auto" w:fill="FFFFFF"/>
      </w:tc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blPr/>
      <w:tcPr>
        <w:shd w:val="clear" w:color="auto" w:fill="DAE5F1" w:themeFill="accent1" w:themeFillTint="34"/>
      </w:tcPr>
    </w:tblStylePr>
    <w:tblStylePr w:type="band2Vert">
      <w:pPr>
        <w:snapToGrid/>
      </w:pPr>
    </w:tblStylePr>
    <w:tblStylePr w:type="band1Horz">
      <w:pPr>
        <w:snapToGrid/>
      </w:pPr>
      <w:rPr>
        <w:rFonts w:ascii="Arial" w:hAnsi="Arial"/>
        <w:color w:val="404040"/>
        <w:sz w:val="22"/>
      </w:rPr>
      <w:tblPr/>
      <w:tcPr>
        <w:shd w:val="clear" w:color="auto" w:fill="DAE5F1" w:themeFill="accent1" w:themeFillTint="34"/>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2-Accent2">
    <w:name w:val="Grid Table 2 - Accent 2"/>
    <w:basedOn w:val="a1"/>
    <w:uiPriority w:val="99"/>
    <w:qFormat/>
    <w:tblPr>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pPr>
        <w:snapToGrid/>
      </w:pPr>
      <w:rPr>
        <w:b/>
        <w:color w:val="404040"/>
      </w:rPr>
      <w:tblPr/>
      <w:tcPr>
        <w:tcBorders>
          <w:top w:val="nil"/>
          <w:left w:val="nil"/>
          <w:bottom w:val="single" w:sz="12" w:space="0" w:color="D99695" w:themeColor="accent2" w:themeTint="97"/>
          <w:right w:val="nil"/>
        </w:tcBorders>
        <w:shd w:val="clear" w:color="auto" w:fill="FFFFFF"/>
      </w:tcPr>
    </w:tblStylePr>
    <w:tblStylePr w:type="lastRow">
      <w:pPr>
        <w:snapToGrid/>
      </w:pPr>
      <w:rPr>
        <w:b/>
        <w:color w:val="404040"/>
      </w:rPr>
      <w:tblPr/>
      <w:tcPr>
        <w:tcBorders>
          <w:top w:val="single" w:sz="4" w:space="0" w:color="D99695" w:themeColor="accent2" w:themeTint="97"/>
          <w:left w:val="nil"/>
          <w:bottom w:val="nil"/>
          <w:right w:val="nil"/>
        </w:tcBorders>
        <w:shd w:val="clear" w:color="auto" w:fill="FFFFFF"/>
      </w:tc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blPr/>
      <w:tcPr>
        <w:shd w:val="clear" w:color="auto" w:fill="F2DCDC" w:themeFill="accent2" w:themeFillTint="32"/>
      </w:tcPr>
    </w:tblStylePr>
    <w:tblStylePr w:type="band2Vert">
      <w:pPr>
        <w:snapToGrid/>
      </w:pPr>
    </w:tblStylePr>
    <w:tblStylePr w:type="band1Horz">
      <w:pPr>
        <w:snapToGrid/>
      </w:pPr>
      <w:rPr>
        <w:rFonts w:ascii="Arial" w:hAnsi="Arial"/>
        <w:color w:val="404040"/>
        <w:sz w:val="22"/>
      </w:rPr>
      <w:tblPr/>
      <w:tcPr>
        <w:shd w:val="clear" w:color="auto" w:fill="F2DCDC" w:themeFill="accent2" w:themeFillTint="32"/>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2-Accent3">
    <w:name w:val="Grid Table 2 - Accent 3"/>
    <w:basedOn w:val="a1"/>
    <w:uiPriority w:val="99"/>
    <w:qFormat/>
    <w:tblPr>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pPr>
        <w:snapToGrid/>
      </w:pPr>
      <w:rPr>
        <w:b/>
        <w:color w:val="404040"/>
      </w:rPr>
      <w:tblPr/>
      <w:tcPr>
        <w:tcBorders>
          <w:top w:val="nil"/>
          <w:left w:val="nil"/>
          <w:bottom w:val="single" w:sz="12" w:space="0" w:color="9ABB59" w:themeColor="accent3" w:themeTint="FE"/>
          <w:right w:val="nil"/>
        </w:tcBorders>
        <w:shd w:val="clear" w:color="auto" w:fill="FFFFFF"/>
      </w:tcPr>
    </w:tblStylePr>
    <w:tblStylePr w:type="lastRow">
      <w:pPr>
        <w:snapToGrid/>
      </w:pPr>
      <w:rPr>
        <w:b/>
        <w:color w:val="404040"/>
      </w:rPr>
      <w:tblPr/>
      <w:tcPr>
        <w:tcBorders>
          <w:top w:val="single" w:sz="4" w:space="0" w:color="9ABB59" w:themeColor="accent3" w:themeTint="FE"/>
          <w:left w:val="nil"/>
          <w:bottom w:val="nil"/>
          <w:right w:val="nil"/>
        </w:tcBorders>
        <w:shd w:val="clear" w:color="auto" w:fill="FFFFFF"/>
      </w:tc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blPr/>
      <w:tcPr>
        <w:shd w:val="clear" w:color="auto" w:fill="EAF1DC" w:themeFill="accent3" w:themeFillTint="34"/>
      </w:tcPr>
    </w:tblStylePr>
    <w:tblStylePr w:type="band2Vert">
      <w:pPr>
        <w:snapToGrid/>
      </w:pPr>
    </w:tblStylePr>
    <w:tblStylePr w:type="band1Horz">
      <w:pPr>
        <w:snapToGrid/>
      </w:pPr>
      <w:rPr>
        <w:rFonts w:ascii="Arial" w:hAnsi="Arial"/>
        <w:color w:val="404040"/>
        <w:sz w:val="22"/>
      </w:rPr>
      <w:tblPr/>
      <w:tcPr>
        <w:shd w:val="clear" w:color="auto" w:fill="EAF1DC" w:themeFill="accent3" w:themeFillTint="34"/>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2-Accent4">
    <w:name w:val="Grid Table 2 - Accent 4"/>
    <w:basedOn w:val="a1"/>
    <w:uiPriority w:val="99"/>
    <w:qFormat/>
    <w:tblPr>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pPr>
        <w:snapToGrid/>
      </w:pPr>
      <w:rPr>
        <w:b/>
        <w:color w:val="404040"/>
      </w:rPr>
      <w:tblPr/>
      <w:tcPr>
        <w:tcBorders>
          <w:top w:val="nil"/>
          <w:left w:val="nil"/>
          <w:bottom w:val="single" w:sz="12" w:space="0" w:color="B2A1C6" w:themeColor="accent4" w:themeTint="9A"/>
          <w:right w:val="nil"/>
        </w:tcBorders>
        <w:shd w:val="clear" w:color="auto" w:fill="FFFFFF"/>
      </w:tcPr>
    </w:tblStylePr>
    <w:tblStylePr w:type="lastRow">
      <w:pPr>
        <w:snapToGrid/>
      </w:pPr>
      <w:rPr>
        <w:b/>
        <w:color w:val="404040"/>
      </w:rPr>
      <w:tblPr/>
      <w:tcPr>
        <w:tcBorders>
          <w:top w:val="single" w:sz="4" w:space="0" w:color="B2A1C6" w:themeColor="accent4" w:themeTint="9A"/>
          <w:left w:val="nil"/>
          <w:bottom w:val="nil"/>
          <w:right w:val="nil"/>
        </w:tcBorders>
        <w:shd w:val="clear" w:color="auto" w:fill="FFFFFF"/>
      </w:tc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blPr/>
      <w:tcPr>
        <w:shd w:val="clear" w:color="auto" w:fill="E5DFEC" w:themeFill="accent4" w:themeFillTint="34"/>
      </w:tcPr>
    </w:tblStylePr>
    <w:tblStylePr w:type="band2Vert">
      <w:pPr>
        <w:snapToGrid/>
      </w:pPr>
    </w:tblStylePr>
    <w:tblStylePr w:type="band1Horz">
      <w:pPr>
        <w:snapToGrid/>
      </w:pPr>
      <w:rPr>
        <w:rFonts w:ascii="Arial" w:hAnsi="Arial"/>
        <w:color w:val="404040"/>
        <w:sz w:val="22"/>
      </w:rPr>
      <w:tblPr/>
      <w:tcPr>
        <w:shd w:val="clear" w:color="auto" w:fill="E5DFEC" w:themeFill="accent4" w:themeFillTint="34"/>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2-Accent5">
    <w:name w:val="Grid Table 2 - Accent 5"/>
    <w:basedOn w:val="a1"/>
    <w:uiPriority w:val="99"/>
    <w:qFormat/>
    <w:tblPr>
      <w:tblBorders>
        <w:bottom w:val="single" w:sz="4" w:space="0" w:color="4BACC6" w:themeColor="accent5"/>
        <w:insideH w:val="single" w:sz="4" w:space="0" w:color="4BACC6" w:themeColor="accent5"/>
        <w:insideV w:val="single" w:sz="4" w:space="0" w:color="4BACC6" w:themeColor="accent5"/>
      </w:tblBorders>
    </w:tblPr>
    <w:tblStylePr w:type="firstRow">
      <w:pPr>
        <w:snapToGrid/>
      </w:pPr>
      <w:rPr>
        <w:b/>
        <w:color w:val="404040"/>
      </w:rPr>
      <w:tblPr/>
      <w:tcPr>
        <w:tcBorders>
          <w:top w:val="nil"/>
          <w:left w:val="nil"/>
          <w:bottom w:val="single" w:sz="12" w:space="0" w:color="4BACC6" w:themeColor="accent5"/>
          <w:right w:val="nil"/>
        </w:tcBorders>
        <w:shd w:val="clear" w:color="auto" w:fill="FFFFFF"/>
      </w:tcPr>
    </w:tblStylePr>
    <w:tblStylePr w:type="lastRow">
      <w:pPr>
        <w:snapToGrid/>
      </w:pPr>
      <w:rPr>
        <w:b/>
        <w:color w:val="404040"/>
      </w:rPr>
      <w:tblPr/>
      <w:tcPr>
        <w:tcBorders>
          <w:top w:val="single" w:sz="4" w:space="0" w:color="4BACC6" w:themeColor="accent5"/>
          <w:left w:val="nil"/>
          <w:bottom w:val="nil"/>
          <w:right w:val="nil"/>
        </w:tcBorders>
        <w:shd w:val="clear" w:color="auto" w:fill="FFFFFF"/>
      </w:tc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blPr/>
      <w:tcPr>
        <w:shd w:val="clear" w:color="auto" w:fill="DAEEF3" w:themeFill="accent5" w:themeFillTint="34"/>
      </w:tcPr>
    </w:tblStylePr>
    <w:tblStylePr w:type="band2Vert">
      <w:pPr>
        <w:snapToGrid/>
      </w:pPr>
    </w:tblStylePr>
    <w:tblStylePr w:type="band1Horz">
      <w:pPr>
        <w:snapToGrid/>
      </w:pPr>
      <w:rPr>
        <w:rFonts w:ascii="Arial" w:hAnsi="Arial"/>
        <w:color w:val="404040"/>
        <w:sz w:val="22"/>
      </w:rPr>
      <w:tblPr/>
      <w:tcPr>
        <w:shd w:val="clear" w:color="auto" w:fill="DAEEF3" w:themeFill="accent5" w:themeFillTint="34"/>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2-Accent6">
    <w:name w:val="Grid Table 2 - Accent 6"/>
    <w:basedOn w:val="a1"/>
    <w:uiPriority w:val="99"/>
    <w:qFormat/>
    <w:tblPr>
      <w:tblBorders>
        <w:bottom w:val="single" w:sz="4" w:space="0" w:color="F79646" w:themeColor="accent6"/>
        <w:insideH w:val="single" w:sz="4" w:space="0" w:color="F79646" w:themeColor="accent6"/>
        <w:insideV w:val="single" w:sz="4" w:space="0" w:color="F79646" w:themeColor="accent6"/>
      </w:tblBorders>
    </w:tblPr>
    <w:tblStylePr w:type="firstRow">
      <w:pPr>
        <w:snapToGrid/>
      </w:pPr>
      <w:rPr>
        <w:b/>
        <w:color w:val="404040"/>
      </w:rPr>
      <w:tblPr/>
      <w:tcPr>
        <w:tcBorders>
          <w:top w:val="nil"/>
          <w:left w:val="nil"/>
          <w:bottom w:val="single" w:sz="12" w:space="0" w:color="F79646" w:themeColor="accent6"/>
          <w:right w:val="nil"/>
        </w:tcBorders>
        <w:shd w:val="clear" w:color="auto" w:fill="FFFFFF"/>
      </w:tcPr>
    </w:tblStylePr>
    <w:tblStylePr w:type="lastRow">
      <w:pPr>
        <w:snapToGrid/>
      </w:pPr>
      <w:rPr>
        <w:b/>
        <w:color w:val="404040"/>
      </w:rPr>
      <w:tblPr/>
      <w:tcPr>
        <w:tcBorders>
          <w:top w:val="single" w:sz="4" w:space="0" w:color="F79646" w:themeColor="accent6"/>
          <w:left w:val="nil"/>
          <w:bottom w:val="nil"/>
          <w:right w:val="nil"/>
        </w:tcBorders>
        <w:shd w:val="clear" w:color="auto" w:fill="FFFFFF"/>
      </w:tc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blPr/>
      <w:tcPr>
        <w:shd w:val="clear" w:color="auto" w:fill="FDE9D8" w:themeFill="accent6" w:themeFillTint="34"/>
      </w:tcPr>
    </w:tblStylePr>
    <w:tblStylePr w:type="band2Vert">
      <w:pPr>
        <w:snapToGrid/>
      </w:pPr>
    </w:tblStylePr>
    <w:tblStylePr w:type="band1Horz">
      <w:pPr>
        <w:snapToGrid/>
      </w:pPr>
      <w:rPr>
        <w:rFonts w:ascii="Arial" w:hAnsi="Arial"/>
        <w:color w:val="404040"/>
        <w:sz w:val="22"/>
      </w:rPr>
      <w:tblPr/>
      <w:tcPr>
        <w:shd w:val="clear" w:color="auto" w:fill="FDE9D8" w:themeFill="accent6" w:themeFillTint="34"/>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311">
    <w:name w:val="网格表 31"/>
    <w:basedOn w:val="a1"/>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pPr>
        <w:snapToGrid/>
      </w:pPr>
      <w:rPr>
        <w:b/>
        <w:color w:val="404040"/>
      </w:rPr>
      <w:tblPr/>
      <w:tcPr>
        <w:tcBorders>
          <w:top w:val="nil"/>
          <w:left w:val="nil"/>
          <w:bottom w:val="nil"/>
          <w:right w:val="nil"/>
        </w:tcBorders>
        <w:shd w:val="clear" w:color="auto" w:fill="FFFFFF"/>
      </w:tcPr>
    </w:tblStylePr>
    <w:tblStylePr w:type="lastRow">
      <w:pPr>
        <w:snapToGrid/>
      </w:pPr>
      <w:rPr>
        <w:b/>
        <w:color w:val="404040"/>
      </w:rPr>
      <w:tblPr/>
      <w:tcPr>
        <w:tcBorders>
          <w:top w:val="nil"/>
          <w:left w:val="nil"/>
          <w:bottom w:val="nil"/>
          <w:right w:val="nil"/>
        </w:tcBorders>
        <w:shd w:val="clear" w:color="auto" w:fill="FFFFFF"/>
      </w:tcPr>
    </w:tblStylePr>
    <w:tblStylePr w:type="firstCol">
      <w:pPr>
        <w:snapToGrid/>
        <w:jc w:val="right"/>
      </w:pPr>
      <w:rPr>
        <w:i/>
        <w:color w:val="404040"/>
      </w:rPr>
      <w:tblPr/>
      <w:tcPr>
        <w:tcBorders>
          <w:top w:val="nil"/>
          <w:left w:val="nil"/>
          <w:bottom w:val="nil"/>
          <w:right w:val="nil"/>
        </w:tcBorders>
        <w:shd w:val="clear" w:color="auto" w:fill="FFFFFF"/>
      </w:tcPr>
    </w:tblStylePr>
    <w:tblStylePr w:type="lastCol">
      <w:pPr>
        <w:snapToGrid/>
      </w:pPr>
      <w:rPr>
        <w:i/>
        <w:color w:val="404040"/>
      </w:rPr>
      <w:tblPr/>
      <w:tcPr>
        <w:tcBorders>
          <w:top w:val="nil"/>
          <w:left w:val="nil"/>
          <w:bottom w:val="nil"/>
          <w:right w:val="nil"/>
        </w:tcBorders>
        <w:shd w:val="clear" w:color="auto" w:fill="FFFFFF"/>
      </w:tcPr>
    </w:tblStylePr>
    <w:tblStylePr w:type="band1Vert">
      <w:pPr>
        <w:snapToGrid/>
      </w:pPr>
      <w:rPr>
        <w:rFonts w:ascii="Arial" w:hAnsi="Arial"/>
        <w:color w:val="404040"/>
        <w:sz w:val="22"/>
      </w:rPr>
      <w:tblPr/>
      <w:tcPr>
        <w:shd w:val="clear" w:color="auto" w:fill="CBCBCB" w:themeFill="text1" w:themeFillTint="34"/>
      </w:tcPr>
    </w:tblStylePr>
    <w:tblStylePr w:type="band2Vert">
      <w:pPr>
        <w:snapToGrid/>
      </w:pPr>
    </w:tblStylePr>
    <w:tblStylePr w:type="band1Horz">
      <w:pPr>
        <w:snapToGrid/>
      </w:pPr>
      <w:rPr>
        <w:rFonts w:ascii="Arial" w:hAnsi="Arial"/>
        <w:color w:val="404040"/>
        <w:sz w:val="22"/>
      </w:rPr>
      <w:tblPr/>
      <w:tcPr>
        <w:shd w:val="clear" w:color="auto" w:fill="CBCBCB" w:themeFill="text1" w:themeFillTint="34"/>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3-Accent1">
    <w:name w:val="Grid Table 3 - Accent 1"/>
    <w:basedOn w:val="a1"/>
    <w:uiPriority w:val="99"/>
    <w:qFormat/>
    <w:tblPr>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pPr>
        <w:snapToGrid/>
      </w:pPr>
      <w:rPr>
        <w:b/>
        <w:color w:val="404040"/>
      </w:rPr>
      <w:tblPr/>
      <w:tcPr>
        <w:tcBorders>
          <w:top w:val="nil"/>
          <w:left w:val="nil"/>
          <w:bottom w:val="nil"/>
          <w:right w:val="nil"/>
        </w:tcBorders>
        <w:shd w:val="clear" w:color="auto" w:fill="FFFFFF"/>
      </w:tcPr>
    </w:tblStylePr>
    <w:tblStylePr w:type="lastRow">
      <w:pPr>
        <w:snapToGrid/>
      </w:pPr>
      <w:rPr>
        <w:b/>
        <w:color w:val="404040"/>
      </w:rPr>
      <w:tblPr/>
      <w:tcPr>
        <w:tcBorders>
          <w:top w:val="nil"/>
          <w:left w:val="nil"/>
          <w:bottom w:val="nil"/>
          <w:right w:val="nil"/>
        </w:tcBorders>
        <w:shd w:val="clear" w:color="auto" w:fill="FFFFFF"/>
      </w:tcPr>
    </w:tblStylePr>
    <w:tblStylePr w:type="firstCol">
      <w:pPr>
        <w:snapToGrid/>
        <w:jc w:val="right"/>
      </w:pPr>
      <w:rPr>
        <w:i/>
        <w:color w:val="404040"/>
      </w:rPr>
      <w:tblPr/>
      <w:tcPr>
        <w:tcBorders>
          <w:top w:val="nil"/>
          <w:left w:val="nil"/>
          <w:bottom w:val="nil"/>
          <w:right w:val="nil"/>
        </w:tcBorders>
        <w:shd w:val="clear" w:color="auto" w:fill="FFFFFF"/>
      </w:tcPr>
    </w:tblStylePr>
    <w:tblStylePr w:type="lastCol">
      <w:pPr>
        <w:snapToGrid/>
      </w:pPr>
      <w:rPr>
        <w:i/>
        <w:color w:val="404040"/>
      </w:rPr>
      <w:tblPr/>
      <w:tcPr>
        <w:tcBorders>
          <w:top w:val="nil"/>
          <w:left w:val="nil"/>
          <w:bottom w:val="nil"/>
          <w:right w:val="nil"/>
        </w:tcBorders>
        <w:shd w:val="clear" w:color="auto" w:fill="FFFFFF"/>
      </w:tcPr>
    </w:tblStylePr>
    <w:tblStylePr w:type="band1Vert">
      <w:pPr>
        <w:snapToGrid/>
      </w:pPr>
      <w:rPr>
        <w:rFonts w:ascii="Arial" w:hAnsi="Arial"/>
        <w:color w:val="404040"/>
        <w:sz w:val="22"/>
      </w:rPr>
      <w:tblPr/>
      <w:tcPr>
        <w:shd w:val="clear" w:color="auto" w:fill="DAE5F1" w:themeFill="accent1" w:themeFillTint="34"/>
      </w:tcPr>
    </w:tblStylePr>
    <w:tblStylePr w:type="band2Vert">
      <w:pPr>
        <w:snapToGrid/>
      </w:pPr>
    </w:tblStylePr>
    <w:tblStylePr w:type="band1Horz">
      <w:pPr>
        <w:snapToGrid/>
      </w:pPr>
      <w:rPr>
        <w:rFonts w:ascii="Arial" w:hAnsi="Arial"/>
        <w:color w:val="404040"/>
        <w:sz w:val="22"/>
      </w:rPr>
      <w:tblPr/>
      <w:tcPr>
        <w:shd w:val="clear" w:color="auto" w:fill="DAE5F1" w:themeFill="accent1" w:themeFillTint="34"/>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3-Accent2">
    <w:name w:val="Grid Table 3 - Accent 2"/>
    <w:basedOn w:val="a1"/>
    <w:uiPriority w:val="99"/>
    <w:qFormat/>
    <w:tblPr>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pPr>
        <w:snapToGrid/>
      </w:pPr>
      <w:rPr>
        <w:b/>
        <w:color w:val="404040"/>
      </w:rPr>
      <w:tblPr/>
      <w:tcPr>
        <w:tcBorders>
          <w:top w:val="nil"/>
          <w:left w:val="nil"/>
          <w:bottom w:val="nil"/>
          <w:right w:val="nil"/>
        </w:tcBorders>
        <w:shd w:val="clear" w:color="auto" w:fill="FFFFFF"/>
      </w:tcPr>
    </w:tblStylePr>
    <w:tblStylePr w:type="lastRow">
      <w:pPr>
        <w:snapToGrid/>
      </w:pPr>
      <w:rPr>
        <w:b/>
        <w:color w:val="404040"/>
      </w:rPr>
      <w:tblPr/>
      <w:tcPr>
        <w:tcBorders>
          <w:top w:val="nil"/>
          <w:left w:val="nil"/>
          <w:bottom w:val="nil"/>
          <w:right w:val="nil"/>
        </w:tcBorders>
        <w:shd w:val="clear" w:color="auto" w:fill="FFFFFF"/>
      </w:tcPr>
    </w:tblStylePr>
    <w:tblStylePr w:type="firstCol">
      <w:pPr>
        <w:snapToGrid/>
        <w:jc w:val="right"/>
      </w:pPr>
      <w:rPr>
        <w:i/>
        <w:color w:val="404040"/>
      </w:rPr>
      <w:tblPr/>
      <w:tcPr>
        <w:tcBorders>
          <w:top w:val="nil"/>
          <w:left w:val="nil"/>
          <w:bottom w:val="nil"/>
          <w:right w:val="nil"/>
        </w:tcBorders>
        <w:shd w:val="clear" w:color="auto" w:fill="FFFFFF"/>
      </w:tcPr>
    </w:tblStylePr>
    <w:tblStylePr w:type="lastCol">
      <w:pPr>
        <w:snapToGrid/>
      </w:pPr>
      <w:rPr>
        <w:i/>
        <w:color w:val="404040"/>
      </w:rPr>
      <w:tblPr/>
      <w:tcPr>
        <w:tcBorders>
          <w:top w:val="nil"/>
          <w:left w:val="nil"/>
          <w:bottom w:val="nil"/>
          <w:right w:val="nil"/>
        </w:tcBorders>
        <w:shd w:val="clear" w:color="auto" w:fill="FFFFFF"/>
      </w:tcPr>
    </w:tblStylePr>
    <w:tblStylePr w:type="band1Vert">
      <w:pPr>
        <w:snapToGrid/>
      </w:pPr>
      <w:rPr>
        <w:rFonts w:ascii="Arial" w:hAnsi="Arial"/>
        <w:color w:val="404040"/>
        <w:sz w:val="22"/>
      </w:rPr>
      <w:tblPr/>
      <w:tcPr>
        <w:shd w:val="clear" w:color="auto" w:fill="F2DCDC" w:themeFill="accent2" w:themeFillTint="32"/>
      </w:tcPr>
    </w:tblStylePr>
    <w:tblStylePr w:type="band2Vert">
      <w:pPr>
        <w:snapToGrid/>
      </w:pPr>
    </w:tblStylePr>
    <w:tblStylePr w:type="band1Horz">
      <w:pPr>
        <w:snapToGrid/>
      </w:pPr>
      <w:rPr>
        <w:rFonts w:ascii="Arial" w:hAnsi="Arial"/>
        <w:color w:val="404040"/>
        <w:sz w:val="22"/>
      </w:rPr>
      <w:tblPr/>
      <w:tcPr>
        <w:shd w:val="clear" w:color="auto" w:fill="F2DCDC" w:themeFill="accent2" w:themeFillTint="32"/>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3-Accent3">
    <w:name w:val="Grid Table 3 - Accent 3"/>
    <w:basedOn w:val="a1"/>
    <w:uiPriority w:val="99"/>
    <w:qFormat/>
    <w:tblPr>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pPr>
        <w:snapToGrid/>
      </w:pPr>
      <w:rPr>
        <w:b/>
        <w:color w:val="404040"/>
      </w:rPr>
      <w:tblPr/>
      <w:tcPr>
        <w:tcBorders>
          <w:top w:val="nil"/>
          <w:left w:val="nil"/>
          <w:bottom w:val="nil"/>
          <w:right w:val="nil"/>
        </w:tcBorders>
        <w:shd w:val="clear" w:color="auto" w:fill="FFFFFF"/>
      </w:tcPr>
    </w:tblStylePr>
    <w:tblStylePr w:type="lastRow">
      <w:pPr>
        <w:snapToGrid/>
      </w:pPr>
      <w:rPr>
        <w:b/>
        <w:color w:val="404040"/>
      </w:rPr>
      <w:tblPr/>
      <w:tcPr>
        <w:tcBorders>
          <w:top w:val="nil"/>
          <w:left w:val="nil"/>
          <w:bottom w:val="nil"/>
          <w:right w:val="nil"/>
        </w:tcBorders>
        <w:shd w:val="clear" w:color="auto" w:fill="FFFFFF"/>
      </w:tcPr>
    </w:tblStylePr>
    <w:tblStylePr w:type="firstCol">
      <w:pPr>
        <w:snapToGrid/>
        <w:jc w:val="right"/>
      </w:pPr>
      <w:rPr>
        <w:i/>
        <w:color w:val="404040"/>
      </w:rPr>
      <w:tblPr/>
      <w:tcPr>
        <w:tcBorders>
          <w:top w:val="nil"/>
          <w:left w:val="nil"/>
          <w:bottom w:val="nil"/>
          <w:right w:val="nil"/>
        </w:tcBorders>
        <w:shd w:val="clear" w:color="auto" w:fill="FFFFFF"/>
      </w:tcPr>
    </w:tblStylePr>
    <w:tblStylePr w:type="lastCol">
      <w:pPr>
        <w:snapToGrid/>
      </w:pPr>
      <w:rPr>
        <w:i/>
        <w:color w:val="404040"/>
      </w:rPr>
      <w:tblPr/>
      <w:tcPr>
        <w:tcBorders>
          <w:top w:val="nil"/>
          <w:left w:val="nil"/>
          <w:bottom w:val="nil"/>
          <w:right w:val="nil"/>
        </w:tcBorders>
        <w:shd w:val="clear" w:color="auto" w:fill="FFFFFF"/>
      </w:tcPr>
    </w:tblStylePr>
    <w:tblStylePr w:type="band1Vert">
      <w:pPr>
        <w:snapToGrid/>
      </w:pPr>
      <w:rPr>
        <w:rFonts w:ascii="Arial" w:hAnsi="Arial"/>
        <w:color w:val="404040"/>
        <w:sz w:val="22"/>
      </w:rPr>
      <w:tblPr/>
      <w:tcPr>
        <w:shd w:val="clear" w:color="auto" w:fill="EAF1DC" w:themeFill="accent3" w:themeFillTint="34"/>
      </w:tcPr>
    </w:tblStylePr>
    <w:tblStylePr w:type="band2Vert">
      <w:pPr>
        <w:snapToGrid/>
      </w:pPr>
    </w:tblStylePr>
    <w:tblStylePr w:type="band1Horz">
      <w:pPr>
        <w:snapToGrid/>
      </w:pPr>
      <w:rPr>
        <w:rFonts w:ascii="Arial" w:hAnsi="Arial"/>
        <w:color w:val="404040"/>
        <w:sz w:val="22"/>
      </w:rPr>
      <w:tblPr/>
      <w:tcPr>
        <w:shd w:val="clear" w:color="auto" w:fill="EAF1DC" w:themeFill="accent3" w:themeFillTint="34"/>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3-Accent4">
    <w:name w:val="Grid Table 3 - Accent 4"/>
    <w:basedOn w:val="a1"/>
    <w:uiPriority w:val="99"/>
    <w:qFormat/>
    <w:tblPr>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pPr>
        <w:snapToGrid/>
      </w:pPr>
      <w:rPr>
        <w:b/>
        <w:color w:val="404040"/>
      </w:rPr>
      <w:tblPr/>
      <w:tcPr>
        <w:tcBorders>
          <w:top w:val="nil"/>
          <w:left w:val="nil"/>
          <w:bottom w:val="nil"/>
          <w:right w:val="nil"/>
        </w:tcBorders>
        <w:shd w:val="clear" w:color="auto" w:fill="FFFFFF"/>
      </w:tcPr>
    </w:tblStylePr>
    <w:tblStylePr w:type="lastRow">
      <w:pPr>
        <w:snapToGrid/>
      </w:pPr>
      <w:rPr>
        <w:b/>
        <w:color w:val="404040"/>
      </w:rPr>
      <w:tblPr/>
      <w:tcPr>
        <w:tcBorders>
          <w:top w:val="nil"/>
          <w:left w:val="nil"/>
          <w:bottom w:val="nil"/>
          <w:right w:val="nil"/>
        </w:tcBorders>
        <w:shd w:val="clear" w:color="auto" w:fill="FFFFFF"/>
      </w:tcPr>
    </w:tblStylePr>
    <w:tblStylePr w:type="firstCol">
      <w:pPr>
        <w:snapToGrid/>
        <w:jc w:val="right"/>
      </w:pPr>
      <w:rPr>
        <w:i/>
        <w:color w:val="404040"/>
      </w:rPr>
      <w:tblPr/>
      <w:tcPr>
        <w:tcBorders>
          <w:top w:val="nil"/>
          <w:left w:val="nil"/>
          <w:bottom w:val="nil"/>
          <w:right w:val="nil"/>
        </w:tcBorders>
        <w:shd w:val="clear" w:color="auto" w:fill="FFFFFF"/>
      </w:tcPr>
    </w:tblStylePr>
    <w:tblStylePr w:type="lastCol">
      <w:pPr>
        <w:snapToGrid/>
      </w:pPr>
      <w:rPr>
        <w:i/>
        <w:color w:val="404040"/>
      </w:rPr>
      <w:tblPr/>
      <w:tcPr>
        <w:tcBorders>
          <w:top w:val="nil"/>
          <w:left w:val="nil"/>
          <w:bottom w:val="nil"/>
          <w:right w:val="nil"/>
        </w:tcBorders>
        <w:shd w:val="clear" w:color="auto" w:fill="FFFFFF"/>
      </w:tcPr>
    </w:tblStylePr>
    <w:tblStylePr w:type="band1Vert">
      <w:pPr>
        <w:snapToGrid/>
      </w:pPr>
      <w:rPr>
        <w:rFonts w:ascii="Arial" w:hAnsi="Arial"/>
        <w:color w:val="404040"/>
        <w:sz w:val="22"/>
      </w:rPr>
      <w:tblPr/>
      <w:tcPr>
        <w:shd w:val="clear" w:color="auto" w:fill="E5DFEC" w:themeFill="accent4" w:themeFillTint="34"/>
      </w:tcPr>
    </w:tblStylePr>
    <w:tblStylePr w:type="band2Vert">
      <w:pPr>
        <w:snapToGrid/>
      </w:pPr>
    </w:tblStylePr>
    <w:tblStylePr w:type="band1Horz">
      <w:pPr>
        <w:snapToGrid/>
      </w:pPr>
      <w:rPr>
        <w:rFonts w:ascii="Arial" w:hAnsi="Arial"/>
        <w:color w:val="404040"/>
        <w:sz w:val="22"/>
      </w:rPr>
      <w:tblPr/>
      <w:tcPr>
        <w:shd w:val="clear" w:color="auto" w:fill="E5DFEC" w:themeFill="accent4" w:themeFillTint="34"/>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3-Accent5">
    <w:name w:val="Grid Table 3 - Accent 5"/>
    <w:basedOn w:val="a1"/>
    <w:uiPriority w:val="99"/>
    <w:qFormat/>
    <w:tblPr>
      <w:tblBorders>
        <w:bottom w:val="single" w:sz="4" w:space="0" w:color="4BACC6" w:themeColor="accent5"/>
        <w:insideH w:val="single" w:sz="4" w:space="0" w:color="4BACC6" w:themeColor="accent5"/>
        <w:insideV w:val="single" w:sz="4" w:space="0" w:color="4BACC6" w:themeColor="accent5"/>
      </w:tblBorders>
    </w:tblPr>
    <w:tblStylePr w:type="firstRow">
      <w:pPr>
        <w:snapToGrid/>
      </w:pPr>
      <w:rPr>
        <w:b/>
        <w:color w:val="404040"/>
      </w:rPr>
      <w:tblPr/>
      <w:tcPr>
        <w:tcBorders>
          <w:top w:val="nil"/>
          <w:left w:val="nil"/>
          <w:bottom w:val="nil"/>
          <w:right w:val="nil"/>
        </w:tcBorders>
        <w:shd w:val="clear" w:color="auto" w:fill="FFFFFF"/>
      </w:tcPr>
    </w:tblStylePr>
    <w:tblStylePr w:type="lastRow">
      <w:pPr>
        <w:snapToGrid/>
      </w:pPr>
      <w:rPr>
        <w:b/>
        <w:color w:val="404040"/>
      </w:rPr>
      <w:tblPr/>
      <w:tcPr>
        <w:tcBorders>
          <w:top w:val="nil"/>
          <w:left w:val="nil"/>
          <w:bottom w:val="nil"/>
          <w:right w:val="nil"/>
        </w:tcBorders>
        <w:shd w:val="clear" w:color="auto" w:fill="FFFFFF"/>
      </w:tcPr>
    </w:tblStylePr>
    <w:tblStylePr w:type="firstCol">
      <w:pPr>
        <w:snapToGrid/>
        <w:jc w:val="right"/>
      </w:pPr>
      <w:rPr>
        <w:i/>
        <w:color w:val="404040"/>
      </w:rPr>
      <w:tblPr/>
      <w:tcPr>
        <w:tcBorders>
          <w:top w:val="nil"/>
          <w:left w:val="nil"/>
          <w:bottom w:val="nil"/>
          <w:right w:val="nil"/>
        </w:tcBorders>
        <w:shd w:val="clear" w:color="auto" w:fill="FFFFFF"/>
      </w:tcPr>
    </w:tblStylePr>
    <w:tblStylePr w:type="lastCol">
      <w:pPr>
        <w:snapToGrid/>
      </w:pPr>
      <w:rPr>
        <w:i/>
        <w:color w:val="404040"/>
      </w:rPr>
      <w:tblPr/>
      <w:tcPr>
        <w:tcBorders>
          <w:top w:val="nil"/>
          <w:left w:val="nil"/>
          <w:bottom w:val="nil"/>
          <w:right w:val="nil"/>
        </w:tcBorders>
        <w:shd w:val="clear" w:color="auto" w:fill="FFFFFF"/>
      </w:tcPr>
    </w:tblStylePr>
    <w:tblStylePr w:type="band1Vert">
      <w:pPr>
        <w:snapToGrid/>
      </w:pPr>
      <w:rPr>
        <w:rFonts w:ascii="Arial" w:hAnsi="Arial"/>
        <w:color w:val="404040"/>
        <w:sz w:val="22"/>
      </w:rPr>
      <w:tblPr/>
      <w:tcPr>
        <w:shd w:val="clear" w:color="auto" w:fill="DAEEF3" w:themeFill="accent5" w:themeFillTint="34"/>
      </w:tcPr>
    </w:tblStylePr>
    <w:tblStylePr w:type="band2Vert">
      <w:pPr>
        <w:snapToGrid/>
      </w:pPr>
    </w:tblStylePr>
    <w:tblStylePr w:type="band1Horz">
      <w:pPr>
        <w:snapToGrid/>
      </w:pPr>
      <w:rPr>
        <w:rFonts w:ascii="Arial" w:hAnsi="Arial"/>
        <w:color w:val="404040"/>
        <w:sz w:val="22"/>
      </w:rPr>
      <w:tblPr/>
      <w:tcPr>
        <w:shd w:val="clear" w:color="auto" w:fill="DAEEF3" w:themeFill="accent5" w:themeFillTint="34"/>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3-Accent6">
    <w:name w:val="Grid Table 3 - Accent 6"/>
    <w:basedOn w:val="a1"/>
    <w:uiPriority w:val="99"/>
    <w:qFormat/>
    <w:tblPr>
      <w:tblBorders>
        <w:bottom w:val="single" w:sz="4" w:space="0" w:color="F79646" w:themeColor="accent6"/>
        <w:insideH w:val="single" w:sz="4" w:space="0" w:color="F79646" w:themeColor="accent6"/>
        <w:insideV w:val="single" w:sz="4" w:space="0" w:color="F79646" w:themeColor="accent6"/>
      </w:tblBorders>
    </w:tblPr>
    <w:tblStylePr w:type="firstRow">
      <w:pPr>
        <w:snapToGrid/>
      </w:pPr>
      <w:rPr>
        <w:b/>
        <w:color w:val="404040"/>
      </w:rPr>
      <w:tblPr/>
      <w:tcPr>
        <w:tcBorders>
          <w:top w:val="nil"/>
          <w:left w:val="nil"/>
          <w:bottom w:val="nil"/>
          <w:right w:val="nil"/>
        </w:tcBorders>
        <w:shd w:val="clear" w:color="auto" w:fill="FFFFFF"/>
      </w:tcPr>
    </w:tblStylePr>
    <w:tblStylePr w:type="lastRow">
      <w:pPr>
        <w:snapToGrid/>
      </w:pPr>
      <w:rPr>
        <w:b/>
        <w:color w:val="404040"/>
      </w:rPr>
      <w:tblPr/>
      <w:tcPr>
        <w:tcBorders>
          <w:top w:val="nil"/>
          <w:left w:val="nil"/>
          <w:bottom w:val="nil"/>
          <w:right w:val="nil"/>
        </w:tcBorders>
        <w:shd w:val="clear" w:color="auto" w:fill="FFFFFF"/>
      </w:tcPr>
    </w:tblStylePr>
    <w:tblStylePr w:type="firstCol">
      <w:pPr>
        <w:snapToGrid/>
        <w:jc w:val="right"/>
      </w:pPr>
      <w:rPr>
        <w:i/>
        <w:color w:val="404040"/>
      </w:rPr>
      <w:tblPr/>
      <w:tcPr>
        <w:tcBorders>
          <w:top w:val="nil"/>
          <w:left w:val="nil"/>
          <w:bottom w:val="nil"/>
          <w:right w:val="nil"/>
        </w:tcBorders>
        <w:shd w:val="clear" w:color="auto" w:fill="FFFFFF"/>
      </w:tcPr>
    </w:tblStylePr>
    <w:tblStylePr w:type="lastCol">
      <w:pPr>
        <w:snapToGrid/>
      </w:pPr>
      <w:rPr>
        <w:i/>
        <w:color w:val="404040"/>
      </w:rPr>
      <w:tblPr/>
      <w:tcPr>
        <w:tcBorders>
          <w:top w:val="nil"/>
          <w:left w:val="nil"/>
          <w:bottom w:val="nil"/>
          <w:right w:val="nil"/>
        </w:tcBorders>
        <w:shd w:val="clear" w:color="auto" w:fill="FFFFFF"/>
      </w:tcPr>
    </w:tblStylePr>
    <w:tblStylePr w:type="band1Vert">
      <w:pPr>
        <w:snapToGrid/>
      </w:pPr>
      <w:rPr>
        <w:rFonts w:ascii="Arial" w:hAnsi="Arial"/>
        <w:color w:val="404040"/>
        <w:sz w:val="22"/>
      </w:rPr>
      <w:tblPr/>
      <w:tcPr>
        <w:shd w:val="clear" w:color="auto" w:fill="FDE9D8" w:themeFill="accent6" w:themeFillTint="34"/>
      </w:tcPr>
    </w:tblStylePr>
    <w:tblStylePr w:type="band2Vert">
      <w:pPr>
        <w:snapToGrid/>
      </w:pPr>
    </w:tblStylePr>
    <w:tblStylePr w:type="band1Horz">
      <w:pPr>
        <w:snapToGrid/>
      </w:pPr>
      <w:rPr>
        <w:rFonts w:ascii="Arial" w:hAnsi="Arial"/>
        <w:color w:val="404040"/>
        <w:sz w:val="22"/>
      </w:rPr>
      <w:tblPr/>
      <w:tcPr>
        <w:shd w:val="clear" w:color="auto" w:fill="FDE9D8" w:themeFill="accent6" w:themeFillTint="34"/>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411">
    <w:name w:val="网格表 41"/>
    <w:basedOn w:val="a1"/>
    <w:uiPriority w:val="59"/>
    <w:qFormat/>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pPr>
        <w:snapToGrid/>
      </w:pPr>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pPr>
        <w:snapToGrid/>
      </w:pPr>
      <w:rPr>
        <w:b/>
        <w:color w:val="404040"/>
      </w:rPr>
      <w:tblPr/>
      <w:tcPr>
        <w:tcBorders>
          <w:top w:val="single" w:sz="4" w:space="0" w:color="000000" w:themeColor="text1"/>
        </w:tcBorders>
      </w:tc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blPr/>
      <w:tcPr>
        <w:shd w:val="clear" w:color="auto" w:fill="CBCBCB" w:themeFill="text1" w:themeFillTint="34"/>
      </w:tcPr>
    </w:tblStylePr>
    <w:tblStylePr w:type="band2Vert">
      <w:pPr>
        <w:snapToGrid/>
      </w:pPr>
    </w:tblStylePr>
    <w:tblStylePr w:type="band1Horz">
      <w:pPr>
        <w:snapToGrid/>
      </w:pPr>
      <w:rPr>
        <w:rFonts w:ascii="Arial" w:hAnsi="Arial"/>
        <w:color w:val="404040"/>
        <w:sz w:val="22"/>
      </w:rPr>
      <w:tblPr/>
      <w:tcPr>
        <w:shd w:val="clear" w:color="auto" w:fill="CBCBCB" w:themeFill="text1" w:themeFillTint="34"/>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4-Accent1">
    <w:name w:val="Grid Table 4 - Accent 1"/>
    <w:basedOn w:val="a1"/>
    <w:uiPriority w:val="59"/>
    <w:qFormat/>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pPr>
        <w:snapToGrid/>
      </w:pPr>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pPr>
        <w:snapToGrid/>
      </w:pPr>
      <w:rPr>
        <w:b/>
        <w:color w:val="404040"/>
      </w:rPr>
      <w:tblPr/>
      <w:tcPr>
        <w:tcBorders>
          <w:top w:val="single" w:sz="4" w:space="0" w:color="5D8AC2" w:themeColor="accent1" w:themeTint="EA"/>
        </w:tcBorders>
      </w:tc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blPr/>
      <w:tcPr>
        <w:shd w:val="clear" w:color="auto" w:fill="DCE6F2" w:themeFill="accent1" w:themeFillTint="32"/>
      </w:tcPr>
    </w:tblStylePr>
    <w:tblStylePr w:type="band2Vert">
      <w:pPr>
        <w:snapToGrid/>
      </w:pPr>
    </w:tblStylePr>
    <w:tblStylePr w:type="band1Horz">
      <w:pPr>
        <w:snapToGrid/>
      </w:pPr>
      <w:rPr>
        <w:rFonts w:ascii="Arial" w:hAnsi="Arial"/>
        <w:color w:val="404040"/>
        <w:sz w:val="22"/>
      </w:rPr>
      <w:tblPr/>
      <w:tcPr>
        <w:shd w:val="clear" w:color="auto" w:fill="DCE6F2" w:themeFill="accent1" w:themeFillTint="32"/>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4-Accent2">
    <w:name w:val="Grid Table 4 - Accent 2"/>
    <w:basedOn w:val="a1"/>
    <w:uiPriority w:val="59"/>
    <w:qFormat/>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pPr>
        <w:snapToGrid/>
      </w:pPr>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pPr>
        <w:snapToGrid/>
      </w:pPr>
      <w:rPr>
        <w:b/>
        <w:color w:val="404040"/>
      </w:rPr>
      <w:tblPr/>
      <w:tcPr>
        <w:tcBorders>
          <w:top w:val="single" w:sz="4" w:space="0" w:color="D99695" w:themeColor="accent2" w:themeTint="97"/>
        </w:tcBorders>
      </w:tc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blPr/>
      <w:tcPr>
        <w:shd w:val="clear" w:color="auto" w:fill="F2DCDC" w:themeFill="accent2" w:themeFillTint="32"/>
      </w:tcPr>
    </w:tblStylePr>
    <w:tblStylePr w:type="band2Vert">
      <w:pPr>
        <w:snapToGrid/>
      </w:pPr>
    </w:tblStylePr>
    <w:tblStylePr w:type="band1Horz">
      <w:pPr>
        <w:snapToGrid/>
      </w:pPr>
      <w:rPr>
        <w:rFonts w:ascii="Arial" w:hAnsi="Arial"/>
        <w:color w:val="404040"/>
        <w:sz w:val="22"/>
      </w:rPr>
      <w:tblPr/>
      <w:tcPr>
        <w:shd w:val="clear" w:color="auto" w:fill="F2DCDC" w:themeFill="accent2" w:themeFillTint="32"/>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4-Accent3">
    <w:name w:val="Grid Table 4 - Accent 3"/>
    <w:basedOn w:val="a1"/>
    <w:uiPriority w:val="59"/>
    <w:qFormat/>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pPr>
        <w:snapToGrid/>
      </w:pPr>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pPr>
        <w:snapToGrid/>
      </w:pPr>
      <w:rPr>
        <w:b/>
        <w:color w:val="404040"/>
      </w:rPr>
      <w:tblPr/>
      <w:tcPr>
        <w:tcBorders>
          <w:top w:val="single" w:sz="4" w:space="0" w:color="9ABB59" w:themeColor="accent3" w:themeTint="FE"/>
        </w:tcBorders>
      </w:tc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blPr/>
      <w:tcPr>
        <w:shd w:val="clear" w:color="auto" w:fill="EAF1DC" w:themeFill="accent3" w:themeFillTint="34"/>
      </w:tcPr>
    </w:tblStylePr>
    <w:tblStylePr w:type="band2Vert">
      <w:pPr>
        <w:snapToGrid/>
      </w:pPr>
    </w:tblStylePr>
    <w:tblStylePr w:type="band1Horz">
      <w:pPr>
        <w:snapToGrid/>
      </w:pPr>
      <w:rPr>
        <w:rFonts w:ascii="Arial" w:hAnsi="Arial"/>
        <w:color w:val="404040"/>
        <w:sz w:val="22"/>
      </w:rPr>
      <w:tblPr/>
      <w:tcPr>
        <w:shd w:val="clear" w:color="auto" w:fill="EAF1DC" w:themeFill="accent3" w:themeFillTint="34"/>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4-Accent4">
    <w:name w:val="Grid Table 4 - Accent 4"/>
    <w:basedOn w:val="a1"/>
    <w:uiPriority w:val="59"/>
    <w:qFormat/>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pPr>
        <w:snapToGrid/>
      </w:pPr>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pPr>
        <w:snapToGrid/>
      </w:pPr>
      <w:rPr>
        <w:b/>
        <w:color w:val="404040"/>
      </w:rPr>
      <w:tblPr/>
      <w:tcPr>
        <w:tcBorders>
          <w:top w:val="single" w:sz="4" w:space="0" w:color="B2A1C6" w:themeColor="accent4" w:themeTint="9A"/>
        </w:tcBorders>
      </w:tc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blPr/>
      <w:tcPr>
        <w:shd w:val="clear" w:color="auto" w:fill="E5DFEC" w:themeFill="accent4" w:themeFillTint="34"/>
      </w:tcPr>
    </w:tblStylePr>
    <w:tblStylePr w:type="band2Vert">
      <w:pPr>
        <w:snapToGrid/>
      </w:pPr>
    </w:tblStylePr>
    <w:tblStylePr w:type="band1Horz">
      <w:pPr>
        <w:snapToGrid/>
      </w:pPr>
      <w:rPr>
        <w:rFonts w:ascii="Arial" w:hAnsi="Arial"/>
        <w:color w:val="404040"/>
        <w:sz w:val="22"/>
      </w:rPr>
      <w:tblPr/>
      <w:tcPr>
        <w:shd w:val="clear" w:color="auto" w:fill="E5DFEC" w:themeFill="accent4" w:themeFillTint="34"/>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4-Accent5">
    <w:name w:val="Grid Table 4 - Accent 5"/>
    <w:basedOn w:val="a1"/>
    <w:uiPriority w:val="59"/>
    <w:qFormat/>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pPr>
        <w:snapToGrid/>
      </w:pPr>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pPr>
        <w:snapToGrid/>
      </w:pPr>
      <w:rPr>
        <w:b/>
        <w:color w:val="404040"/>
      </w:rPr>
      <w:tblPr/>
      <w:tcPr>
        <w:tcBorders>
          <w:top w:val="single" w:sz="4" w:space="0" w:color="4BACC6" w:themeColor="accent5"/>
        </w:tcBorders>
      </w:tc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blPr/>
      <w:tcPr>
        <w:shd w:val="clear" w:color="auto" w:fill="DAEEF3" w:themeFill="accent5" w:themeFillTint="34"/>
      </w:tcPr>
    </w:tblStylePr>
    <w:tblStylePr w:type="band2Vert">
      <w:pPr>
        <w:snapToGrid/>
      </w:pPr>
    </w:tblStylePr>
    <w:tblStylePr w:type="band1Horz">
      <w:pPr>
        <w:snapToGrid/>
      </w:pPr>
      <w:rPr>
        <w:rFonts w:ascii="Arial" w:hAnsi="Arial"/>
        <w:color w:val="404040"/>
        <w:sz w:val="22"/>
      </w:rPr>
      <w:tblPr/>
      <w:tcPr>
        <w:shd w:val="clear" w:color="auto" w:fill="DAEEF3" w:themeFill="accent5" w:themeFillTint="34"/>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4-Accent6">
    <w:name w:val="Grid Table 4 - Accent 6"/>
    <w:basedOn w:val="a1"/>
    <w:uiPriority w:val="59"/>
    <w:qFormat/>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pPr>
        <w:snapToGrid/>
      </w:pPr>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pPr>
        <w:snapToGrid/>
      </w:pPr>
      <w:rPr>
        <w:b/>
        <w:color w:val="404040"/>
      </w:rPr>
      <w:tblPr/>
      <w:tcPr>
        <w:tcBorders>
          <w:top w:val="single" w:sz="4" w:space="0" w:color="F79646" w:themeColor="accent6"/>
        </w:tcBorders>
      </w:tc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blPr/>
      <w:tcPr>
        <w:shd w:val="clear" w:color="auto" w:fill="FDE9D8" w:themeFill="accent6" w:themeFillTint="34"/>
      </w:tcPr>
    </w:tblStylePr>
    <w:tblStylePr w:type="band2Vert">
      <w:pPr>
        <w:snapToGrid/>
      </w:pPr>
    </w:tblStylePr>
    <w:tblStylePr w:type="band1Horz">
      <w:pPr>
        <w:snapToGrid/>
      </w:pPr>
      <w:rPr>
        <w:rFonts w:ascii="Arial" w:hAnsi="Arial"/>
        <w:color w:val="404040"/>
        <w:sz w:val="22"/>
      </w:rPr>
      <w:tblPr/>
      <w:tcPr>
        <w:shd w:val="clear" w:color="auto" w:fill="FDE9D8" w:themeFill="accent6" w:themeFillTint="34"/>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511">
    <w:name w:val="网格表 5 深色1"/>
    <w:basedOn w:val="a1"/>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pPr>
        <w:snapToGrid/>
      </w:pPr>
      <w:rPr>
        <w:rFonts w:ascii="Arial" w:hAnsi="Arial"/>
        <w:b/>
        <w:color w:val="FFFFFF"/>
        <w:sz w:val="22"/>
      </w:rPr>
      <w:tblPr/>
      <w:tcPr>
        <w:shd w:val="clear" w:color="auto" w:fill="000000" w:themeFill="text1"/>
      </w:tcPr>
    </w:tblStylePr>
    <w:tblStylePr w:type="lastRow">
      <w:pPr>
        <w:snapToGrid/>
      </w:pPr>
      <w:rPr>
        <w:rFonts w:ascii="Arial" w:hAnsi="Arial"/>
        <w:b/>
        <w:color w:val="FFFFFF"/>
        <w:sz w:val="22"/>
      </w:rPr>
      <w:tblPr/>
      <w:tcPr>
        <w:tcBorders>
          <w:top w:val="single" w:sz="4" w:space="0" w:color="FFFFFF" w:themeColor="light1"/>
        </w:tcBorders>
        <w:shd w:val="clear" w:color="auto" w:fill="000000" w:themeFill="text1"/>
      </w:tcPr>
    </w:tblStylePr>
    <w:tblStylePr w:type="firstCol">
      <w:pPr>
        <w:snapToGrid/>
      </w:pPr>
      <w:rPr>
        <w:rFonts w:ascii="Arial" w:hAnsi="Arial"/>
        <w:b/>
        <w:color w:val="FFFFFF"/>
        <w:sz w:val="22"/>
      </w:rPr>
      <w:tblPr/>
      <w:tcPr>
        <w:shd w:val="clear" w:color="auto" w:fill="000000" w:themeFill="text1"/>
      </w:tcPr>
    </w:tblStylePr>
    <w:tblStylePr w:type="lastCol">
      <w:pPr>
        <w:snapToGrid/>
      </w:pPr>
      <w:rPr>
        <w:rFonts w:ascii="Arial" w:hAnsi="Arial"/>
        <w:b/>
        <w:color w:val="FFFFFF"/>
        <w:sz w:val="22"/>
      </w:rPr>
      <w:tblPr/>
      <w:tcPr>
        <w:shd w:val="clear" w:color="auto" w:fill="000000" w:themeFill="text1"/>
      </w:tcPr>
    </w:tblStylePr>
    <w:tblStylePr w:type="band1Vert">
      <w:pPr>
        <w:snapToGrid/>
      </w:pPr>
      <w:tblPr/>
      <w:tcPr>
        <w:shd w:val="clear" w:color="auto" w:fill="8A8A8A" w:themeFill="text1" w:themeFillTint="75"/>
      </w:tcPr>
    </w:tblStylePr>
    <w:tblStylePr w:type="band2Vert">
      <w:pPr>
        <w:snapToGrid/>
      </w:pPr>
    </w:tblStylePr>
    <w:tblStylePr w:type="band1Horz">
      <w:pPr>
        <w:snapToGrid/>
      </w:pPr>
      <w:tblPr/>
      <w:tcPr>
        <w:shd w:val="clear" w:color="auto" w:fill="8A8A8A" w:themeFill="text1" w:themeFillTint="75"/>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5Dark-Accent1">
    <w:name w:val="Grid Table 5 Dark- Accent 1"/>
    <w:basedOn w:val="a1"/>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pPr>
        <w:snapToGrid/>
      </w:pPr>
      <w:rPr>
        <w:rFonts w:ascii="Arial" w:hAnsi="Arial"/>
        <w:b/>
        <w:color w:val="FFFFFF"/>
        <w:sz w:val="22"/>
      </w:rPr>
      <w:tblPr/>
      <w:tcPr>
        <w:shd w:val="clear" w:color="auto" w:fill="4F81BD" w:themeFill="accent1"/>
      </w:tcPr>
    </w:tblStylePr>
    <w:tblStylePr w:type="lastRow">
      <w:pPr>
        <w:snapToGrid/>
      </w:pPr>
      <w:rPr>
        <w:rFonts w:ascii="Arial" w:hAnsi="Arial"/>
        <w:b/>
        <w:color w:val="FFFFFF"/>
        <w:sz w:val="22"/>
      </w:rPr>
      <w:tblPr/>
      <w:tcPr>
        <w:tcBorders>
          <w:top w:val="single" w:sz="4" w:space="0" w:color="FFFFFF" w:themeColor="light1"/>
        </w:tcBorders>
        <w:shd w:val="clear" w:color="auto" w:fill="4F81BD" w:themeFill="accent1"/>
      </w:tcPr>
    </w:tblStylePr>
    <w:tblStylePr w:type="firstCol">
      <w:pPr>
        <w:snapToGrid/>
      </w:pPr>
      <w:rPr>
        <w:rFonts w:ascii="Arial" w:hAnsi="Arial"/>
        <w:b/>
        <w:color w:val="FFFFFF"/>
        <w:sz w:val="22"/>
      </w:rPr>
      <w:tblPr/>
      <w:tcPr>
        <w:shd w:val="clear" w:color="auto" w:fill="4F81BD" w:themeFill="accent1"/>
      </w:tcPr>
    </w:tblStylePr>
    <w:tblStylePr w:type="lastCol">
      <w:pPr>
        <w:snapToGrid/>
      </w:pPr>
      <w:rPr>
        <w:rFonts w:ascii="Arial" w:hAnsi="Arial"/>
        <w:b/>
        <w:color w:val="FFFFFF"/>
        <w:sz w:val="22"/>
      </w:rPr>
      <w:tblPr/>
      <w:tcPr>
        <w:shd w:val="clear" w:color="auto" w:fill="4F81BD" w:themeFill="accent1"/>
      </w:tcPr>
    </w:tblStylePr>
    <w:tblStylePr w:type="band1Vert">
      <w:pPr>
        <w:snapToGrid/>
      </w:pPr>
      <w:tblPr/>
      <w:tcPr>
        <w:shd w:val="clear" w:color="auto" w:fill="AEC4E0" w:themeFill="accent1" w:themeFillTint="75"/>
      </w:tcPr>
    </w:tblStylePr>
    <w:tblStylePr w:type="band2Vert">
      <w:pPr>
        <w:snapToGrid/>
      </w:pPr>
    </w:tblStylePr>
    <w:tblStylePr w:type="band1Horz">
      <w:pPr>
        <w:snapToGrid/>
      </w:pPr>
      <w:tblPr/>
      <w:tcPr>
        <w:shd w:val="clear" w:color="auto" w:fill="AEC4E0" w:themeFill="accent1" w:themeFillTint="75"/>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5Dark-Accent2">
    <w:name w:val="Grid Table 5 Dark - Accent 2"/>
    <w:basedOn w:val="a1"/>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pPr>
        <w:snapToGrid/>
      </w:pPr>
      <w:rPr>
        <w:rFonts w:ascii="Arial" w:hAnsi="Arial"/>
        <w:b/>
        <w:color w:val="FFFFFF"/>
        <w:sz w:val="22"/>
      </w:rPr>
      <w:tblPr/>
      <w:tcPr>
        <w:shd w:val="clear" w:color="auto" w:fill="C0504D" w:themeFill="accent2"/>
      </w:tcPr>
    </w:tblStylePr>
    <w:tblStylePr w:type="lastRow">
      <w:pPr>
        <w:snapToGrid/>
      </w:pPr>
      <w:rPr>
        <w:rFonts w:ascii="Arial" w:hAnsi="Arial"/>
        <w:b/>
        <w:color w:val="FFFFFF"/>
        <w:sz w:val="22"/>
      </w:rPr>
      <w:tblPr/>
      <w:tcPr>
        <w:tcBorders>
          <w:top w:val="single" w:sz="4" w:space="0" w:color="FFFFFF" w:themeColor="light1"/>
        </w:tcBorders>
        <w:shd w:val="clear" w:color="auto" w:fill="C0504D" w:themeFill="accent2"/>
      </w:tcPr>
    </w:tblStylePr>
    <w:tblStylePr w:type="firstCol">
      <w:pPr>
        <w:snapToGrid/>
      </w:pPr>
      <w:rPr>
        <w:rFonts w:ascii="Arial" w:hAnsi="Arial"/>
        <w:b/>
        <w:color w:val="FFFFFF"/>
        <w:sz w:val="22"/>
      </w:rPr>
      <w:tblPr/>
      <w:tcPr>
        <w:shd w:val="clear" w:color="auto" w:fill="C0504D" w:themeFill="accent2"/>
      </w:tcPr>
    </w:tblStylePr>
    <w:tblStylePr w:type="lastCol">
      <w:pPr>
        <w:snapToGrid/>
      </w:pPr>
      <w:rPr>
        <w:rFonts w:ascii="Arial" w:hAnsi="Arial"/>
        <w:b/>
        <w:color w:val="FFFFFF"/>
        <w:sz w:val="22"/>
      </w:rPr>
      <w:tblPr/>
      <w:tcPr>
        <w:shd w:val="clear" w:color="auto" w:fill="C0504D" w:themeFill="accent2"/>
      </w:tcPr>
    </w:tblStylePr>
    <w:tblStylePr w:type="band1Vert">
      <w:pPr>
        <w:snapToGrid/>
      </w:pPr>
      <w:tblPr/>
      <w:tcPr>
        <w:shd w:val="clear" w:color="auto" w:fill="E2AEAD" w:themeFill="accent2" w:themeFillTint="75"/>
      </w:tcPr>
    </w:tblStylePr>
    <w:tblStylePr w:type="band2Vert">
      <w:pPr>
        <w:snapToGrid/>
      </w:pPr>
    </w:tblStylePr>
    <w:tblStylePr w:type="band1Horz">
      <w:pPr>
        <w:snapToGrid/>
      </w:pPr>
      <w:tblPr/>
      <w:tcPr>
        <w:shd w:val="clear" w:color="auto" w:fill="E2AEAD" w:themeFill="accent2" w:themeFillTint="75"/>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5Dark-Accent3">
    <w:name w:val="Grid Table 5 Dark - Accent 3"/>
    <w:basedOn w:val="a1"/>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pPr>
        <w:snapToGrid/>
      </w:pPr>
      <w:rPr>
        <w:rFonts w:ascii="Arial" w:hAnsi="Arial"/>
        <w:b/>
        <w:color w:val="FFFFFF"/>
        <w:sz w:val="22"/>
      </w:rPr>
      <w:tblPr/>
      <w:tcPr>
        <w:shd w:val="clear" w:color="auto" w:fill="9BBB59" w:themeFill="accent3"/>
      </w:tcPr>
    </w:tblStylePr>
    <w:tblStylePr w:type="lastRow">
      <w:pPr>
        <w:snapToGrid/>
      </w:pPr>
      <w:rPr>
        <w:rFonts w:ascii="Arial" w:hAnsi="Arial"/>
        <w:b/>
        <w:color w:val="FFFFFF"/>
        <w:sz w:val="22"/>
      </w:rPr>
      <w:tblPr/>
      <w:tcPr>
        <w:tcBorders>
          <w:top w:val="single" w:sz="4" w:space="0" w:color="FFFFFF" w:themeColor="light1"/>
        </w:tcBorders>
        <w:shd w:val="clear" w:color="auto" w:fill="9BBB59" w:themeFill="accent3"/>
      </w:tcPr>
    </w:tblStylePr>
    <w:tblStylePr w:type="firstCol">
      <w:pPr>
        <w:snapToGrid/>
      </w:pPr>
      <w:rPr>
        <w:rFonts w:ascii="Arial" w:hAnsi="Arial"/>
        <w:b/>
        <w:color w:val="FFFFFF"/>
        <w:sz w:val="22"/>
      </w:rPr>
      <w:tblPr/>
      <w:tcPr>
        <w:shd w:val="clear" w:color="auto" w:fill="9BBB59" w:themeFill="accent3"/>
      </w:tcPr>
    </w:tblStylePr>
    <w:tblStylePr w:type="lastCol">
      <w:pPr>
        <w:snapToGrid/>
      </w:pPr>
      <w:rPr>
        <w:rFonts w:ascii="Arial" w:hAnsi="Arial"/>
        <w:b/>
        <w:color w:val="FFFFFF"/>
        <w:sz w:val="22"/>
      </w:rPr>
      <w:tblPr/>
      <w:tcPr>
        <w:shd w:val="clear" w:color="auto" w:fill="9BBB59" w:themeFill="accent3"/>
      </w:tcPr>
    </w:tblStylePr>
    <w:tblStylePr w:type="band1Vert">
      <w:pPr>
        <w:snapToGrid/>
      </w:pPr>
      <w:tblPr/>
      <w:tcPr>
        <w:shd w:val="clear" w:color="auto" w:fill="D0DFB2" w:themeFill="accent3" w:themeFillTint="75"/>
      </w:tcPr>
    </w:tblStylePr>
    <w:tblStylePr w:type="band2Vert">
      <w:pPr>
        <w:snapToGrid/>
      </w:pPr>
    </w:tblStylePr>
    <w:tblStylePr w:type="band1Horz">
      <w:pPr>
        <w:snapToGrid/>
      </w:pPr>
      <w:tblPr/>
      <w:tcPr>
        <w:shd w:val="clear" w:color="auto" w:fill="D0DFB2" w:themeFill="accent3" w:themeFillTint="75"/>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5Dark-Accent4">
    <w:name w:val="Grid Table 5 Dark- Accent 4"/>
    <w:basedOn w:val="a1"/>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pPr>
        <w:snapToGrid/>
      </w:pPr>
      <w:rPr>
        <w:rFonts w:ascii="Arial" w:hAnsi="Arial"/>
        <w:b/>
        <w:color w:val="FFFFFF"/>
        <w:sz w:val="22"/>
      </w:rPr>
      <w:tblPr/>
      <w:tcPr>
        <w:shd w:val="clear" w:color="auto" w:fill="8064A2" w:themeFill="accent4"/>
      </w:tcPr>
    </w:tblStylePr>
    <w:tblStylePr w:type="lastRow">
      <w:pPr>
        <w:snapToGrid/>
      </w:pPr>
      <w:rPr>
        <w:rFonts w:ascii="Arial" w:hAnsi="Arial"/>
        <w:b/>
        <w:color w:val="FFFFFF"/>
        <w:sz w:val="22"/>
      </w:rPr>
      <w:tblPr/>
      <w:tcPr>
        <w:tcBorders>
          <w:top w:val="single" w:sz="4" w:space="0" w:color="FFFFFF" w:themeColor="light1"/>
        </w:tcBorders>
        <w:shd w:val="clear" w:color="auto" w:fill="8064A2" w:themeFill="accent4"/>
      </w:tcPr>
    </w:tblStylePr>
    <w:tblStylePr w:type="firstCol">
      <w:pPr>
        <w:snapToGrid/>
      </w:pPr>
      <w:rPr>
        <w:rFonts w:ascii="Arial" w:hAnsi="Arial"/>
        <w:b/>
        <w:color w:val="FFFFFF"/>
        <w:sz w:val="22"/>
      </w:rPr>
      <w:tblPr/>
      <w:tcPr>
        <w:shd w:val="clear" w:color="auto" w:fill="8064A2" w:themeFill="accent4"/>
      </w:tcPr>
    </w:tblStylePr>
    <w:tblStylePr w:type="lastCol">
      <w:pPr>
        <w:snapToGrid/>
      </w:pPr>
      <w:rPr>
        <w:rFonts w:ascii="Arial" w:hAnsi="Arial"/>
        <w:b/>
        <w:color w:val="FFFFFF"/>
        <w:sz w:val="22"/>
      </w:rPr>
      <w:tblPr/>
      <w:tcPr>
        <w:shd w:val="clear" w:color="auto" w:fill="8064A2" w:themeFill="accent4"/>
      </w:tcPr>
    </w:tblStylePr>
    <w:tblStylePr w:type="band1Vert">
      <w:pPr>
        <w:snapToGrid/>
      </w:pPr>
      <w:tblPr/>
      <w:tcPr>
        <w:shd w:val="clear" w:color="auto" w:fill="C4B7D4" w:themeFill="accent4" w:themeFillTint="75"/>
      </w:tcPr>
    </w:tblStylePr>
    <w:tblStylePr w:type="band2Vert">
      <w:pPr>
        <w:snapToGrid/>
      </w:pPr>
    </w:tblStylePr>
    <w:tblStylePr w:type="band1Horz">
      <w:pPr>
        <w:snapToGrid/>
      </w:pPr>
      <w:tblPr/>
      <w:tcPr>
        <w:shd w:val="clear" w:color="auto" w:fill="C4B7D4" w:themeFill="accent4" w:themeFillTint="75"/>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5Dark-Accent5">
    <w:name w:val="Grid Table 5 Dark - Accent 5"/>
    <w:basedOn w:val="a1"/>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pPr>
        <w:snapToGrid/>
      </w:pPr>
      <w:rPr>
        <w:rFonts w:ascii="Arial" w:hAnsi="Arial"/>
        <w:b/>
        <w:color w:val="FFFFFF"/>
        <w:sz w:val="22"/>
      </w:rPr>
      <w:tblPr/>
      <w:tcPr>
        <w:shd w:val="clear" w:color="auto" w:fill="4BACC6" w:themeFill="accent5"/>
      </w:tcPr>
    </w:tblStylePr>
    <w:tblStylePr w:type="lastRow">
      <w:pPr>
        <w:snapToGrid/>
      </w:pPr>
      <w:rPr>
        <w:rFonts w:ascii="Arial" w:hAnsi="Arial"/>
        <w:b/>
        <w:color w:val="FFFFFF"/>
        <w:sz w:val="22"/>
      </w:rPr>
      <w:tblPr/>
      <w:tcPr>
        <w:tcBorders>
          <w:top w:val="single" w:sz="4" w:space="0" w:color="FFFFFF" w:themeColor="light1"/>
        </w:tcBorders>
        <w:shd w:val="clear" w:color="auto" w:fill="4BACC6" w:themeFill="accent5"/>
      </w:tcPr>
    </w:tblStylePr>
    <w:tblStylePr w:type="firstCol">
      <w:pPr>
        <w:snapToGrid/>
      </w:pPr>
      <w:rPr>
        <w:rFonts w:ascii="Arial" w:hAnsi="Arial"/>
        <w:b/>
        <w:color w:val="FFFFFF"/>
        <w:sz w:val="22"/>
      </w:rPr>
      <w:tblPr/>
      <w:tcPr>
        <w:shd w:val="clear" w:color="auto" w:fill="4BACC6" w:themeFill="accent5"/>
      </w:tcPr>
    </w:tblStylePr>
    <w:tblStylePr w:type="lastCol">
      <w:pPr>
        <w:snapToGrid/>
      </w:pPr>
      <w:rPr>
        <w:rFonts w:ascii="Arial" w:hAnsi="Arial"/>
        <w:b/>
        <w:color w:val="FFFFFF"/>
        <w:sz w:val="22"/>
      </w:rPr>
      <w:tblPr/>
      <w:tcPr>
        <w:shd w:val="clear" w:color="auto" w:fill="4BACC6" w:themeFill="accent5"/>
      </w:tcPr>
    </w:tblStylePr>
    <w:tblStylePr w:type="band1Vert">
      <w:pPr>
        <w:snapToGrid/>
      </w:pPr>
      <w:tblPr/>
      <w:tcPr>
        <w:shd w:val="clear" w:color="auto" w:fill="ACD8E4" w:themeFill="accent5" w:themeFillTint="75"/>
      </w:tcPr>
    </w:tblStylePr>
    <w:tblStylePr w:type="band2Vert">
      <w:pPr>
        <w:snapToGrid/>
      </w:pPr>
    </w:tblStylePr>
    <w:tblStylePr w:type="band1Horz">
      <w:pPr>
        <w:snapToGrid/>
      </w:pPr>
      <w:tblPr/>
      <w:tcPr>
        <w:shd w:val="clear" w:color="auto" w:fill="ACD8E4" w:themeFill="accent5" w:themeFillTint="75"/>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5Dark-Accent6">
    <w:name w:val="Grid Table 5 Dark - Accent 6"/>
    <w:basedOn w:val="a1"/>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pPr>
        <w:snapToGrid/>
      </w:pPr>
      <w:rPr>
        <w:rFonts w:ascii="Arial" w:hAnsi="Arial"/>
        <w:b/>
        <w:color w:val="FFFFFF"/>
        <w:sz w:val="22"/>
      </w:rPr>
      <w:tblPr/>
      <w:tcPr>
        <w:shd w:val="clear" w:color="auto" w:fill="F79646" w:themeFill="accent6"/>
      </w:tcPr>
    </w:tblStylePr>
    <w:tblStylePr w:type="lastRow">
      <w:pPr>
        <w:snapToGrid/>
      </w:pPr>
      <w:rPr>
        <w:rFonts w:ascii="Arial" w:hAnsi="Arial"/>
        <w:b/>
        <w:color w:val="FFFFFF"/>
        <w:sz w:val="22"/>
      </w:rPr>
      <w:tblPr/>
      <w:tcPr>
        <w:tcBorders>
          <w:top w:val="single" w:sz="4" w:space="0" w:color="FFFFFF" w:themeColor="light1"/>
        </w:tcBorders>
        <w:shd w:val="clear" w:color="auto" w:fill="F79646" w:themeFill="accent6"/>
      </w:tcPr>
    </w:tblStylePr>
    <w:tblStylePr w:type="firstCol">
      <w:pPr>
        <w:snapToGrid/>
      </w:pPr>
      <w:rPr>
        <w:rFonts w:ascii="Arial" w:hAnsi="Arial"/>
        <w:b/>
        <w:color w:val="FFFFFF"/>
        <w:sz w:val="22"/>
      </w:rPr>
      <w:tblPr/>
      <w:tcPr>
        <w:shd w:val="clear" w:color="auto" w:fill="F79646" w:themeFill="accent6"/>
      </w:tcPr>
    </w:tblStylePr>
    <w:tblStylePr w:type="lastCol">
      <w:pPr>
        <w:snapToGrid/>
      </w:pPr>
      <w:rPr>
        <w:rFonts w:ascii="Arial" w:hAnsi="Arial"/>
        <w:b/>
        <w:color w:val="FFFFFF"/>
        <w:sz w:val="22"/>
      </w:rPr>
      <w:tblPr/>
      <w:tcPr>
        <w:shd w:val="clear" w:color="auto" w:fill="F79646" w:themeFill="accent6"/>
      </w:tcPr>
    </w:tblStylePr>
    <w:tblStylePr w:type="band1Vert">
      <w:pPr>
        <w:snapToGrid/>
      </w:pPr>
      <w:tblPr/>
      <w:tcPr>
        <w:shd w:val="clear" w:color="auto" w:fill="FBCEAA" w:themeFill="accent6" w:themeFillTint="75"/>
      </w:tcPr>
    </w:tblStylePr>
    <w:tblStylePr w:type="band2Vert">
      <w:pPr>
        <w:snapToGrid/>
      </w:pPr>
    </w:tblStylePr>
    <w:tblStylePr w:type="band1Horz">
      <w:pPr>
        <w:snapToGrid/>
      </w:pPr>
      <w:tblPr/>
      <w:tcPr>
        <w:shd w:val="clear" w:color="auto" w:fill="FBCEAA" w:themeFill="accent6" w:themeFillTint="75"/>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610">
    <w:name w:val="网格表 6 彩色1"/>
    <w:basedOn w:val="a1"/>
    <w:uiPriority w:val="99"/>
    <w:qFormat/>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snapToGrid/>
      </w:pPr>
      <w:rPr>
        <w:b/>
        <w:color w:val="7F7F7F" w:themeColor="text1" w:themeTint="80"/>
      </w:rPr>
      <w:tblPr/>
      <w:tcPr>
        <w:tcBorders>
          <w:bottom w:val="single" w:sz="12" w:space="0" w:color="7F7F7F" w:themeColor="text1" w:themeTint="80"/>
        </w:tcBorders>
      </w:tcPr>
    </w:tblStylePr>
    <w:tblStylePr w:type="lastRow">
      <w:pPr>
        <w:snapToGrid/>
      </w:pPr>
      <w:rPr>
        <w:b/>
        <w:color w:val="7F7F7F" w:themeColor="text1" w:themeTint="80"/>
      </w:rPr>
    </w:tblStylePr>
    <w:tblStylePr w:type="firstCol">
      <w:pPr>
        <w:snapToGrid/>
      </w:pPr>
      <w:rPr>
        <w:b/>
        <w:color w:val="7F7F7F" w:themeColor="text1" w:themeTint="80"/>
      </w:rPr>
    </w:tblStylePr>
    <w:tblStylePr w:type="lastCol">
      <w:pPr>
        <w:snapToGrid/>
      </w:pPr>
      <w:rPr>
        <w:b/>
        <w:color w:val="7F7F7F" w:themeColor="text1" w:themeTint="80"/>
      </w:rPr>
    </w:tblStylePr>
    <w:tblStylePr w:type="band1Vert">
      <w:pPr>
        <w:snapToGrid/>
      </w:pPr>
      <w:tblPr/>
      <w:tcPr>
        <w:shd w:val="clear" w:color="auto" w:fill="CBCBCB" w:themeFill="text1" w:themeFillTint="34"/>
      </w:tcPr>
    </w:tblStylePr>
    <w:tblStylePr w:type="band2Vert">
      <w:pPr>
        <w:snapToGrid/>
      </w:pPr>
    </w:tblStylePr>
    <w:tblStylePr w:type="band1Horz">
      <w:pPr>
        <w:snapToGrid/>
      </w:pPr>
      <w:rPr>
        <w:rFonts w:ascii="Arial" w:hAnsi="Arial"/>
        <w:color w:val="7F7F7F" w:themeColor="text1" w:themeTint="80"/>
        <w:sz w:val="22"/>
      </w:rPr>
      <w:tblPr/>
      <w:tcPr>
        <w:shd w:val="clear" w:color="auto" w:fill="CBCBCB" w:themeFill="text1" w:themeFillTint="34"/>
      </w:tcPr>
    </w:tblStylePr>
    <w:tblStylePr w:type="band2Horz">
      <w:pPr>
        <w:snapToGrid/>
      </w:pPr>
      <w:rPr>
        <w:rFonts w:ascii="Arial" w:hAnsi="Arial"/>
        <w:color w:val="7F7F7F" w:themeColor="text1" w:themeTint="80"/>
        <w:sz w:val="22"/>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6Colorful-Accent1">
    <w:name w:val="Grid Table 6 Colorful - Accent 1"/>
    <w:basedOn w:val="a1"/>
    <w:uiPriority w:val="99"/>
    <w:qFormat/>
    <w:tblPr>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pPr>
        <w:snapToGrid/>
      </w:pPr>
      <w:rPr>
        <w:b/>
        <w:color w:val="A6BFDD" w:themeColor="accent1" w:themeTint="80"/>
      </w:rPr>
      <w:tblPr/>
      <w:tcPr>
        <w:tcBorders>
          <w:bottom w:val="single" w:sz="12" w:space="0" w:color="A6BFDD" w:themeColor="accent1" w:themeTint="80"/>
        </w:tcBorders>
      </w:tcPr>
    </w:tblStylePr>
    <w:tblStylePr w:type="lastRow">
      <w:pPr>
        <w:snapToGrid/>
      </w:pPr>
      <w:rPr>
        <w:b/>
        <w:color w:val="A6BFDD" w:themeColor="accent1" w:themeTint="80"/>
      </w:rPr>
    </w:tblStylePr>
    <w:tblStylePr w:type="firstCol">
      <w:pPr>
        <w:snapToGrid/>
      </w:pPr>
      <w:rPr>
        <w:b/>
        <w:color w:val="A6BFDD" w:themeColor="accent1" w:themeTint="80"/>
      </w:rPr>
    </w:tblStylePr>
    <w:tblStylePr w:type="lastCol">
      <w:pPr>
        <w:snapToGrid/>
      </w:pPr>
      <w:rPr>
        <w:b/>
        <w:color w:val="A6BFDD" w:themeColor="accent1" w:themeTint="80"/>
      </w:rPr>
    </w:tblStylePr>
    <w:tblStylePr w:type="band1Vert">
      <w:pPr>
        <w:snapToGrid/>
      </w:pPr>
      <w:tblPr/>
      <w:tcPr>
        <w:shd w:val="clear" w:color="auto" w:fill="DAE5F1" w:themeFill="accent1" w:themeFillTint="34"/>
      </w:tcPr>
    </w:tblStylePr>
    <w:tblStylePr w:type="band2Vert">
      <w:pPr>
        <w:snapToGrid/>
      </w:pPr>
    </w:tblStylePr>
    <w:tblStylePr w:type="band1Horz">
      <w:pPr>
        <w:snapToGrid/>
      </w:pPr>
      <w:rPr>
        <w:rFonts w:ascii="Arial" w:hAnsi="Arial"/>
        <w:color w:val="A6BFDD" w:themeColor="accent1" w:themeTint="80"/>
        <w:sz w:val="22"/>
      </w:rPr>
      <w:tblPr/>
      <w:tcPr>
        <w:shd w:val="clear" w:color="auto" w:fill="DAE5F1" w:themeFill="accent1" w:themeFillTint="34"/>
      </w:tcPr>
    </w:tblStylePr>
    <w:tblStylePr w:type="band2Horz">
      <w:pPr>
        <w:snapToGrid/>
      </w:pPr>
      <w:rPr>
        <w:rFonts w:ascii="Arial" w:hAnsi="Arial"/>
        <w:color w:val="A6BFDD" w:themeColor="accent1" w:themeTint="80"/>
        <w:sz w:val="22"/>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6Colorful-Accent2">
    <w:name w:val="Grid Table 6 Colorful - Accent 2"/>
    <w:basedOn w:val="a1"/>
    <w:uiPriority w:val="99"/>
    <w:qFormat/>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pPr>
        <w:snapToGrid/>
      </w:pPr>
      <w:rPr>
        <w:b/>
        <w:color w:val="DA9796" w:themeColor="accent2" w:themeTint="96"/>
      </w:rPr>
      <w:tblPr/>
      <w:tcPr>
        <w:tcBorders>
          <w:bottom w:val="single" w:sz="12" w:space="0" w:color="D99695" w:themeColor="accent2" w:themeTint="97"/>
        </w:tcBorders>
      </w:tcPr>
    </w:tblStylePr>
    <w:tblStylePr w:type="lastRow">
      <w:pPr>
        <w:snapToGrid/>
      </w:pPr>
      <w:rPr>
        <w:b/>
        <w:color w:val="DA9796" w:themeColor="accent2" w:themeTint="96"/>
      </w:rPr>
    </w:tblStylePr>
    <w:tblStylePr w:type="firstCol">
      <w:pPr>
        <w:snapToGrid/>
      </w:pPr>
      <w:rPr>
        <w:b/>
        <w:color w:val="DA9796" w:themeColor="accent2" w:themeTint="96"/>
      </w:rPr>
    </w:tblStylePr>
    <w:tblStylePr w:type="lastCol">
      <w:pPr>
        <w:snapToGrid/>
      </w:pPr>
      <w:rPr>
        <w:b/>
        <w:color w:val="DA9796" w:themeColor="accent2" w:themeTint="96"/>
      </w:rPr>
    </w:tblStylePr>
    <w:tblStylePr w:type="band1Vert">
      <w:pPr>
        <w:snapToGrid/>
      </w:pPr>
      <w:tblPr/>
      <w:tcPr>
        <w:shd w:val="clear" w:color="auto" w:fill="F2DCDC" w:themeFill="accent2" w:themeFillTint="32"/>
      </w:tcPr>
    </w:tblStylePr>
    <w:tblStylePr w:type="band2Vert">
      <w:pPr>
        <w:snapToGrid/>
      </w:pPr>
    </w:tblStylePr>
    <w:tblStylePr w:type="band1Horz">
      <w:pPr>
        <w:snapToGrid/>
      </w:pPr>
      <w:rPr>
        <w:rFonts w:ascii="Arial" w:hAnsi="Arial"/>
        <w:color w:val="DA9796" w:themeColor="accent2" w:themeTint="96"/>
        <w:sz w:val="22"/>
      </w:rPr>
      <w:tblPr/>
      <w:tcPr>
        <w:shd w:val="clear" w:color="auto" w:fill="F2DCDC" w:themeFill="accent2" w:themeFillTint="32"/>
      </w:tcPr>
    </w:tblStylePr>
    <w:tblStylePr w:type="band2Horz">
      <w:pPr>
        <w:snapToGrid/>
      </w:pPr>
      <w:rPr>
        <w:rFonts w:ascii="Arial" w:hAnsi="Arial"/>
        <w:color w:val="DA9796" w:themeColor="accent2" w:themeTint="96"/>
        <w:sz w:val="22"/>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6Colorful-Accent3">
    <w:name w:val="Grid Table 6 Colorful - Accent 3"/>
    <w:basedOn w:val="a1"/>
    <w:uiPriority w:val="99"/>
    <w:qFormat/>
    <w:tblPr>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pPr>
        <w:snapToGrid/>
      </w:pPr>
      <w:rPr>
        <w:b/>
        <w:color w:val="9BBB59" w:themeColor="accent3"/>
      </w:rPr>
      <w:tblPr/>
      <w:tcPr>
        <w:tcBorders>
          <w:bottom w:val="single" w:sz="12" w:space="0" w:color="9ABB59" w:themeColor="accent3" w:themeTint="FE"/>
        </w:tcBorders>
      </w:tcPr>
    </w:tblStylePr>
    <w:tblStylePr w:type="lastRow">
      <w:pPr>
        <w:snapToGrid/>
      </w:pPr>
      <w:rPr>
        <w:b/>
        <w:color w:val="9BBB59" w:themeColor="accent3"/>
      </w:rPr>
    </w:tblStylePr>
    <w:tblStylePr w:type="firstCol">
      <w:pPr>
        <w:snapToGrid/>
      </w:pPr>
      <w:rPr>
        <w:b/>
        <w:color w:val="9BBB59" w:themeColor="accent3"/>
      </w:rPr>
    </w:tblStylePr>
    <w:tblStylePr w:type="lastCol">
      <w:pPr>
        <w:snapToGrid/>
      </w:pPr>
      <w:rPr>
        <w:b/>
        <w:color w:val="9BBB59" w:themeColor="accent3"/>
      </w:rPr>
    </w:tblStylePr>
    <w:tblStylePr w:type="band1Vert">
      <w:pPr>
        <w:snapToGrid/>
      </w:pPr>
      <w:tblPr/>
      <w:tcPr>
        <w:shd w:val="clear" w:color="auto" w:fill="EAF1DC" w:themeFill="accent3" w:themeFillTint="34"/>
      </w:tcPr>
    </w:tblStylePr>
    <w:tblStylePr w:type="band2Vert">
      <w:pPr>
        <w:snapToGrid/>
      </w:pPr>
    </w:tblStylePr>
    <w:tblStylePr w:type="band1Horz">
      <w:pPr>
        <w:snapToGrid/>
      </w:pPr>
      <w:rPr>
        <w:rFonts w:ascii="Arial" w:hAnsi="Arial"/>
        <w:color w:val="9BBB59" w:themeColor="accent3"/>
        <w:sz w:val="22"/>
      </w:rPr>
      <w:tblPr/>
      <w:tcPr>
        <w:shd w:val="clear" w:color="auto" w:fill="EAF1DC" w:themeFill="accent3" w:themeFillTint="34"/>
      </w:tcPr>
    </w:tblStylePr>
    <w:tblStylePr w:type="band2Horz">
      <w:pPr>
        <w:snapToGrid/>
      </w:pPr>
      <w:rPr>
        <w:rFonts w:ascii="Arial" w:hAnsi="Arial"/>
        <w:color w:val="9BBB59" w:themeColor="accent3"/>
        <w:sz w:val="22"/>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6Colorful-Accent4">
    <w:name w:val="Grid Table 6 Colorful - Accent 4"/>
    <w:basedOn w:val="a1"/>
    <w:uiPriority w:val="99"/>
    <w:qFormat/>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pPr>
        <w:snapToGrid/>
      </w:pPr>
      <w:rPr>
        <w:b/>
        <w:color w:val="B2A1C7" w:themeColor="accent4" w:themeTint="99"/>
      </w:rPr>
      <w:tblPr/>
      <w:tcPr>
        <w:tcBorders>
          <w:bottom w:val="single" w:sz="12" w:space="0" w:color="B2A1C6" w:themeColor="accent4" w:themeTint="9A"/>
        </w:tcBorders>
      </w:tcPr>
    </w:tblStylePr>
    <w:tblStylePr w:type="lastRow">
      <w:pPr>
        <w:snapToGrid/>
      </w:pPr>
      <w:rPr>
        <w:b/>
        <w:color w:val="B2A1C7" w:themeColor="accent4" w:themeTint="99"/>
      </w:rPr>
    </w:tblStylePr>
    <w:tblStylePr w:type="firstCol">
      <w:pPr>
        <w:snapToGrid/>
      </w:pPr>
      <w:rPr>
        <w:b/>
        <w:color w:val="B2A1C7" w:themeColor="accent4" w:themeTint="99"/>
      </w:rPr>
    </w:tblStylePr>
    <w:tblStylePr w:type="lastCol">
      <w:pPr>
        <w:snapToGrid/>
      </w:pPr>
      <w:rPr>
        <w:b/>
        <w:color w:val="B2A1C7" w:themeColor="accent4" w:themeTint="99"/>
      </w:rPr>
    </w:tblStylePr>
    <w:tblStylePr w:type="band1Vert">
      <w:pPr>
        <w:snapToGrid/>
      </w:pPr>
      <w:tblPr/>
      <w:tcPr>
        <w:shd w:val="clear" w:color="auto" w:fill="E5DFEC" w:themeFill="accent4" w:themeFillTint="34"/>
      </w:tcPr>
    </w:tblStylePr>
    <w:tblStylePr w:type="band2Vert">
      <w:pPr>
        <w:snapToGrid/>
      </w:pPr>
    </w:tblStylePr>
    <w:tblStylePr w:type="band1Horz">
      <w:pPr>
        <w:snapToGrid/>
      </w:pPr>
      <w:rPr>
        <w:rFonts w:ascii="Arial" w:hAnsi="Arial"/>
        <w:color w:val="B2A1C7" w:themeColor="accent4" w:themeTint="99"/>
        <w:sz w:val="22"/>
      </w:rPr>
      <w:tblPr/>
      <w:tcPr>
        <w:shd w:val="clear" w:color="auto" w:fill="E5DFEC" w:themeFill="accent4" w:themeFillTint="34"/>
      </w:tcPr>
    </w:tblStylePr>
    <w:tblStylePr w:type="band2Horz">
      <w:pPr>
        <w:snapToGrid/>
      </w:pPr>
      <w:rPr>
        <w:rFonts w:ascii="Arial" w:hAnsi="Arial"/>
        <w:color w:val="B2A1C7" w:themeColor="accent4" w:themeTint="99"/>
        <w:sz w:val="22"/>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6Colorful-Accent5">
    <w:name w:val="Grid Table 6 Colorful - Accent 5"/>
    <w:basedOn w:val="a1"/>
    <w:uiPriority w:val="99"/>
    <w:qFormat/>
    <w:tblP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pPr>
        <w:snapToGrid/>
      </w:pPr>
      <w:rPr>
        <w:b/>
        <w:color w:val="266678" w:themeColor="accent5" w:themeShade="94"/>
      </w:rPr>
      <w:tblPr/>
      <w:tcPr>
        <w:tcBorders>
          <w:bottom w:val="single" w:sz="12" w:space="0" w:color="4BACC6" w:themeColor="accent5"/>
        </w:tcBorders>
      </w:tcPr>
    </w:tblStylePr>
    <w:tblStylePr w:type="lastRow">
      <w:pPr>
        <w:snapToGrid/>
      </w:pPr>
      <w:rPr>
        <w:b/>
        <w:color w:val="266678" w:themeColor="accent5" w:themeShade="94"/>
      </w:rPr>
    </w:tblStylePr>
    <w:tblStylePr w:type="firstCol">
      <w:pPr>
        <w:snapToGrid/>
      </w:pPr>
      <w:rPr>
        <w:b/>
        <w:color w:val="266678" w:themeColor="accent5" w:themeShade="94"/>
      </w:rPr>
    </w:tblStylePr>
    <w:tblStylePr w:type="lastCol">
      <w:pPr>
        <w:snapToGrid/>
      </w:pPr>
      <w:rPr>
        <w:b/>
        <w:color w:val="266678" w:themeColor="accent5" w:themeShade="94"/>
      </w:rPr>
    </w:tblStylePr>
    <w:tblStylePr w:type="band1Vert">
      <w:pPr>
        <w:snapToGrid/>
      </w:pPr>
      <w:tblPr/>
      <w:tcPr>
        <w:shd w:val="clear" w:color="auto" w:fill="DAEEF3" w:themeFill="accent5" w:themeFillTint="34"/>
      </w:tcPr>
    </w:tblStylePr>
    <w:tblStylePr w:type="band2Vert">
      <w:pPr>
        <w:snapToGrid/>
      </w:pPr>
    </w:tblStylePr>
    <w:tblStylePr w:type="band1Horz">
      <w:pPr>
        <w:snapToGrid/>
      </w:pPr>
      <w:rPr>
        <w:rFonts w:ascii="Arial" w:hAnsi="Arial"/>
        <w:color w:val="266678" w:themeColor="accent5" w:themeShade="94"/>
        <w:sz w:val="22"/>
      </w:rPr>
      <w:tblPr/>
      <w:tcPr>
        <w:shd w:val="clear" w:color="auto" w:fill="DAEEF3" w:themeFill="accent5" w:themeFillTint="34"/>
      </w:tcPr>
    </w:tblStylePr>
    <w:tblStylePr w:type="band2Horz">
      <w:pPr>
        <w:snapToGrid/>
      </w:pPr>
      <w:rPr>
        <w:rFonts w:ascii="Arial" w:hAnsi="Arial"/>
        <w:color w:val="266678" w:themeColor="accent5" w:themeShade="94"/>
        <w:sz w:val="22"/>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6Colorful-Accent6">
    <w:name w:val="Grid Table 6 Colorful - Accent 6"/>
    <w:basedOn w:val="a1"/>
    <w:uiPriority w:val="99"/>
    <w:qFormat/>
    <w:tblPr>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pPr>
        <w:snapToGrid/>
      </w:pPr>
      <w:rPr>
        <w:b/>
        <w:color w:val="266678" w:themeColor="accent5" w:themeShade="94"/>
      </w:rPr>
      <w:tblPr/>
      <w:tcPr>
        <w:tcBorders>
          <w:bottom w:val="single" w:sz="12" w:space="0" w:color="F79646" w:themeColor="accent6"/>
        </w:tcBorders>
      </w:tcPr>
    </w:tblStylePr>
    <w:tblStylePr w:type="lastRow">
      <w:pPr>
        <w:snapToGrid/>
      </w:pPr>
      <w:rPr>
        <w:b/>
        <w:color w:val="266678" w:themeColor="accent5" w:themeShade="94"/>
      </w:rPr>
    </w:tblStylePr>
    <w:tblStylePr w:type="firstCol">
      <w:pPr>
        <w:snapToGrid/>
      </w:pPr>
      <w:rPr>
        <w:b/>
        <w:color w:val="266678" w:themeColor="accent5" w:themeShade="94"/>
      </w:rPr>
    </w:tblStylePr>
    <w:tblStylePr w:type="lastCol">
      <w:pPr>
        <w:snapToGrid/>
      </w:pPr>
      <w:rPr>
        <w:b/>
        <w:color w:val="266678" w:themeColor="accent5" w:themeShade="94"/>
      </w:rPr>
    </w:tblStylePr>
    <w:tblStylePr w:type="band1Vert">
      <w:pPr>
        <w:snapToGrid/>
      </w:pPr>
      <w:tblPr/>
      <w:tcPr>
        <w:shd w:val="clear" w:color="auto" w:fill="FDE9D8" w:themeFill="accent6" w:themeFillTint="34"/>
      </w:tcPr>
    </w:tblStylePr>
    <w:tblStylePr w:type="band2Vert">
      <w:pPr>
        <w:snapToGrid/>
      </w:pPr>
    </w:tblStylePr>
    <w:tblStylePr w:type="band1Horz">
      <w:pPr>
        <w:snapToGrid/>
      </w:pPr>
      <w:rPr>
        <w:rFonts w:ascii="Arial" w:hAnsi="Arial"/>
        <w:color w:val="266678" w:themeColor="accent5" w:themeShade="94"/>
        <w:sz w:val="22"/>
      </w:rPr>
      <w:tblPr/>
      <w:tcPr>
        <w:shd w:val="clear" w:color="auto" w:fill="FDE9D8" w:themeFill="accent6" w:themeFillTint="34"/>
      </w:tcPr>
    </w:tblStylePr>
    <w:tblStylePr w:type="band2Horz">
      <w:pPr>
        <w:snapToGrid/>
      </w:pPr>
      <w:rPr>
        <w:rFonts w:ascii="Arial" w:hAnsi="Arial"/>
        <w:color w:val="266678" w:themeColor="accent5" w:themeShade="94"/>
        <w:sz w:val="22"/>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710">
    <w:name w:val="网格表 7 彩色1"/>
    <w:basedOn w:val="a1"/>
    <w:uiPriority w:val="99"/>
    <w:qFormat/>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snapToGrid/>
      </w:pPr>
      <w:rPr>
        <w:rFonts w:ascii="Arial" w:hAnsi="Arial"/>
        <w:b/>
        <w:color w:val="7F7F7F" w:themeColor="text1" w:themeTint="80"/>
        <w:sz w:val="22"/>
      </w:rPr>
      <w:tblPr/>
      <w:tcPr>
        <w:tcBorders>
          <w:top w:val="nil"/>
          <w:left w:val="nil"/>
          <w:bottom w:val="single" w:sz="4" w:space="0" w:color="7F7F7F" w:themeColor="text1" w:themeTint="80"/>
          <w:right w:val="nil"/>
        </w:tcBorders>
        <w:shd w:val="clear" w:color="auto" w:fill="FFFFFF" w:themeFill="light1"/>
      </w:tcPr>
    </w:tblStylePr>
    <w:tblStylePr w:type="lastRow">
      <w:pPr>
        <w:snapToGrid/>
      </w:pPr>
      <w:rPr>
        <w:rFonts w:ascii="Arial" w:hAnsi="Arial"/>
        <w:b/>
        <w:color w:val="7F7F7F" w:themeColor="text1" w:themeTint="80"/>
        <w:sz w:val="22"/>
      </w:rPr>
      <w:tblPr/>
      <w:tcPr>
        <w:tcBorders>
          <w:top w:val="single" w:sz="4" w:space="0" w:color="7F7F7F" w:themeColor="text1" w:themeTint="80"/>
          <w:left w:val="nil"/>
          <w:bottom w:val="nil"/>
          <w:right w:val="nil"/>
        </w:tcBorders>
        <w:shd w:val="clear" w:color="auto" w:fill="FFFFFF" w:themeFill="light1"/>
      </w:tcPr>
    </w:tblStylePr>
    <w:tblStylePr w:type="firstCol">
      <w:pPr>
        <w:snapToGrid/>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auto" w:fill="FFFFFF"/>
      </w:tcPr>
    </w:tblStylePr>
    <w:tblStylePr w:type="lastCol">
      <w:pPr>
        <w:snapToGrid/>
      </w:pPr>
      <w:rPr>
        <w:rFonts w:ascii="Arial" w:hAnsi="Arial"/>
        <w:i/>
        <w:color w:val="7F7F7F" w:themeColor="text1" w:themeTint="80"/>
        <w:sz w:val="22"/>
      </w:rPr>
      <w:tblPr/>
      <w:tcPr>
        <w:tcBorders>
          <w:top w:val="nil"/>
          <w:left w:val="single" w:sz="4" w:space="0" w:color="7F7F7F" w:themeColor="text1" w:themeTint="80"/>
          <w:bottom w:val="nil"/>
          <w:right w:val="nil"/>
        </w:tcBorders>
        <w:shd w:val="clear" w:color="auto" w:fill="FFFFFF"/>
      </w:tcPr>
    </w:tblStylePr>
    <w:tblStylePr w:type="band1Vert">
      <w:pPr>
        <w:snapToGrid/>
      </w:pPr>
      <w:tblPr/>
      <w:tcPr>
        <w:shd w:val="clear" w:color="auto" w:fill="F2F2F2" w:themeFill="text1" w:themeFillTint="0D"/>
      </w:tcPr>
    </w:tblStylePr>
    <w:tblStylePr w:type="band2Vert">
      <w:pPr>
        <w:snapToGrid/>
      </w:pPr>
    </w:tblStylePr>
    <w:tblStylePr w:type="band1Horz">
      <w:pPr>
        <w:snapToGrid/>
      </w:pPr>
      <w:rPr>
        <w:rFonts w:ascii="Arial" w:hAnsi="Arial"/>
        <w:color w:val="7F7F7F" w:themeColor="text1" w:themeTint="80"/>
        <w:sz w:val="22"/>
      </w:rPr>
      <w:tblPr/>
      <w:tcPr>
        <w:shd w:val="clear" w:color="auto" w:fill="F2F2F2" w:themeFill="text1" w:themeFillTint="0D"/>
      </w:tcPr>
    </w:tblStylePr>
    <w:tblStylePr w:type="band2Horz">
      <w:pPr>
        <w:snapToGrid/>
      </w:pPr>
      <w:rPr>
        <w:rFonts w:ascii="Arial" w:hAnsi="Arial"/>
        <w:color w:val="7F7F7F" w:themeColor="text1" w:themeTint="80"/>
        <w:sz w:val="22"/>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7Colorful-Accent1">
    <w:name w:val="Grid Table 7 Colorful - Accent 1"/>
    <w:basedOn w:val="a1"/>
    <w:uiPriority w:val="99"/>
    <w:qFormat/>
    <w:tblPr>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pPr>
        <w:snapToGrid/>
      </w:pPr>
      <w:rPr>
        <w:rFonts w:ascii="Arial" w:hAnsi="Arial"/>
        <w:b/>
        <w:color w:val="A6BFDD" w:themeColor="accent1" w:themeTint="80"/>
        <w:sz w:val="22"/>
      </w:rPr>
      <w:tblPr/>
      <w:tcPr>
        <w:tcBorders>
          <w:top w:val="nil"/>
          <w:left w:val="nil"/>
          <w:bottom w:val="single" w:sz="4" w:space="0" w:color="A6BFDD" w:themeColor="accent1" w:themeTint="80"/>
          <w:right w:val="nil"/>
        </w:tcBorders>
        <w:shd w:val="clear" w:color="auto" w:fill="FFFFFF" w:themeFill="light1"/>
      </w:tcPr>
    </w:tblStylePr>
    <w:tblStylePr w:type="lastRow">
      <w:pPr>
        <w:snapToGrid/>
      </w:pPr>
      <w:rPr>
        <w:rFonts w:ascii="Arial" w:hAnsi="Arial"/>
        <w:b/>
        <w:color w:val="A6BFDD" w:themeColor="accent1" w:themeTint="80"/>
        <w:sz w:val="22"/>
      </w:rPr>
      <w:tblPr/>
      <w:tcPr>
        <w:tcBorders>
          <w:top w:val="single" w:sz="4" w:space="0" w:color="A6BFDD" w:themeColor="accent1" w:themeTint="80"/>
          <w:left w:val="nil"/>
          <w:bottom w:val="nil"/>
          <w:right w:val="nil"/>
        </w:tcBorders>
        <w:shd w:val="clear" w:color="auto" w:fill="FFFFFF" w:themeFill="light1"/>
      </w:tcPr>
    </w:tblStylePr>
    <w:tblStylePr w:type="firstCol">
      <w:pPr>
        <w:snapToGrid/>
        <w:jc w:val="right"/>
      </w:pPr>
      <w:rPr>
        <w:rFonts w:ascii="Arial" w:hAnsi="Arial"/>
        <w:i/>
        <w:color w:val="A6BFDD" w:themeColor="accent1" w:themeTint="80"/>
        <w:sz w:val="22"/>
      </w:rPr>
      <w:tblPr/>
      <w:tcPr>
        <w:tcBorders>
          <w:top w:val="nil"/>
          <w:left w:val="nil"/>
          <w:bottom w:val="nil"/>
          <w:right w:val="single" w:sz="4" w:space="0" w:color="A6BFDD" w:themeColor="accent1" w:themeTint="80"/>
        </w:tcBorders>
        <w:shd w:val="clear" w:color="auto" w:fill="FFFFFF"/>
      </w:tcPr>
    </w:tblStylePr>
    <w:tblStylePr w:type="lastCol">
      <w:pPr>
        <w:snapToGrid/>
      </w:pPr>
      <w:rPr>
        <w:rFonts w:ascii="Arial" w:hAnsi="Arial"/>
        <w:i/>
        <w:color w:val="A6BFDD" w:themeColor="accent1" w:themeTint="80"/>
        <w:sz w:val="22"/>
      </w:rPr>
      <w:tblPr/>
      <w:tcPr>
        <w:tcBorders>
          <w:top w:val="nil"/>
          <w:left w:val="single" w:sz="4" w:space="0" w:color="A6BFDD" w:themeColor="accent1" w:themeTint="80"/>
          <w:bottom w:val="nil"/>
          <w:right w:val="nil"/>
        </w:tcBorders>
        <w:shd w:val="clear" w:color="auto" w:fill="FFFFFF"/>
      </w:tcPr>
    </w:tblStylePr>
    <w:tblStylePr w:type="band1Vert">
      <w:pPr>
        <w:snapToGrid/>
      </w:pPr>
      <w:tblPr/>
      <w:tcPr>
        <w:shd w:val="clear" w:color="auto" w:fill="DAE5F1" w:themeFill="accent1" w:themeFillTint="34"/>
      </w:tcPr>
    </w:tblStylePr>
    <w:tblStylePr w:type="band2Vert">
      <w:pPr>
        <w:snapToGrid/>
      </w:pPr>
    </w:tblStylePr>
    <w:tblStylePr w:type="band1Horz">
      <w:pPr>
        <w:snapToGrid/>
      </w:pPr>
      <w:rPr>
        <w:rFonts w:ascii="Arial" w:hAnsi="Arial"/>
        <w:color w:val="A6BFDD" w:themeColor="accent1" w:themeTint="80"/>
        <w:sz w:val="22"/>
      </w:rPr>
      <w:tblPr/>
      <w:tcPr>
        <w:shd w:val="clear" w:color="auto" w:fill="DAE5F1" w:themeFill="accent1" w:themeFillTint="34"/>
      </w:tcPr>
    </w:tblStylePr>
    <w:tblStylePr w:type="band2Horz">
      <w:pPr>
        <w:snapToGrid/>
      </w:pPr>
      <w:rPr>
        <w:rFonts w:ascii="Arial" w:hAnsi="Arial"/>
        <w:color w:val="A6BFDD" w:themeColor="accent1" w:themeTint="80"/>
        <w:sz w:val="22"/>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7Colorful-Accent2">
    <w:name w:val="Grid Table 7 Colorful - Accent 2"/>
    <w:basedOn w:val="a1"/>
    <w:uiPriority w:val="99"/>
    <w:qFormat/>
    <w:tblPr>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pPr>
        <w:snapToGrid/>
      </w:pPr>
      <w:rPr>
        <w:rFonts w:ascii="Arial" w:hAnsi="Arial"/>
        <w:b/>
        <w:color w:val="DA9796" w:themeColor="accent2" w:themeTint="96"/>
        <w:sz w:val="22"/>
      </w:rPr>
      <w:tblPr/>
      <w:tcPr>
        <w:tcBorders>
          <w:top w:val="nil"/>
          <w:left w:val="nil"/>
          <w:bottom w:val="single" w:sz="4" w:space="0" w:color="D99695" w:themeColor="accent2" w:themeTint="97"/>
          <w:right w:val="nil"/>
        </w:tcBorders>
        <w:shd w:val="clear" w:color="auto" w:fill="FFFFFF" w:themeFill="light1"/>
      </w:tcPr>
    </w:tblStylePr>
    <w:tblStylePr w:type="lastRow">
      <w:pPr>
        <w:snapToGrid/>
      </w:pPr>
      <w:rPr>
        <w:rFonts w:ascii="Arial" w:hAnsi="Arial"/>
        <w:b/>
        <w:color w:val="DA9796" w:themeColor="accent2" w:themeTint="96"/>
        <w:sz w:val="22"/>
      </w:rPr>
      <w:tblPr/>
      <w:tcPr>
        <w:tcBorders>
          <w:top w:val="single" w:sz="4" w:space="0" w:color="D99695" w:themeColor="accent2" w:themeTint="97"/>
          <w:left w:val="nil"/>
          <w:bottom w:val="nil"/>
          <w:right w:val="nil"/>
        </w:tcBorders>
        <w:shd w:val="clear" w:color="auto" w:fill="FFFFFF" w:themeFill="light1"/>
      </w:tcPr>
    </w:tblStylePr>
    <w:tblStylePr w:type="firstCol">
      <w:pPr>
        <w:snapToGrid/>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auto" w:fill="FFFFFF"/>
      </w:tcPr>
    </w:tblStylePr>
    <w:tblStylePr w:type="lastCol">
      <w:pPr>
        <w:snapToGrid/>
      </w:pPr>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auto" w:fill="FFFFFF"/>
      </w:tcPr>
    </w:tblStylePr>
    <w:tblStylePr w:type="band1Vert">
      <w:pPr>
        <w:snapToGrid/>
      </w:pPr>
      <w:tblPr/>
      <w:tcPr>
        <w:shd w:val="clear" w:color="auto" w:fill="F2DCDC" w:themeFill="accent2" w:themeFillTint="32"/>
      </w:tcPr>
    </w:tblStylePr>
    <w:tblStylePr w:type="band2Vert">
      <w:pPr>
        <w:snapToGrid/>
      </w:pPr>
    </w:tblStylePr>
    <w:tblStylePr w:type="band1Horz">
      <w:pPr>
        <w:snapToGrid/>
      </w:pPr>
      <w:rPr>
        <w:rFonts w:ascii="Arial" w:hAnsi="Arial"/>
        <w:color w:val="DA9796" w:themeColor="accent2" w:themeTint="96"/>
        <w:sz w:val="22"/>
      </w:rPr>
      <w:tblPr/>
      <w:tcPr>
        <w:shd w:val="clear" w:color="auto" w:fill="F2DCDC" w:themeFill="accent2" w:themeFillTint="32"/>
      </w:tcPr>
    </w:tblStylePr>
    <w:tblStylePr w:type="band2Horz">
      <w:pPr>
        <w:snapToGrid/>
      </w:pPr>
      <w:rPr>
        <w:rFonts w:ascii="Arial" w:hAnsi="Arial"/>
        <w:color w:val="DA9796" w:themeColor="accent2" w:themeTint="96"/>
        <w:sz w:val="22"/>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7Colorful-Accent3">
    <w:name w:val="Grid Table 7 Colorful - Accent 3"/>
    <w:basedOn w:val="a1"/>
    <w:uiPriority w:val="99"/>
    <w:qFormat/>
    <w:tblPr>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pPr>
        <w:snapToGrid/>
      </w:pPr>
      <w:rPr>
        <w:rFonts w:ascii="Arial" w:hAnsi="Arial"/>
        <w:b/>
        <w:color w:val="9BBB59" w:themeColor="accent3"/>
        <w:sz w:val="22"/>
      </w:rPr>
      <w:tblPr/>
      <w:tcPr>
        <w:tcBorders>
          <w:top w:val="nil"/>
          <w:left w:val="nil"/>
          <w:bottom w:val="single" w:sz="4" w:space="0" w:color="9ABB59" w:themeColor="accent3" w:themeTint="FE"/>
          <w:right w:val="nil"/>
        </w:tcBorders>
        <w:shd w:val="clear" w:color="auto" w:fill="FFFFFF" w:themeFill="light1"/>
      </w:tcPr>
    </w:tblStylePr>
    <w:tblStylePr w:type="lastRow">
      <w:pPr>
        <w:snapToGrid/>
      </w:pPr>
      <w:rPr>
        <w:rFonts w:ascii="Arial" w:hAnsi="Arial"/>
        <w:b/>
        <w:color w:val="9BBB59" w:themeColor="accent3"/>
        <w:sz w:val="22"/>
      </w:rPr>
      <w:tblPr/>
      <w:tcPr>
        <w:tcBorders>
          <w:top w:val="single" w:sz="4" w:space="0" w:color="9ABB59" w:themeColor="accent3" w:themeTint="FE"/>
          <w:left w:val="nil"/>
          <w:bottom w:val="nil"/>
          <w:right w:val="nil"/>
        </w:tcBorders>
        <w:shd w:val="clear" w:color="auto" w:fill="FFFFFF" w:themeFill="light1"/>
      </w:tcPr>
    </w:tblStylePr>
    <w:tblStylePr w:type="firstCol">
      <w:pPr>
        <w:snapToGrid/>
        <w:jc w:val="right"/>
      </w:pPr>
      <w:rPr>
        <w:rFonts w:ascii="Arial" w:hAnsi="Arial"/>
        <w:i/>
        <w:color w:val="9BBB59" w:themeColor="accent3"/>
        <w:sz w:val="22"/>
      </w:rPr>
      <w:tblPr/>
      <w:tcPr>
        <w:tcBorders>
          <w:top w:val="nil"/>
          <w:left w:val="nil"/>
          <w:bottom w:val="nil"/>
          <w:right w:val="single" w:sz="4" w:space="0" w:color="9ABB59" w:themeColor="accent3" w:themeTint="FE"/>
        </w:tcBorders>
        <w:shd w:val="clear" w:color="auto" w:fill="FFFFFF"/>
      </w:tcPr>
    </w:tblStylePr>
    <w:tblStylePr w:type="lastCol">
      <w:pPr>
        <w:snapToGrid/>
      </w:pPr>
      <w:rPr>
        <w:rFonts w:ascii="Arial" w:hAnsi="Arial"/>
        <w:i/>
        <w:color w:val="9BBB59" w:themeColor="accent3"/>
        <w:sz w:val="22"/>
      </w:rPr>
      <w:tblPr/>
      <w:tcPr>
        <w:tcBorders>
          <w:top w:val="nil"/>
          <w:left w:val="single" w:sz="4" w:space="0" w:color="9ABB59" w:themeColor="accent3" w:themeTint="FE"/>
          <w:bottom w:val="nil"/>
          <w:right w:val="nil"/>
        </w:tcBorders>
        <w:shd w:val="clear" w:color="auto" w:fill="FFFFFF"/>
      </w:tcPr>
    </w:tblStylePr>
    <w:tblStylePr w:type="band1Vert">
      <w:pPr>
        <w:snapToGrid/>
      </w:pPr>
      <w:tblPr/>
      <w:tcPr>
        <w:shd w:val="clear" w:color="auto" w:fill="EAF1DC" w:themeFill="accent3" w:themeFillTint="34"/>
      </w:tcPr>
    </w:tblStylePr>
    <w:tblStylePr w:type="band2Vert">
      <w:pPr>
        <w:snapToGrid/>
      </w:pPr>
    </w:tblStylePr>
    <w:tblStylePr w:type="band1Horz">
      <w:pPr>
        <w:snapToGrid/>
      </w:pPr>
      <w:rPr>
        <w:rFonts w:ascii="Arial" w:hAnsi="Arial"/>
        <w:color w:val="9BBB59" w:themeColor="accent3"/>
        <w:sz w:val="22"/>
      </w:rPr>
      <w:tblPr/>
      <w:tcPr>
        <w:shd w:val="clear" w:color="auto" w:fill="EAF1DC" w:themeFill="accent3" w:themeFillTint="34"/>
      </w:tcPr>
    </w:tblStylePr>
    <w:tblStylePr w:type="band2Horz">
      <w:pPr>
        <w:snapToGrid/>
      </w:pPr>
      <w:rPr>
        <w:rFonts w:ascii="Arial" w:hAnsi="Arial"/>
        <w:color w:val="9BBB59" w:themeColor="accent3"/>
        <w:sz w:val="22"/>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7Colorful-Accent4">
    <w:name w:val="Grid Table 7 Colorful - Accent 4"/>
    <w:basedOn w:val="a1"/>
    <w:uiPriority w:val="99"/>
    <w:qFormat/>
    <w:tblPr>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pPr>
        <w:snapToGrid/>
      </w:pPr>
      <w:rPr>
        <w:rFonts w:ascii="Arial" w:hAnsi="Arial"/>
        <w:b/>
        <w:color w:val="B2A1C7" w:themeColor="accent4" w:themeTint="99"/>
        <w:sz w:val="22"/>
      </w:rPr>
      <w:tblPr/>
      <w:tcPr>
        <w:tcBorders>
          <w:top w:val="nil"/>
          <w:left w:val="nil"/>
          <w:bottom w:val="single" w:sz="4" w:space="0" w:color="B2A1C6" w:themeColor="accent4" w:themeTint="9A"/>
          <w:right w:val="nil"/>
        </w:tcBorders>
        <w:shd w:val="clear" w:color="auto" w:fill="FFFFFF" w:themeFill="light1"/>
      </w:tcPr>
    </w:tblStylePr>
    <w:tblStylePr w:type="lastRow">
      <w:pPr>
        <w:snapToGrid/>
      </w:pPr>
      <w:rPr>
        <w:rFonts w:ascii="Arial" w:hAnsi="Arial"/>
        <w:b/>
        <w:color w:val="B2A1C7" w:themeColor="accent4" w:themeTint="99"/>
        <w:sz w:val="22"/>
      </w:rPr>
      <w:tblPr/>
      <w:tcPr>
        <w:tcBorders>
          <w:top w:val="single" w:sz="4" w:space="0" w:color="B2A1C6" w:themeColor="accent4" w:themeTint="9A"/>
          <w:left w:val="nil"/>
          <w:bottom w:val="nil"/>
          <w:right w:val="nil"/>
        </w:tcBorders>
        <w:shd w:val="clear" w:color="auto" w:fill="FFFFFF" w:themeFill="light1"/>
      </w:tcPr>
    </w:tblStylePr>
    <w:tblStylePr w:type="firstCol">
      <w:pPr>
        <w:snapToGrid/>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auto" w:fill="FFFFFF"/>
      </w:tcPr>
    </w:tblStylePr>
    <w:tblStylePr w:type="lastCol">
      <w:pPr>
        <w:snapToGrid/>
      </w:pPr>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auto" w:fill="FFFFFF"/>
      </w:tcPr>
    </w:tblStylePr>
    <w:tblStylePr w:type="band1Vert">
      <w:pPr>
        <w:snapToGrid/>
      </w:pPr>
      <w:tblPr/>
      <w:tcPr>
        <w:shd w:val="clear" w:color="auto" w:fill="E5DFEC" w:themeFill="accent4" w:themeFillTint="34"/>
      </w:tcPr>
    </w:tblStylePr>
    <w:tblStylePr w:type="band2Vert">
      <w:pPr>
        <w:snapToGrid/>
      </w:pPr>
    </w:tblStylePr>
    <w:tblStylePr w:type="band1Horz">
      <w:pPr>
        <w:snapToGrid/>
      </w:pPr>
      <w:rPr>
        <w:rFonts w:ascii="Arial" w:hAnsi="Arial"/>
        <w:color w:val="B2A1C7" w:themeColor="accent4" w:themeTint="99"/>
        <w:sz w:val="22"/>
      </w:rPr>
      <w:tblPr/>
      <w:tcPr>
        <w:shd w:val="clear" w:color="auto" w:fill="E5DFEC" w:themeFill="accent4" w:themeFillTint="34"/>
      </w:tcPr>
    </w:tblStylePr>
    <w:tblStylePr w:type="band2Horz">
      <w:pPr>
        <w:snapToGrid/>
      </w:pPr>
      <w:rPr>
        <w:rFonts w:ascii="Arial" w:hAnsi="Arial"/>
        <w:color w:val="B2A1C7" w:themeColor="accent4" w:themeTint="99"/>
        <w:sz w:val="22"/>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7Colorful-Accent5">
    <w:name w:val="Grid Table 7 Colorful - Accent 5"/>
    <w:basedOn w:val="a1"/>
    <w:uiPriority w:val="99"/>
    <w:qFormat/>
    <w:tblPr>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pPr>
        <w:snapToGrid/>
      </w:pPr>
      <w:rPr>
        <w:rFonts w:ascii="Arial" w:hAnsi="Arial"/>
        <w:b/>
        <w:color w:val="266678" w:themeColor="accent5" w:themeShade="94"/>
        <w:sz w:val="22"/>
      </w:rPr>
      <w:tblPr/>
      <w:tcPr>
        <w:tcBorders>
          <w:top w:val="nil"/>
          <w:left w:val="nil"/>
          <w:bottom w:val="single" w:sz="4" w:space="0" w:color="99D0DE" w:themeColor="accent5" w:themeTint="90"/>
          <w:right w:val="nil"/>
        </w:tcBorders>
        <w:shd w:val="clear" w:color="auto" w:fill="FFFFFF" w:themeFill="light1"/>
      </w:tcPr>
    </w:tblStylePr>
    <w:tblStylePr w:type="lastRow">
      <w:pPr>
        <w:snapToGrid/>
      </w:pPr>
      <w:rPr>
        <w:rFonts w:ascii="Arial" w:hAnsi="Arial"/>
        <w:b/>
        <w:color w:val="266678" w:themeColor="accent5" w:themeShade="94"/>
        <w:sz w:val="22"/>
      </w:rPr>
      <w:tblPr/>
      <w:tcPr>
        <w:tcBorders>
          <w:top w:val="single" w:sz="4" w:space="0" w:color="99D0DE" w:themeColor="accent5" w:themeTint="90"/>
          <w:left w:val="nil"/>
          <w:bottom w:val="nil"/>
          <w:right w:val="nil"/>
        </w:tcBorders>
        <w:shd w:val="clear" w:color="auto" w:fill="FFFFFF" w:themeFill="light1"/>
      </w:tcPr>
    </w:tblStylePr>
    <w:tblStylePr w:type="firstCol">
      <w:pPr>
        <w:snapToGrid/>
        <w:jc w:val="right"/>
      </w:pPr>
      <w:rPr>
        <w:rFonts w:ascii="Arial" w:hAnsi="Arial"/>
        <w:i/>
        <w:color w:val="266678" w:themeColor="accent5" w:themeShade="94"/>
        <w:sz w:val="22"/>
      </w:rPr>
      <w:tblPr/>
      <w:tcPr>
        <w:tcBorders>
          <w:top w:val="nil"/>
          <w:left w:val="nil"/>
          <w:bottom w:val="nil"/>
          <w:right w:val="single" w:sz="4" w:space="0" w:color="99D0DE" w:themeColor="accent5" w:themeTint="90"/>
        </w:tcBorders>
        <w:shd w:val="clear" w:color="auto" w:fill="FFFFFF"/>
      </w:tcPr>
    </w:tblStylePr>
    <w:tblStylePr w:type="lastCol">
      <w:pPr>
        <w:snapToGrid/>
      </w:pPr>
      <w:rPr>
        <w:rFonts w:ascii="Arial" w:hAnsi="Arial"/>
        <w:i/>
        <w:color w:val="266678" w:themeColor="accent5" w:themeShade="94"/>
        <w:sz w:val="22"/>
      </w:rPr>
      <w:tblPr/>
      <w:tcPr>
        <w:tcBorders>
          <w:top w:val="nil"/>
          <w:left w:val="single" w:sz="4" w:space="0" w:color="99D0DE" w:themeColor="accent5" w:themeTint="90"/>
          <w:bottom w:val="nil"/>
          <w:right w:val="nil"/>
        </w:tcBorders>
        <w:shd w:val="clear" w:color="auto" w:fill="FFFFFF"/>
      </w:tcPr>
    </w:tblStylePr>
    <w:tblStylePr w:type="band1Vert">
      <w:pPr>
        <w:snapToGrid/>
      </w:pPr>
      <w:tblPr/>
      <w:tcPr>
        <w:shd w:val="clear" w:color="auto" w:fill="DAEEF3" w:themeFill="accent5" w:themeFillTint="34"/>
      </w:tcPr>
    </w:tblStylePr>
    <w:tblStylePr w:type="band2Vert">
      <w:pPr>
        <w:snapToGrid/>
      </w:pPr>
    </w:tblStylePr>
    <w:tblStylePr w:type="band1Horz">
      <w:pPr>
        <w:snapToGrid/>
      </w:pPr>
      <w:rPr>
        <w:rFonts w:ascii="Arial" w:hAnsi="Arial"/>
        <w:color w:val="266678" w:themeColor="accent5" w:themeShade="94"/>
        <w:sz w:val="22"/>
      </w:rPr>
      <w:tblPr/>
      <w:tcPr>
        <w:shd w:val="clear" w:color="auto" w:fill="DAEEF3" w:themeFill="accent5" w:themeFillTint="34"/>
      </w:tcPr>
    </w:tblStylePr>
    <w:tblStylePr w:type="band2Horz">
      <w:pPr>
        <w:snapToGrid/>
      </w:pPr>
      <w:rPr>
        <w:rFonts w:ascii="Arial" w:hAnsi="Arial"/>
        <w:color w:val="266678" w:themeColor="accent5" w:themeShade="94"/>
        <w:sz w:val="22"/>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GridTable7Colorful-Accent6">
    <w:name w:val="Grid Table 7 Colorful - Accent 6"/>
    <w:basedOn w:val="a1"/>
    <w:uiPriority w:val="99"/>
    <w:qFormat/>
    <w:tblPr>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pPr>
        <w:snapToGrid/>
      </w:pPr>
      <w:rPr>
        <w:rFonts w:ascii="Arial" w:hAnsi="Arial"/>
        <w:b/>
        <w:color w:val="B05307" w:themeColor="accent6" w:themeShade="94"/>
        <w:sz w:val="22"/>
      </w:rPr>
      <w:tblPr/>
      <w:tcPr>
        <w:tcBorders>
          <w:top w:val="nil"/>
          <w:left w:val="nil"/>
          <w:bottom w:val="single" w:sz="4" w:space="0" w:color="FAC396" w:themeColor="accent6" w:themeTint="90"/>
          <w:right w:val="nil"/>
        </w:tcBorders>
        <w:shd w:val="clear" w:color="auto" w:fill="FFFFFF" w:themeFill="light1"/>
      </w:tcPr>
    </w:tblStylePr>
    <w:tblStylePr w:type="lastRow">
      <w:pPr>
        <w:snapToGrid/>
      </w:pPr>
      <w:rPr>
        <w:rFonts w:ascii="Arial" w:hAnsi="Arial"/>
        <w:b/>
        <w:color w:val="B05307" w:themeColor="accent6" w:themeShade="94"/>
        <w:sz w:val="22"/>
      </w:rPr>
      <w:tblPr/>
      <w:tcPr>
        <w:tcBorders>
          <w:top w:val="single" w:sz="4" w:space="0" w:color="FAC396" w:themeColor="accent6" w:themeTint="90"/>
          <w:left w:val="nil"/>
          <w:bottom w:val="nil"/>
          <w:right w:val="nil"/>
        </w:tcBorders>
        <w:shd w:val="clear" w:color="auto" w:fill="FFFFFF" w:themeFill="light1"/>
      </w:tcPr>
    </w:tblStylePr>
    <w:tblStylePr w:type="firstCol">
      <w:pPr>
        <w:snapToGrid/>
        <w:jc w:val="right"/>
      </w:pPr>
      <w:rPr>
        <w:rFonts w:ascii="Arial" w:hAnsi="Arial"/>
        <w:i/>
        <w:color w:val="B05307" w:themeColor="accent6" w:themeShade="94"/>
        <w:sz w:val="22"/>
      </w:rPr>
      <w:tblPr/>
      <w:tcPr>
        <w:tcBorders>
          <w:top w:val="nil"/>
          <w:left w:val="nil"/>
          <w:bottom w:val="nil"/>
          <w:right w:val="single" w:sz="4" w:space="0" w:color="FAC396" w:themeColor="accent6" w:themeTint="90"/>
        </w:tcBorders>
        <w:shd w:val="clear" w:color="auto" w:fill="FFFFFF"/>
      </w:tcPr>
    </w:tblStylePr>
    <w:tblStylePr w:type="lastCol">
      <w:pPr>
        <w:snapToGrid/>
      </w:pPr>
      <w:rPr>
        <w:rFonts w:ascii="Arial" w:hAnsi="Arial"/>
        <w:i/>
        <w:color w:val="B05307" w:themeColor="accent6" w:themeShade="94"/>
        <w:sz w:val="22"/>
      </w:rPr>
      <w:tblPr/>
      <w:tcPr>
        <w:tcBorders>
          <w:top w:val="nil"/>
          <w:left w:val="single" w:sz="4" w:space="0" w:color="FAC396" w:themeColor="accent6" w:themeTint="90"/>
          <w:bottom w:val="nil"/>
          <w:right w:val="nil"/>
        </w:tcBorders>
        <w:shd w:val="clear" w:color="auto" w:fill="FFFFFF"/>
      </w:tcPr>
    </w:tblStylePr>
    <w:tblStylePr w:type="band1Vert">
      <w:pPr>
        <w:snapToGrid/>
      </w:pPr>
      <w:tblPr/>
      <w:tcPr>
        <w:shd w:val="clear" w:color="auto" w:fill="FDE9D8" w:themeFill="accent6" w:themeFillTint="34"/>
      </w:tcPr>
    </w:tblStylePr>
    <w:tblStylePr w:type="band2Vert">
      <w:pPr>
        <w:snapToGrid/>
      </w:pPr>
    </w:tblStylePr>
    <w:tblStylePr w:type="band1Horz">
      <w:pPr>
        <w:snapToGrid/>
      </w:pPr>
      <w:rPr>
        <w:rFonts w:ascii="Arial" w:hAnsi="Arial"/>
        <w:color w:val="B05307" w:themeColor="accent6" w:themeShade="94"/>
        <w:sz w:val="22"/>
      </w:rPr>
      <w:tblPr/>
      <w:tcPr>
        <w:shd w:val="clear" w:color="auto" w:fill="FDE9D8" w:themeFill="accent6" w:themeFillTint="34"/>
      </w:tcPr>
    </w:tblStylePr>
    <w:tblStylePr w:type="band2Horz">
      <w:pPr>
        <w:snapToGrid/>
      </w:pPr>
      <w:rPr>
        <w:rFonts w:ascii="Arial" w:hAnsi="Arial"/>
        <w:color w:val="B05307" w:themeColor="accent6" w:themeShade="94"/>
        <w:sz w:val="22"/>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112">
    <w:name w:val="清单表 1 浅色1"/>
    <w:basedOn w:val="a1"/>
    <w:uiPriority w:val="99"/>
    <w:qFormat/>
    <w:tblPr/>
    <w:tblStylePr w:type="firstRow">
      <w:pPr>
        <w:snapToGrid/>
      </w:pPr>
      <w:rPr>
        <w:b/>
        <w:color w:val="404040"/>
      </w:rPr>
      <w:tblPr/>
      <w:tcPr>
        <w:tcBorders>
          <w:top w:val="nil"/>
          <w:left w:val="nil"/>
          <w:bottom w:val="single" w:sz="4" w:space="0" w:color="000000" w:themeColor="text1"/>
          <w:right w:val="nil"/>
        </w:tcBorders>
      </w:tcPr>
    </w:tblStylePr>
    <w:tblStylePr w:type="lastRow">
      <w:pPr>
        <w:snapToGrid/>
      </w:pPr>
      <w:rPr>
        <w:b/>
        <w:color w:val="404040"/>
      </w:rPr>
      <w:tblPr/>
      <w:tcPr>
        <w:tcBorders>
          <w:top w:val="single" w:sz="4" w:space="0" w:color="000000" w:themeColor="text1"/>
          <w:left w:val="nil"/>
          <w:bottom w:val="nil"/>
          <w:right w:val="nil"/>
        </w:tcBorders>
      </w:tcPr>
    </w:tblStylePr>
    <w:tblStylePr w:type="firstCol">
      <w:pPr>
        <w:snapToGrid/>
      </w:pPr>
      <w:rPr>
        <w:b/>
        <w:color w:val="404040"/>
      </w:rPr>
    </w:tblStylePr>
    <w:tblStylePr w:type="lastCol">
      <w:pPr>
        <w:snapToGrid/>
      </w:pPr>
      <w:rPr>
        <w:b/>
        <w:color w:val="404040"/>
      </w:rPr>
    </w:tblStylePr>
    <w:tblStylePr w:type="band1Vert">
      <w:pPr>
        <w:snapToGrid/>
      </w:pPr>
      <w:tblPr/>
      <w:tcPr>
        <w:shd w:val="clear" w:color="auto" w:fill="BFBFBF" w:themeFill="text1" w:themeFillTint="40"/>
      </w:tcPr>
    </w:tblStylePr>
    <w:tblStylePr w:type="band2Vert">
      <w:pPr>
        <w:snapToGrid/>
      </w:pPr>
    </w:tblStylePr>
    <w:tblStylePr w:type="band1Horz">
      <w:pPr>
        <w:snapToGrid/>
      </w:pPr>
      <w:tblPr/>
      <w:tcPr>
        <w:shd w:val="clear" w:color="auto" w:fill="BFBFBF" w:themeFill="text1" w:themeFillTint="40"/>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1Light-Accent1">
    <w:name w:val="List Table 1 Light - Accent 1"/>
    <w:basedOn w:val="a1"/>
    <w:uiPriority w:val="99"/>
    <w:qFormat/>
    <w:tblPr/>
    <w:tblStylePr w:type="firstRow">
      <w:pPr>
        <w:snapToGrid/>
      </w:pPr>
      <w:rPr>
        <w:b/>
        <w:color w:val="404040"/>
      </w:rPr>
      <w:tblPr/>
      <w:tcPr>
        <w:tcBorders>
          <w:top w:val="nil"/>
          <w:left w:val="nil"/>
          <w:bottom w:val="single" w:sz="4" w:space="0" w:color="4F81BD" w:themeColor="accent1"/>
          <w:right w:val="nil"/>
        </w:tcBorders>
      </w:tcPr>
    </w:tblStylePr>
    <w:tblStylePr w:type="lastRow">
      <w:pPr>
        <w:snapToGrid/>
      </w:pPr>
      <w:rPr>
        <w:b/>
        <w:color w:val="404040"/>
      </w:rPr>
      <w:tblPr/>
      <w:tcPr>
        <w:tcBorders>
          <w:top w:val="single" w:sz="4" w:space="0" w:color="4F81BD" w:themeColor="accent1"/>
          <w:left w:val="nil"/>
          <w:bottom w:val="nil"/>
          <w:right w:val="nil"/>
        </w:tcBorders>
      </w:tcPr>
    </w:tblStylePr>
    <w:tblStylePr w:type="firstCol">
      <w:pPr>
        <w:snapToGrid/>
      </w:pPr>
      <w:rPr>
        <w:b/>
        <w:color w:val="404040"/>
      </w:rPr>
    </w:tblStylePr>
    <w:tblStylePr w:type="lastCol">
      <w:pPr>
        <w:snapToGrid/>
      </w:pPr>
      <w:rPr>
        <w:b/>
        <w:color w:val="404040"/>
      </w:rPr>
    </w:tblStylePr>
    <w:tblStylePr w:type="band1Vert">
      <w:pPr>
        <w:snapToGrid/>
      </w:pPr>
      <w:tblPr/>
      <w:tcPr>
        <w:shd w:val="clear" w:color="auto" w:fill="D2DFEE" w:themeFill="accent1" w:themeFillTint="40"/>
      </w:tcPr>
    </w:tblStylePr>
    <w:tblStylePr w:type="band2Vert">
      <w:pPr>
        <w:snapToGrid/>
      </w:pPr>
    </w:tblStylePr>
    <w:tblStylePr w:type="band1Horz">
      <w:pPr>
        <w:snapToGrid/>
      </w:pPr>
      <w:tblPr/>
      <w:tcPr>
        <w:shd w:val="clear" w:color="auto" w:fill="D2DFEE" w:themeFill="accent1" w:themeFillTint="40"/>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1Light-Accent2">
    <w:name w:val="List Table 1 Light - Accent 2"/>
    <w:basedOn w:val="a1"/>
    <w:uiPriority w:val="99"/>
    <w:qFormat/>
    <w:tblPr/>
    <w:tblStylePr w:type="firstRow">
      <w:pPr>
        <w:snapToGrid/>
      </w:pPr>
      <w:rPr>
        <w:b/>
        <w:color w:val="404040"/>
      </w:rPr>
      <w:tblPr/>
      <w:tcPr>
        <w:tcBorders>
          <w:top w:val="nil"/>
          <w:left w:val="nil"/>
          <w:bottom w:val="single" w:sz="4" w:space="0" w:color="C0504D" w:themeColor="accent2"/>
          <w:right w:val="nil"/>
        </w:tcBorders>
      </w:tcPr>
    </w:tblStylePr>
    <w:tblStylePr w:type="lastRow">
      <w:pPr>
        <w:snapToGrid/>
      </w:pPr>
      <w:rPr>
        <w:b/>
        <w:color w:val="404040"/>
      </w:rPr>
      <w:tblPr/>
      <w:tcPr>
        <w:tcBorders>
          <w:top w:val="single" w:sz="4" w:space="0" w:color="C0504D" w:themeColor="accent2"/>
          <w:left w:val="nil"/>
          <w:bottom w:val="nil"/>
          <w:right w:val="nil"/>
        </w:tcBorders>
      </w:tcPr>
    </w:tblStylePr>
    <w:tblStylePr w:type="firstCol">
      <w:pPr>
        <w:snapToGrid/>
      </w:pPr>
      <w:rPr>
        <w:b/>
        <w:color w:val="404040"/>
      </w:rPr>
    </w:tblStylePr>
    <w:tblStylePr w:type="lastCol">
      <w:pPr>
        <w:snapToGrid/>
      </w:pPr>
      <w:rPr>
        <w:b/>
        <w:color w:val="404040"/>
      </w:rPr>
    </w:tblStylePr>
    <w:tblStylePr w:type="band1Vert">
      <w:pPr>
        <w:snapToGrid/>
      </w:pPr>
      <w:tblPr/>
      <w:tcPr>
        <w:shd w:val="clear" w:color="auto" w:fill="EFD2D2" w:themeFill="accent2" w:themeFillTint="40"/>
      </w:tcPr>
    </w:tblStylePr>
    <w:tblStylePr w:type="band2Vert">
      <w:pPr>
        <w:snapToGrid/>
      </w:pPr>
    </w:tblStylePr>
    <w:tblStylePr w:type="band1Horz">
      <w:pPr>
        <w:snapToGrid/>
      </w:pPr>
      <w:tblPr/>
      <w:tcPr>
        <w:shd w:val="clear" w:color="auto" w:fill="EFD2D2" w:themeFill="accent2" w:themeFillTint="40"/>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1Light-Accent3">
    <w:name w:val="List Table 1 Light - Accent 3"/>
    <w:basedOn w:val="a1"/>
    <w:uiPriority w:val="99"/>
    <w:qFormat/>
    <w:tblPr/>
    <w:tblStylePr w:type="firstRow">
      <w:pPr>
        <w:snapToGrid/>
      </w:pPr>
      <w:rPr>
        <w:b/>
        <w:color w:val="404040"/>
      </w:rPr>
      <w:tblPr/>
      <w:tcPr>
        <w:tcBorders>
          <w:top w:val="nil"/>
          <w:left w:val="nil"/>
          <w:bottom w:val="single" w:sz="4" w:space="0" w:color="9BBB59" w:themeColor="accent3"/>
          <w:right w:val="nil"/>
        </w:tcBorders>
      </w:tcPr>
    </w:tblStylePr>
    <w:tblStylePr w:type="lastRow">
      <w:pPr>
        <w:snapToGrid/>
      </w:pPr>
      <w:rPr>
        <w:b/>
        <w:color w:val="404040"/>
      </w:rPr>
      <w:tblPr/>
      <w:tcPr>
        <w:tcBorders>
          <w:top w:val="single" w:sz="4" w:space="0" w:color="9BBB59" w:themeColor="accent3"/>
          <w:left w:val="nil"/>
          <w:bottom w:val="nil"/>
          <w:right w:val="nil"/>
        </w:tcBorders>
      </w:tcPr>
    </w:tblStylePr>
    <w:tblStylePr w:type="firstCol">
      <w:pPr>
        <w:snapToGrid/>
      </w:pPr>
      <w:rPr>
        <w:b/>
        <w:color w:val="404040"/>
      </w:rPr>
    </w:tblStylePr>
    <w:tblStylePr w:type="lastCol">
      <w:pPr>
        <w:snapToGrid/>
      </w:pPr>
      <w:rPr>
        <w:b/>
        <w:color w:val="404040"/>
      </w:rPr>
    </w:tblStylePr>
    <w:tblStylePr w:type="band1Vert">
      <w:pPr>
        <w:snapToGrid/>
      </w:pPr>
      <w:tblPr/>
      <w:tcPr>
        <w:shd w:val="clear" w:color="auto" w:fill="E5EED5" w:themeFill="accent3" w:themeFillTint="40"/>
      </w:tcPr>
    </w:tblStylePr>
    <w:tblStylePr w:type="band2Vert">
      <w:pPr>
        <w:snapToGrid/>
      </w:pPr>
    </w:tblStylePr>
    <w:tblStylePr w:type="band1Horz">
      <w:pPr>
        <w:snapToGrid/>
      </w:pPr>
      <w:tblPr/>
      <w:tcPr>
        <w:shd w:val="clear" w:color="auto" w:fill="E5EED5" w:themeFill="accent3" w:themeFillTint="40"/>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1Light-Accent4">
    <w:name w:val="List Table 1 Light - Accent 4"/>
    <w:basedOn w:val="a1"/>
    <w:uiPriority w:val="99"/>
    <w:qFormat/>
    <w:tblPr/>
    <w:tblStylePr w:type="firstRow">
      <w:pPr>
        <w:snapToGrid/>
      </w:pPr>
      <w:rPr>
        <w:b/>
        <w:color w:val="404040"/>
      </w:rPr>
      <w:tblPr/>
      <w:tcPr>
        <w:tcBorders>
          <w:top w:val="nil"/>
          <w:left w:val="nil"/>
          <w:bottom w:val="single" w:sz="4" w:space="0" w:color="8064A2" w:themeColor="accent4"/>
          <w:right w:val="nil"/>
        </w:tcBorders>
      </w:tcPr>
    </w:tblStylePr>
    <w:tblStylePr w:type="lastRow">
      <w:pPr>
        <w:snapToGrid/>
      </w:pPr>
      <w:rPr>
        <w:b/>
        <w:color w:val="404040"/>
      </w:rPr>
      <w:tblPr/>
      <w:tcPr>
        <w:tcBorders>
          <w:top w:val="single" w:sz="4" w:space="0" w:color="8064A2" w:themeColor="accent4"/>
          <w:left w:val="nil"/>
          <w:bottom w:val="nil"/>
          <w:right w:val="nil"/>
        </w:tcBorders>
      </w:tcPr>
    </w:tblStylePr>
    <w:tblStylePr w:type="firstCol">
      <w:pPr>
        <w:snapToGrid/>
      </w:pPr>
      <w:rPr>
        <w:b/>
        <w:color w:val="404040"/>
      </w:rPr>
    </w:tblStylePr>
    <w:tblStylePr w:type="lastCol">
      <w:pPr>
        <w:snapToGrid/>
      </w:pPr>
      <w:rPr>
        <w:b/>
        <w:color w:val="404040"/>
      </w:rPr>
    </w:tblStylePr>
    <w:tblStylePr w:type="band1Vert">
      <w:pPr>
        <w:snapToGrid/>
      </w:pPr>
      <w:tblPr/>
      <w:tcPr>
        <w:shd w:val="clear" w:color="auto" w:fill="DFD8E7" w:themeFill="accent4" w:themeFillTint="40"/>
      </w:tcPr>
    </w:tblStylePr>
    <w:tblStylePr w:type="band2Vert">
      <w:pPr>
        <w:snapToGrid/>
      </w:pPr>
    </w:tblStylePr>
    <w:tblStylePr w:type="band1Horz">
      <w:pPr>
        <w:snapToGrid/>
      </w:pPr>
      <w:tblPr/>
      <w:tcPr>
        <w:shd w:val="clear" w:color="auto" w:fill="DFD8E7" w:themeFill="accent4" w:themeFillTint="40"/>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1Light-Accent5">
    <w:name w:val="List Table 1 Light - Accent 5"/>
    <w:basedOn w:val="a1"/>
    <w:uiPriority w:val="99"/>
    <w:qFormat/>
    <w:tblPr/>
    <w:tblStylePr w:type="firstRow">
      <w:pPr>
        <w:snapToGrid/>
      </w:pPr>
      <w:rPr>
        <w:b/>
        <w:color w:val="404040"/>
      </w:rPr>
      <w:tblPr/>
      <w:tcPr>
        <w:tcBorders>
          <w:top w:val="nil"/>
          <w:left w:val="nil"/>
          <w:bottom w:val="single" w:sz="4" w:space="0" w:color="4BACC6" w:themeColor="accent5"/>
          <w:right w:val="nil"/>
        </w:tcBorders>
      </w:tcPr>
    </w:tblStylePr>
    <w:tblStylePr w:type="lastRow">
      <w:pPr>
        <w:snapToGrid/>
      </w:pPr>
      <w:rPr>
        <w:b/>
        <w:color w:val="404040"/>
      </w:rPr>
      <w:tblPr/>
      <w:tcPr>
        <w:tcBorders>
          <w:top w:val="single" w:sz="4" w:space="0" w:color="4BACC6" w:themeColor="accent5"/>
          <w:left w:val="nil"/>
          <w:bottom w:val="nil"/>
          <w:right w:val="nil"/>
        </w:tcBorders>
      </w:tcPr>
    </w:tblStylePr>
    <w:tblStylePr w:type="firstCol">
      <w:pPr>
        <w:snapToGrid/>
      </w:pPr>
      <w:rPr>
        <w:b/>
        <w:color w:val="404040"/>
      </w:rPr>
    </w:tblStylePr>
    <w:tblStylePr w:type="lastCol">
      <w:pPr>
        <w:snapToGrid/>
      </w:pPr>
      <w:rPr>
        <w:b/>
        <w:color w:val="404040"/>
      </w:rPr>
    </w:tblStylePr>
    <w:tblStylePr w:type="band1Vert">
      <w:pPr>
        <w:snapToGrid/>
      </w:pPr>
      <w:tblPr/>
      <w:tcPr>
        <w:shd w:val="clear" w:color="auto" w:fill="D1EAF0" w:themeFill="accent5" w:themeFillTint="40"/>
      </w:tcPr>
    </w:tblStylePr>
    <w:tblStylePr w:type="band2Vert">
      <w:pPr>
        <w:snapToGrid/>
      </w:pPr>
    </w:tblStylePr>
    <w:tblStylePr w:type="band1Horz">
      <w:pPr>
        <w:snapToGrid/>
      </w:pPr>
      <w:tblPr/>
      <w:tcPr>
        <w:shd w:val="clear" w:color="auto" w:fill="D1EAF0" w:themeFill="accent5" w:themeFillTint="40"/>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1Light-Accent6">
    <w:name w:val="List Table 1 Light - Accent 6"/>
    <w:basedOn w:val="a1"/>
    <w:uiPriority w:val="99"/>
    <w:qFormat/>
    <w:tblPr/>
    <w:tblStylePr w:type="firstRow">
      <w:pPr>
        <w:snapToGrid/>
      </w:pPr>
      <w:rPr>
        <w:b/>
        <w:color w:val="404040"/>
      </w:rPr>
      <w:tblPr/>
      <w:tcPr>
        <w:tcBorders>
          <w:top w:val="nil"/>
          <w:left w:val="nil"/>
          <w:bottom w:val="single" w:sz="4" w:space="0" w:color="F79646" w:themeColor="accent6"/>
          <w:right w:val="nil"/>
        </w:tcBorders>
      </w:tcPr>
    </w:tblStylePr>
    <w:tblStylePr w:type="lastRow">
      <w:pPr>
        <w:snapToGrid/>
      </w:pPr>
      <w:rPr>
        <w:b/>
        <w:color w:val="404040"/>
      </w:rPr>
      <w:tblPr/>
      <w:tcPr>
        <w:tcBorders>
          <w:top w:val="single" w:sz="4" w:space="0" w:color="F79646" w:themeColor="accent6"/>
          <w:left w:val="nil"/>
          <w:bottom w:val="nil"/>
          <w:right w:val="nil"/>
        </w:tcBorders>
      </w:tcPr>
    </w:tblStylePr>
    <w:tblStylePr w:type="firstCol">
      <w:pPr>
        <w:snapToGrid/>
      </w:pPr>
      <w:rPr>
        <w:b/>
        <w:color w:val="404040"/>
      </w:rPr>
    </w:tblStylePr>
    <w:tblStylePr w:type="lastCol">
      <w:pPr>
        <w:snapToGrid/>
      </w:pPr>
      <w:rPr>
        <w:b/>
        <w:color w:val="404040"/>
      </w:rPr>
    </w:tblStylePr>
    <w:tblStylePr w:type="band1Vert">
      <w:pPr>
        <w:snapToGrid/>
      </w:pPr>
      <w:tblPr/>
      <w:tcPr>
        <w:shd w:val="clear" w:color="auto" w:fill="FDE4D0" w:themeFill="accent6" w:themeFillTint="40"/>
      </w:tcPr>
    </w:tblStylePr>
    <w:tblStylePr w:type="band2Vert">
      <w:pPr>
        <w:snapToGrid/>
      </w:pPr>
    </w:tblStylePr>
    <w:tblStylePr w:type="band1Horz">
      <w:pPr>
        <w:snapToGrid/>
      </w:pPr>
      <w:tblPr/>
      <w:tcPr>
        <w:shd w:val="clear" w:color="auto" w:fill="FDE4D0" w:themeFill="accent6" w:themeFillTint="40"/>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212">
    <w:name w:val="清单表 21"/>
    <w:basedOn w:val="a1"/>
    <w:uiPriority w:val="99"/>
    <w:qFormat/>
    <w:tblPr>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pPr>
        <w:snapToGrid/>
      </w:pPr>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pPr>
        <w:snapToGrid/>
      </w:pPr>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pPr>
        <w:snapToGrid/>
      </w:pPr>
      <w:rPr>
        <w:rFonts w:ascii="Arial" w:hAnsi="Arial"/>
        <w:b/>
        <w:color w:val="404040"/>
        <w:sz w:val="22"/>
      </w:rPr>
    </w:tblStylePr>
    <w:tblStylePr w:type="lastCol">
      <w:pPr>
        <w:snapToGrid/>
      </w:pPr>
      <w:rPr>
        <w:rFonts w:ascii="Arial" w:hAnsi="Arial"/>
        <w:b/>
        <w:color w:val="404040"/>
        <w:sz w:val="22"/>
      </w:rPr>
    </w:tblStylePr>
    <w:tblStylePr w:type="band1Vert">
      <w:pPr>
        <w:snapToGrid/>
      </w:pPr>
      <w:rPr>
        <w:rFonts w:ascii="Arial" w:hAnsi="Arial"/>
        <w:color w:val="404040"/>
        <w:sz w:val="22"/>
      </w:rPr>
      <w:tblPr/>
      <w:tcPr>
        <w:shd w:val="clear" w:color="auto" w:fill="BFBFBF" w:themeFill="text1" w:themeFillTint="40"/>
      </w:tcPr>
    </w:tblStylePr>
    <w:tblStylePr w:type="band2Vert">
      <w:pPr>
        <w:snapToGrid/>
      </w:pPr>
    </w:tblStylePr>
    <w:tblStylePr w:type="band1Horz">
      <w:pPr>
        <w:snapToGrid/>
      </w:pPr>
      <w:rPr>
        <w:rFonts w:ascii="Arial" w:hAnsi="Arial"/>
        <w:color w:val="404040"/>
        <w:sz w:val="22"/>
      </w:rPr>
      <w:tblPr/>
      <w:tcPr>
        <w:shd w:val="clear" w:color="auto" w:fill="BFBFBF" w:themeFill="text1" w:themeFillTint="40"/>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2-Accent1">
    <w:name w:val="List Table 2 - Accent 1"/>
    <w:basedOn w:val="a1"/>
    <w:uiPriority w:val="99"/>
    <w:qFormat/>
    <w:tblPr>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pPr>
        <w:snapToGrid/>
      </w:pPr>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lastRow">
      <w:pPr>
        <w:snapToGrid/>
      </w:pPr>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firstCol">
      <w:pPr>
        <w:snapToGrid/>
      </w:pPr>
      <w:rPr>
        <w:rFonts w:ascii="Arial" w:hAnsi="Arial"/>
        <w:b/>
        <w:color w:val="404040"/>
        <w:sz w:val="22"/>
      </w:rPr>
    </w:tblStylePr>
    <w:tblStylePr w:type="lastCol">
      <w:pPr>
        <w:snapToGrid/>
      </w:pPr>
      <w:rPr>
        <w:rFonts w:ascii="Arial" w:hAnsi="Arial"/>
        <w:b/>
        <w:color w:val="404040"/>
        <w:sz w:val="22"/>
      </w:rPr>
    </w:tblStylePr>
    <w:tblStylePr w:type="band1Vert">
      <w:pPr>
        <w:snapToGrid/>
      </w:pPr>
      <w:rPr>
        <w:rFonts w:ascii="Arial" w:hAnsi="Arial"/>
        <w:color w:val="404040"/>
        <w:sz w:val="22"/>
      </w:rPr>
      <w:tblPr/>
      <w:tcPr>
        <w:shd w:val="clear" w:color="auto" w:fill="D2DFEE" w:themeFill="accent1" w:themeFillTint="40"/>
      </w:tcPr>
    </w:tblStylePr>
    <w:tblStylePr w:type="band2Vert">
      <w:pPr>
        <w:snapToGrid/>
      </w:pPr>
    </w:tblStylePr>
    <w:tblStylePr w:type="band1Horz">
      <w:pPr>
        <w:snapToGrid/>
      </w:pPr>
      <w:rPr>
        <w:rFonts w:ascii="Arial" w:hAnsi="Arial"/>
        <w:color w:val="404040"/>
        <w:sz w:val="22"/>
      </w:rPr>
      <w:tblPr/>
      <w:tcPr>
        <w:shd w:val="clear" w:color="auto" w:fill="D2DFEE" w:themeFill="accent1" w:themeFillTint="40"/>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2-Accent2">
    <w:name w:val="List Table 2 - Accent 2"/>
    <w:basedOn w:val="a1"/>
    <w:uiPriority w:val="99"/>
    <w:qFormat/>
    <w:tblPr>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pPr>
        <w:snapToGrid/>
      </w:pPr>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lastRow">
      <w:pPr>
        <w:snapToGrid/>
      </w:pPr>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firstCol">
      <w:pPr>
        <w:snapToGrid/>
      </w:pPr>
      <w:rPr>
        <w:rFonts w:ascii="Arial" w:hAnsi="Arial"/>
        <w:b/>
        <w:color w:val="404040"/>
        <w:sz w:val="22"/>
      </w:rPr>
    </w:tblStylePr>
    <w:tblStylePr w:type="lastCol">
      <w:pPr>
        <w:snapToGrid/>
      </w:pPr>
      <w:rPr>
        <w:rFonts w:ascii="Arial" w:hAnsi="Arial"/>
        <w:b/>
        <w:color w:val="404040"/>
        <w:sz w:val="22"/>
      </w:rPr>
    </w:tblStylePr>
    <w:tblStylePr w:type="band1Vert">
      <w:pPr>
        <w:snapToGrid/>
      </w:pPr>
      <w:rPr>
        <w:rFonts w:ascii="Arial" w:hAnsi="Arial"/>
        <w:color w:val="404040"/>
        <w:sz w:val="22"/>
      </w:rPr>
      <w:tblPr/>
      <w:tcPr>
        <w:shd w:val="clear" w:color="auto" w:fill="EFD2D2" w:themeFill="accent2" w:themeFillTint="40"/>
      </w:tcPr>
    </w:tblStylePr>
    <w:tblStylePr w:type="band2Vert">
      <w:pPr>
        <w:snapToGrid/>
      </w:pPr>
    </w:tblStylePr>
    <w:tblStylePr w:type="band1Horz">
      <w:pPr>
        <w:snapToGrid/>
      </w:pPr>
      <w:rPr>
        <w:rFonts w:ascii="Arial" w:hAnsi="Arial"/>
        <w:color w:val="404040"/>
        <w:sz w:val="22"/>
      </w:rPr>
      <w:tblPr/>
      <w:tcPr>
        <w:shd w:val="clear" w:color="auto" w:fill="EFD2D2" w:themeFill="accent2" w:themeFillTint="40"/>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2-Accent3">
    <w:name w:val="List Table 2 - Accent 3"/>
    <w:basedOn w:val="a1"/>
    <w:uiPriority w:val="99"/>
    <w:qFormat/>
    <w:tblPr>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pPr>
        <w:snapToGrid/>
      </w:pPr>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lastRow">
      <w:pPr>
        <w:snapToGrid/>
      </w:pPr>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firstCol">
      <w:pPr>
        <w:snapToGrid/>
      </w:pPr>
      <w:rPr>
        <w:rFonts w:ascii="Arial" w:hAnsi="Arial"/>
        <w:b/>
        <w:color w:val="404040"/>
        <w:sz w:val="22"/>
      </w:rPr>
    </w:tblStylePr>
    <w:tblStylePr w:type="lastCol">
      <w:pPr>
        <w:snapToGrid/>
      </w:pPr>
      <w:rPr>
        <w:rFonts w:ascii="Arial" w:hAnsi="Arial"/>
        <w:b/>
        <w:color w:val="404040"/>
        <w:sz w:val="22"/>
      </w:rPr>
    </w:tblStylePr>
    <w:tblStylePr w:type="band1Vert">
      <w:pPr>
        <w:snapToGrid/>
      </w:pPr>
      <w:rPr>
        <w:rFonts w:ascii="Arial" w:hAnsi="Arial"/>
        <w:color w:val="404040"/>
        <w:sz w:val="22"/>
      </w:rPr>
      <w:tblPr/>
      <w:tcPr>
        <w:shd w:val="clear" w:color="auto" w:fill="E5EED5" w:themeFill="accent3" w:themeFillTint="40"/>
      </w:tcPr>
    </w:tblStylePr>
    <w:tblStylePr w:type="band2Vert">
      <w:pPr>
        <w:snapToGrid/>
      </w:pPr>
    </w:tblStylePr>
    <w:tblStylePr w:type="band1Horz">
      <w:pPr>
        <w:snapToGrid/>
      </w:pPr>
      <w:rPr>
        <w:rFonts w:ascii="Arial" w:hAnsi="Arial"/>
        <w:color w:val="404040"/>
        <w:sz w:val="22"/>
      </w:rPr>
      <w:tblPr/>
      <w:tcPr>
        <w:shd w:val="clear" w:color="auto" w:fill="E5EED5" w:themeFill="accent3" w:themeFillTint="40"/>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2-Accent4">
    <w:name w:val="List Table 2 - Accent 4"/>
    <w:basedOn w:val="a1"/>
    <w:uiPriority w:val="99"/>
    <w:qFormat/>
    <w:tblPr>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pPr>
        <w:snapToGrid/>
      </w:pPr>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lastRow">
      <w:pPr>
        <w:snapToGrid/>
      </w:pPr>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firstCol">
      <w:pPr>
        <w:snapToGrid/>
      </w:pPr>
      <w:rPr>
        <w:rFonts w:ascii="Arial" w:hAnsi="Arial"/>
        <w:b/>
        <w:color w:val="404040"/>
        <w:sz w:val="22"/>
      </w:rPr>
    </w:tblStylePr>
    <w:tblStylePr w:type="lastCol">
      <w:pPr>
        <w:snapToGrid/>
      </w:pPr>
      <w:rPr>
        <w:rFonts w:ascii="Arial" w:hAnsi="Arial"/>
        <w:b/>
        <w:color w:val="404040"/>
        <w:sz w:val="22"/>
      </w:rPr>
    </w:tblStylePr>
    <w:tblStylePr w:type="band1Vert">
      <w:pPr>
        <w:snapToGrid/>
      </w:pPr>
      <w:rPr>
        <w:rFonts w:ascii="Arial" w:hAnsi="Arial"/>
        <w:color w:val="404040"/>
        <w:sz w:val="22"/>
      </w:rPr>
      <w:tblPr/>
      <w:tcPr>
        <w:shd w:val="clear" w:color="auto" w:fill="DFD8E7" w:themeFill="accent4" w:themeFillTint="40"/>
      </w:tcPr>
    </w:tblStylePr>
    <w:tblStylePr w:type="band2Vert">
      <w:pPr>
        <w:snapToGrid/>
      </w:pPr>
    </w:tblStylePr>
    <w:tblStylePr w:type="band1Horz">
      <w:pPr>
        <w:snapToGrid/>
      </w:pPr>
      <w:rPr>
        <w:rFonts w:ascii="Arial" w:hAnsi="Arial"/>
        <w:color w:val="404040"/>
        <w:sz w:val="22"/>
      </w:rPr>
      <w:tblPr/>
      <w:tcPr>
        <w:shd w:val="clear" w:color="auto" w:fill="DFD8E7" w:themeFill="accent4" w:themeFillTint="40"/>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2-Accent5">
    <w:name w:val="List Table 2 - Accent 5"/>
    <w:basedOn w:val="a1"/>
    <w:uiPriority w:val="99"/>
    <w:qFormat/>
    <w:tblPr>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pPr>
        <w:snapToGrid/>
      </w:pPr>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lastRow">
      <w:pPr>
        <w:snapToGrid/>
      </w:pPr>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firstCol">
      <w:pPr>
        <w:snapToGrid/>
      </w:pPr>
      <w:rPr>
        <w:rFonts w:ascii="Arial" w:hAnsi="Arial"/>
        <w:b/>
        <w:color w:val="404040"/>
        <w:sz w:val="22"/>
      </w:rPr>
    </w:tblStylePr>
    <w:tblStylePr w:type="lastCol">
      <w:pPr>
        <w:snapToGrid/>
      </w:pPr>
      <w:rPr>
        <w:rFonts w:ascii="Arial" w:hAnsi="Arial"/>
        <w:b/>
        <w:color w:val="404040"/>
        <w:sz w:val="22"/>
      </w:rPr>
    </w:tblStylePr>
    <w:tblStylePr w:type="band1Vert">
      <w:pPr>
        <w:snapToGrid/>
      </w:pPr>
      <w:rPr>
        <w:rFonts w:ascii="Arial" w:hAnsi="Arial"/>
        <w:color w:val="404040"/>
        <w:sz w:val="22"/>
      </w:rPr>
      <w:tblPr/>
      <w:tcPr>
        <w:shd w:val="clear" w:color="auto" w:fill="D1EAF0" w:themeFill="accent5" w:themeFillTint="40"/>
      </w:tcPr>
    </w:tblStylePr>
    <w:tblStylePr w:type="band2Vert">
      <w:pPr>
        <w:snapToGrid/>
      </w:pPr>
    </w:tblStylePr>
    <w:tblStylePr w:type="band1Horz">
      <w:pPr>
        <w:snapToGrid/>
      </w:pPr>
      <w:rPr>
        <w:rFonts w:ascii="Arial" w:hAnsi="Arial"/>
        <w:color w:val="404040"/>
        <w:sz w:val="22"/>
      </w:rPr>
      <w:tblPr/>
      <w:tcPr>
        <w:shd w:val="clear" w:color="auto" w:fill="D1EAF0" w:themeFill="accent5" w:themeFillTint="40"/>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2-Accent6">
    <w:name w:val="List Table 2 - Accent 6"/>
    <w:basedOn w:val="a1"/>
    <w:uiPriority w:val="99"/>
    <w:qFormat/>
    <w:tblPr>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pPr>
        <w:snapToGrid/>
      </w:pPr>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lastRow">
      <w:pPr>
        <w:snapToGrid/>
      </w:pPr>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firstCol">
      <w:pPr>
        <w:snapToGrid/>
      </w:pPr>
      <w:rPr>
        <w:rFonts w:ascii="Arial" w:hAnsi="Arial"/>
        <w:b/>
        <w:color w:val="404040"/>
        <w:sz w:val="22"/>
      </w:rPr>
    </w:tblStylePr>
    <w:tblStylePr w:type="lastCol">
      <w:pPr>
        <w:snapToGrid/>
      </w:pPr>
      <w:rPr>
        <w:rFonts w:ascii="Arial" w:hAnsi="Arial"/>
        <w:b/>
        <w:color w:val="404040"/>
        <w:sz w:val="22"/>
      </w:rPr>
    </w:tblStylePr>
    <w:tblStylePr w:type="band1Vert">
      <w:pPr>
        <w:snapToGrid/>
      </w:pPr>
      <w:rPr>
        <w:rFonts w:ascii="Arial" w:hAnsi="Arial"/>
        <w:color w:val="404040"/>
        <w:sz w:val="22"/>
      </w:rPr>
      <w:tblPr/>
      <w:tcPr>
        <w:shd w:val="clear" w:color="auto" w:fill="FDE4D0" w:themeFill="accent6" w:themeFillTint="40"/>
      </w:tcPr>
    </w:tblStylePr>
    <w:tblStylePr w:type="band2Vert">
      <w:pPr>
        <w:snapToGrid/>
      </w:pPr>
    </w:tblStylePr>
    <w:tblStylePr w:type="band1Horz">
      <w:pPr>
        <w:snapToGrid/>
      </w:pPr>
      <w:rPr>
        <w:rFonts w:ascii="Arial" w:hAnsi="Arial"/>
        <w:color w:val="404040"/>
        <w:sz w:val="22"/>
      </w:rPr>
      <w:tblPr/>
      <w:tcPr>
        <w:shd w:val="clear" w:color="auto" w:fill="FDE4D0" w:themeFill="accent6" w:themeFillTint="40"/>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312">
    <w:name w:val="清单表 31"/>
    <w:basedOn w:val="a1"/>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pPr>
        <w:snapToGrid/>
      </w:pPr>
      <w:rPr>
        <w:rFonts w:ascii="Arial" w:hAnsi="Arial"/>
        <w:b/>
        <w:color w:val="FFFFFF"/>
        <w:sz w:val="22"/>
      </w:rPr>
      <w:tblPr/>
      <w:tcPr>
        <w:shd w:val="clear" w:color="auto" w:fill="000000" w:themeFill="text1"/>
      </w:tcPr>
    </w:tblStylePr>
    <w:tblStylePr w:type="lastRow">
      <w:pPr>
        <w:snapToGrid/>
      </w:pPr>
      <w:rPr>
        <w:b/>
        <w:color w:val="404040"/>
      </w:r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blPr/>
      <w:tcPr>
        <w:tcBorders>
          <w:left w:val="single" w:sz="4" w:space="0" w:color="000000" w:themeColor="text1"/>
          <w:right w:val="single" w:sz="4" w:space="0" w:color="000000" w:themeColor="text1"/>
        </w:tcBorders>
      </w:tcPr>
    </w:tblStylePr>
    <w:tblStylePr w:type="band2Vert">
      <w:pPr>
        <w:snapToGrid/>
      </w:pPr>
    </w:tblStylePr>
    <w:tblStylePr w:type="band1Horz">
      <w:pPr>
        <w:snapToGrid/>
      </w:pPr>
      <w:rPr>
        <w:rFonts w:ascii="Arial" w:hAnsi="Arial"/>
        <w:color w:val="404040"/>
        <w:sz w:val="22"/>
      </w:rPr>
      <w:tblPr/>
      <w:tcPr>
        <w:tcBorders>
          <w:top w:val="single" w:sz="4" w:space="0" w:color="000000" w:themeColor="text1"/>
          <w:bottom w:val="single" w:sz="4" w:space="0" w:color="000000" w:themeColor="text1"/>
        </w:tcBorders>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3-Accent1">
    <w:name w:val="List Table 3 - Accent 1"/>
    <w:basedOn w:val="a1"/>
    <w:uiPriority w:val="99"/>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pPr>
        <w:snapToGrid/>
      </w:pPr>
      <w:rPr>
        <w:rFonts w:ascii="Arial" w:hAnsi="Arial"/>
        <w:b/>
        <w:color w:val="FFFFFF"/>
        <w:sz w:val="22"/>
      </w:rPr>
      <w:tblPr/>
      <w:tcPr>
        <w:shd w:val="clear" w:color="auto" w:fill="4F81BD" w:themeFill="accent1"/>
      </w:tcPr>
    </w:tblStylePr>
    <w:tblStylePr w:type="lastRow">
      <w:pPr>
        <w:snapToGrid/>
      </w:pPr>
      <w:rPr>
        <w:b/>
        <w:color w:val="404040"/>
      </w:r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blPr/>
      <w:tcPr>
        <w:tcBorders>
          <w:left w:val="single" w:sz="4" w:space="0" w:color="4F81BD" w:themeColor="accent1"/>
          <w:right w:val="single" w:sz="4" w:space="0" w:color="4F81BD" w:themeColor="accent1"/>
        </w:tcBorders>
      </w:tcPr>
    </w:tblStylePr>
    <w:tblStylePr w:type="band2Vert">
      <w:pPr>
        <w:snapToGrid/>
      </w:pPr>
    </w:tblStylePr>
    <w:tblStylePr w:type="band1Horz">
      <w:pPr>
        <w:snapToGrid/>
      </w:pPr>
      <w:rPr>
        <w:rFonts w:ascii="Arial" w:hAnsi="Arial"/>
        <w:color w:val="404040"/>
        <w:sz w:val="22"/>
      </w:rPr>
      <w:tblPr/>
      <w:tcPr>
        <w:tcBorders>
          <w:top w:val="single" w:sz="4" w:space="0" w:color="4F81BD" w:themeColor="accent1"/>
          <w:bottom w:val="single" w:sz="4" w:space="0" w:color="4F81BD" w:themeColor="accent1"/>
        </w:tcBorders>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3-Accent2">
    <w:name w:val="List Table 3 - Accent 2"/>
    <w:basedOn w:val="a1"/>
    <w:uiPriority w:val="99"/>
    <w:qFormat/>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pPr>
        <w:snapToGrid/>
      </w:pPr>
      <w:rPr>
        <w:rFonts w:ascii="Arial" w:hAnsi="Arial"/>
        <w:b/>
        <w:color w:val="FFFFFF"/>
        <w:sz w:val="22"/>
      </w:rPr>
      <w:tblPr/>
      <w:tcPr>
        <w:shd w:val="clear" w:color="auto" w:fill="D99695" w:themeFill="accent2" w:themeFillTint="97"/>
      </w:tcPr>
    </w:tblStylePr>
    <w:tblStylePr w:type="lastRow">
      <w:pPr>
        <w:snapToGrid/>
      </w:pPr>
      <w:rPr>
        <w:b/>
        <w:color w:val="404040"/>
      </w:r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2Vert">
      <w:pPr>
        <w:snapToGrid/>
      </w:pPr>
    </w:tblStylePr>
    <w:tblStylePr w:type="band1Horz">
      <w:pPr>
        <w:snapToGrid/>
      </w:pPr>
      <w:rPr>
        <w:rFonts w:ascii="Arial" w:hAnsi="Arial"/>
        <w:color w:val="404040"/>
        <w:sz w:val="22"/>
      </w:rPr>
      <w:tblPr/>
      <w:tcPr>
        <w:tcBorders>
          <w:top w:val="single" w:sz="4" w:space="0" w:color="D99695" w:themeColor="accent2" w:themeTint="97"/>
          <w:bottom w:val="single" w:sz="4" w:space="0" w:color="D99695" w:themeColor="accent2" w:themeTint="97"/>
        </w:tcBorders>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3-Accent3">
    <w:name w:val="List Table 3 - Accent 3"/>
    <w:basedOn w:val="a1"/>
    <w:uiPriority w:val="99"/>
    <w:qFormat/>
    <w:tblPr>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pPr>
        <w:snapToGrid/>
      </w:pPr>
      <w:rPr>
        <w:rFonts w:ascii="Arial" w:hAnsi="Arial"/>
        <w:b/>
        <w:color w:val="FFFFFF"/>
        <w:sz w:val="22"/>
      </w:rPr>
      <w:tblPr/>
      <w:tcPr>
        <w:shd w:val="clear" w:color="auto" w:fill="C3D69B" w:themeFill="accent3" w:themeFillTint="98"/>
      </w:tcPr>
    </w:tblStylePr>
    <w:tblStylePr w:type="lastRow">
      <w:pPr>
        <w:snapToGrid/>
      </w:pPr>
      <w:rPr>
        <w:b/>
        <w:color w:val="404040"/>
      </w:r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2Vert">
      <w:pPr>
        <w:snapToGrid/>
      </w:pPr>
    </w:tblStylePr>
    <w:tblStylePr w:type="band1Horz">
      <w:pPr>
        <w:snapToGrid/>
      </w:pPr>
      <w:rPr>
        <w:rFonts w:ascii="Arial" w:hAnsi="Arial"/>
        <w:color w:val="404040"/>
        <w:sz w:val="22"/>
      </w:rPr>
      <w:tblPr/>
      <w:tcPr>
        <w:tcBorders>
          <w:top w:val="single" w:sz="4" w:space="0" w:color="C3D69B" w:themeColor="accent3" w:themeTint="98"/>
          <w:bottom w:val="single" w:sz="4" w:space="0" w:color="C3D69B" w:themeColor="accent3" w:themeTint="98"/>
        </w:tcBorders>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3-Accent4">
    <w:name w:val="List Table 3 - Accent 4"/>
    <w:basedOn w:val="a1"/>
    <w:uiPriority w:val="99"/>
    <w:qFormat/>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pPr>
        <w:snapToGrid/>
      </w:pPr>
      <w:rPr>
        <w:rFonts w:ascii="Arial" w:hAnsi="Arial"/>
        <w:b/>
        <w:color w:val="FFFFFF"/>
        <w:sz w:val="22"/>
      </w:rPr>
      <w:tblPr/>
      <w:tcPr>
        <w:shd w:val="clear" w:color="auto" w:fill="B2A1C6" w:themeFill="accent4" w:themeFillTint="9A"/>
      </w:tcPr>
    </w:tblStylePr>
    <w:tblStylePr w:type="lastRow">
      <w:pPr>
        <w:snapToGrid/>
      </w:pPr>
      <w:rPr>
        <w:b/>
        <w:color w:val="404040"/>
      </w:r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2Vert">
      <w:pPr>
        <w:snapToGrid/>
      </w:pPr>
    </w:tblStylePr>
    <w:tblStylePr w:type="band1Horz">
      <w:pPr>
        <w:snapToGrid/>
      </w:pPr>
      <w:rPr>
        <w:rFonts w:ascii="Arial" w:hAnsi="Arial"/>
        <w:color w:val="404040"/>
        <w:sz w:val="22"/>
      </w:rPr>
      <w:tblPr/>
      <w:tcPr>
        <w:tcBorders>
          <w:top w:val="single" w:sz="4" w:space="0" w:color="B2A1C6" w:themeColor="accent4" w:themeTint="9A"/>
          <w:bottom w:val="single" w:sz="4" w:space="0" w:color="B2A1C6" w:themeColor="accent4" w:themeTint="9A"/>
        </w:tcBorders>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3-Accent5">
    <w:name w:val="List Table 3 - Accent 5"/>
    <w:basedOn w:val="a1"/>
    <w:uiPriority w:val="99"/>
    <w:qFormat/>
    <w:tblPr>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pPr>
        <w:snapToGrid/>
      </w:pPr>
      <w:rPr>
        <w:rFonts w:ascii="Arial" w:hAnsi="Arial"/>
        <w:b/>
        <w:color w:val="FFFFFF"/>
        <w:sz w:val="22"/>
      </w:rPr>
      <w:tblPr/>
      <w:tcPr>
        <w:shd w:val="clear" w:color="auto" w:fill="92CCDC" w:themeFill="accent5" w:themeFillTint="9A"/>
      </w:tcPr>
    </w:tblStylePr>
    <w:tblStylePr w:type="lastRow">
      <w:pPr>
        <w:snapToGrid/>
      </w:pPr>
      <w:rPr>
        <w:b/>
        <w:color w:val="404040"/>
      </w:r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2Vert">
      <w:pPr>
        <w:snapToGrid/>
      </w:pPr>
    </w:tblStylePr>
    <w:tblStylePr w:type="band1Horz">
      <w:pPr>
        <w:snapToGrid/>
      </w:pPr>
      <w:rPr>
        <w:rFonts w:ascii="Arial" w:hAnsi="Arial"/>
        <w:color w:val="404040"/>
        <w:sz w:val="22"/>
      </w:rPr>
      <w:tblPr/>
      <w:tcPr>
        <w:tcBorders>
          <w:top w:val="single" w:sz="4" w:space="0" w:color="92CCDC" w:themeColor="accent5" w:themeTint="9A"/>
          <w:bottom w:val="single" w:sz="4" w:space="0" w:color="92CCDC" w:themeColor="accent5" w:themeTint="9A"/>
        </w:tcBorders>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3-Accent6">
    <w:name w:val="List Table 3 - Accent 6"/>
    <w:basedOn w:val="a1"/>
    <w:uiPriority w:val="99"/>
    <w:qFormat/>
    <w:tblPr>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pPr>
        <w:snapToGrid/>
      </w:pPr>
      <w:rPr>
        <w:rFonts w:ascii="Arial" w:hAnsi="Arial"/>
        <w:b/>
        <w:color w:val="FFFFFF"/>
        <w:sz w:val="22"/>
      </w:rPr>
      <w:tblPr/>
      <w:tcPr>
        <w:shd w:val="clear" w:color="auto" w:fill="FAC090" w:themeFill="accent6" w:themeFillTint="98"/>
      </w:tcPr>
    </w:tblStylePr>
    <w:tblStylePr w:type="lastRow">
      <w:pPr>
        <w:snapToGrid/>
      </w:pPr>
      <w:rPr>
        <w:b/>
        <w:color w:val="404040"/>
      </w:r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2Vert">
      <w:pPr>
        <w:snapToGrid/>
      </w:pPr>
    </w:tblStylePr>
    <w:tblStylePr w:type="band1Horz">
      <w:pPr>
        <w:snapToGrid/>
      </w:pPr>
      <w:rPr>
        <w:rFonts w:ascii="Arial" w:hAnsi="Arial"/>
        <w:color w:val="404040"/>
        <w:sz w:val="22"/>
      </w:rPr>
      <w:tblPr/>
      <w:tcPr>
        <w:tcBorders>
          <w:top w:val="single" w:sz="4" w:space="0" w:color="FAC090" w:themeColor="accent6" w:themeTint="98"/>
          <w:bottom w:val="single" w:sz="4" w:space="0" w:color="FAC090" w:themeColor="accent6" w:themeTint="98"/>
        </w:tcBorders>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412">
    <w:name w:val="清单表 41"/>
    <w:basedOn w:val="a1"/>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pPr>
        <w:snapToGrid/>
      </w:pPr>
      <w:rPr>
        <w:rFonts w:ascii="Arial" w:hAnsi="Arial"/>
        <w:b/>
        <w:color w:val="FFFFFF"/>
        <w:sz w:val="22"/>
      </w:rPr>
      <w:tblPr/>
      <w:tcPr>
        <w:shd w:val="clear" w:color="auto" w:fill="000000" w:themeFill="text1"/>
      </w:tcPr>
    </w:tblStylePr>
    <w:tblStylePr w:type="lastRow">
      <w:pPr>
        <w:snapToGrid/>
      </w:pPr>
      <w:rPr>
        <w:b/>
        <w:color w:val="404040"/>
      </w:r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blPr/>
      <w:tcPr>
        <w:shd w:val="clear" w:color="auto" w:fill="BFBFBF" w:themeFill="text1" w:themeFillTint="40"/>
      </w:tcPr>
    </w:tblStylePr>
    <w:tblStylePr w:type="band2Vert">
      <w:pPr>
        <w:snapToGrid/>
      </w:pPr>
    </w:tblStylePr>
    <w:tblStylePr w:type="band1Horz">
      <w:pPr>
        <w:snapToGrid/>
      </w:pPr>
      <w:rPr>
        <w:rFonts w:ascii="Arial" w:hAnsi="Arial"/>
        <w:color w:val="404040"/>
        <w:sz w:val="22"/>
      </w:rPr>
      <w:tblPr/>
      <w:tcPr>
        <w:shd w:val="clear" w:color="auto" w:fill="BFBFBF" w:themeFill="text1" w:themeFillTint="40"/>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4-Accent1">
    <w:name w:val="List Table 4 - Accent 1"/>
    <w:basedOn w:val="a1"/>
    <w:uiPriority w:val="99"/>
    <w:qFormat/>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pPr>
        <w:snapToGrid/>
      </w:pPr>
      <w:rPr>
        <w:rFonts w:ascii="Arial" w:hAnsi="Arial"/>
        <w:b/>
        <w:color w:val="FFFFFF"/>
        <w:sz w:val="22"/>
      </w:rPr>
      <w:tblPr/>
      <w:tcPr>
        <w:shd w:val="clear" w:color="auto" w:fill="4F81BD" w:themeFill="accent1"/>
      </w:tcPr>
    </w:tblStylePr>
    <w:tblStylePr w:type="lastRow">
      <w:pPr>
        <w:snapToGrid/>
      </w:pPr>
      <w:rPr>
        <w:b/>
        <w:color w:val="404040"/>
      </w:r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blPr/>
      <w:tcPr>
        <w:shd w:val="clear" w:color="auto" w:fill="D2DFEE" w:themeFill="accent1" w:themeFillTint="40"/>
      </w:tcPr>
    </w:tblStylePr>
    <w:tblStylePr w:type="band2Vert">
      <w:pPr>
        <w:snapToGrid/>
      </w:pPr>
    </w:tblStylePr>
    <w:tblStylePr w:type="band1Horz">
      <w:pPr>
        <w:snapToGrid/>
      </w:pPr>
      <w:rPr>
        <w:rFonts w:ascii="Arial" w:hAnsi="Arial"/>
        <w:color w:val="404040"/>
        <w:sz w:val="22"/>
      </w:rPr>
      <w:tblPr/>
      <w:tcPr>
        <w:shd w:val="clear" w:color="auto" w:fill="D2DFEE" w:themeFill="accent1" w:themeFillTint="40"/>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4-Accent2">
    <w:name w:val="List Table 4 - Accent 2"/>
    <w:basedOn w:val="a1"/>
    <w:uiPriority w:val="99"/>
    <w:qFormat/>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pPr>
        <w:snapToGrid/>
      </w:pPr>
      <w:rPr>
        <w:rFonts w:ascii="Arial" w:hAnsi="Arial"/>
        <w:b/>
        <w:color w:val="FFFFFF"/>
        <w:sz w:val="22"/>
      </w:rPr>
      <w:tblPr/>
      <w:tcPr>
        <w:shd w:val="clear" w:color="auto" w:fill="C0504D" w:themeFill="accent2"/>
      </w:tcPr>
    </w:tblStylePr>
    <w:tblStylePr w:type="lastRow">
      <w:pPr>
        <w:snapToGrid/>
      </w:pPr>
      <w:rPr>
        <w:b/>
        <w:color w:val="404040"/>
      </w:r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blPr/>
      <w:tcPr>
        <w:shd w:val="clear" w:color="auto" w:fill="EFD2D2" w:themeFill="accent2" w:themeFillTint="40"/>
      </w:tcPr>
    </w:tblStylePr>
    <w:tblStylePr w:type="band2Vert">
      <w:pPr>
        <w:snapToGrid/>
      </w:pPr>
    </w:tblStylePr>
    <w:tblStylePr w:type="band1Horz">
      <w:pPr>
        <w:snapToGrid/>
      </w:pPr>
      <w:rPr>
        <w:rFonts w:ascii="Arial" w:hAnsi="Arial"/>
        <w:color w:val="404040"/>
        <w:sz w:val="22"/>
      </w:rPr>
      <w:tblPr/>
      <w:tcPr>
        <w:shd w:val="clear" w:color="auto" w:fill="EFD2D2" w:themeFill="accent2" w:themeFillTint="40"/>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4-Accent3">
    <w:name w:val="List Table 4 - Accent 3"/>
    <w:basedOn w:val="a1"/>
    <w:uiPriority w:val="99"/>
    <w:qFormat/>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pPr>
        <w:snapToGrid/>
      </w:pPr>
      <w:rPr>
        <w:rFonts w:ascii="Arial" w:hAnsi="Arial"/>
        <w:b/>
        <w:color w:val="FFFFFF"/>
        <w:sz w:val="22"/>
      </w:rPr>
      <w:tblPr/>
      <w:tcPr>
        <w:shd w:val="clear" w:color="auto" w:fill="9BBB59" w:themeFill="accent3"/>
      </w:tcPr>
    </w:tblStylePr>
    <w:tblStylePr w:type="lastRow">
      <w:pPr>
        <w:snapToGrid/>
      </w:pPr>
      <w:rPr>
        <w:b/>
        <w:color w:val="404040"/>
      </w:r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blPr/>
      <w:tcPr>
        <w:shd w:val="clear" w:color="auto" w:fill="E5EED5" w:themeFill="accent3" w:themeFillTint="40"/>
      </w:tcPr>
    </w:tblStylePr>
    <w:tblStylePr w:type="band2Vert">
      <w:pPr>
        <w:snapToGrid/>
      </w:pPr>
    </w:tblStylePr>
    <w:tblStylePr w:type="band1Horz">
      <w:pPr>
        <w:snapToGrid/>
      </w:pPr>
      <w:rPr>
        <w:rFonts w:ascii="Arial" w:hAnsi="Arial"/>
        <w:color w:val="404040"/>
        <w:sz w:val="22"/>
      </w:rPr>
      <w:tblPr/>
      <w:tcPr>
        <w:shd w:val="clear" w:color="auto" w:fill="E5EED5" w:themeFill="accent3" w:themeFillTint="40"/>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4-Accent4">
    <w:name w:val="List Table 4 - Accent 4"/>
    <w:basedOn w:val="a1"/>
    <w:uiPriority w:val="99"/>
    <w:qFormat/>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pPr>
        <w:snapToGrid/>
      </w:pPr>
      <w:rPr>
        <w:rFonts w:ascii="Arial" w:hAnsi="Arial"/>
        <w:b/>
        <w:color w:val="FFFFFF"/>
        <w:sz w:val="22"/>
      </w:rPr>
      <w:tblPr/>
      <w:tcPr>
        <w:shd w:val="clear" w:color="auto" w:fill="8064A2" w:themeFill="accent4"/>
      </w:tcPr>
    </w:tblStylePr>
    <w:tblStylePr w:type="lastRow">
      <w:pPr>
        <w:snapToGrid/>
      </w:pPr>
      <w:rPr>
        <w:b/>
        <w:color w:val="404040"/>
      </w:r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blPr/>
      <w:tcPr>
        <w:shd w:val="clear" w:color="auto" w:fill="DFD8E7" w:themeFill="accent4" w:themeFillTint="40"/>
      </w:tcPr>
    </w:tblStylePr>
    <w:tblStylePr w:type="band2Vert">
      <w:pPr>
        <w:snapToGrid/>
      </w:pPr>
    </w:tblStylePr>
    <w:tblStylePr w:type="band1Horz">
      <w:pPr>
        <w:snapToGrid/>
      </w:pPr>
      <w:rPr>
        <w:rFonts w:ascii="Arial" w:hAnsi="Arial"/>
        <w:color w:val="404040"/>
        <w:sz w:val="22"/>
      </w:rPr>
      <w:tblPr/>
      <w:tcPr>
        <w:shd w:val="clear" w:color="auto" w:fill="DFD8E7" w:themeFill="accent4" w:themeFillTint="40"/>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4-Accent5">
    <w:name w:val="List Table 4 - Accent 5"/>
    <w:basedOn w:val="a1"/>
    <w:uiPriority w:val="99"/>
    <w:qFormat/>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pPr>
        <w:snapToGrid/>
      </w:pPr>
      <w:rPr>
        <w:rFonts w:ascii="Arial" w:hAnsi="Arial"/>
        <w:b/>
        <w:color w:val="FFFFFF"/>
        <w:sz w:val="22"/>
      </w:rPr>
      <w:tblPr/>
      <w:tcPr>
        <w:shd w:val="clear" w:color="auto" w:fill="4BACC6" w:themeFill="accent5"/>
      </w:tcPr>
    </w:tblStylePr>
    <w:tblStylePr w:type="lastRow">
      <w:pPr>
        <w:snapToGrid/>
      </w:pPr>
      <w:rPr>
        <w:b/>
        <w:color w:val="404040"/>
      </w:r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blPr/>
      <w:tcPr>
        <w:shd w:val="clear" w:color="auto" w:fill="D1EAF0" w:themeFill="accent5" w:themeFillTint="40"/>
      </w:tcPr>
    </w:tblStylePr>
    <w:tblStylePr w:type="band2Vert">
      <w:pPr>
        <w:snapToGrid/>
      </w:pPr>
    </w:tblStylePr>
    <w:tblStylePr w:type="band1Horz">
      <w:pPr>
        <w:snapToGrid/>
      </w:pPr>
      <w:rPr>
        <w:rFonts w:ascii="Arial" w:hAnsi="Arial"/>
        <w:color w:val="404040"/>
        <w:sz w:val="22"/>
      </w:rPr>
      <w:tblPr/>
      <w:tcPr>
        <w:shd w:val="clear" w:color="auto" w:fill="D1EAF0" w:themeFill="accent5" w:themeFillTint="40"/>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4-Accent6">
    <w:name w:val="List Table 4 - Accent 6"/>
    <w:basedOn w:val="a1"/>
    <w:uiPriority w:val="99"/>
    <w:qFormat/>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pPr>
        <w:snapToGrid/>
      </w:pPr>
      <w:rPr>
        <w:rFonts w:ascii="Arial" w:hAnsi="Arial"/>
        <w:b/>
        <w:color w:val="FFFFFF"/>
        <w:sz w:val="22"/>
      </w:rPr>
      <w:tblPr/>
      <w:tcPr>
        <w:shd w:val="clear" w:color="auto" w:fill="F79646" w:themeFill="accent6"/>
      </w:tcPr>
    </w:tblStylePr>
    <w:tblStylePr w:type="lastRow">
      <w:pPr>
        <w:snapToGrid/>
      </w:pPr>
      <w:rPr>
        <w:b/>
        <w:color w:val="404040"/>
      </w:r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blPr/>
      <w:tcPr>
        <w:shd w:val="clear" w:color="auto" w:fill="FDE4D0" w:themeFill="accent6" w:themeFillTint="40"/>
      </w:tcPr>
    </w:tblStylePr>
    <w:tblStylePr w:type="band2Vert">
      <w:pPr>
        <w:snapToGrid/>
      </w:pPr>
    </w:tblStylePr>
    <w:tblStylePr w:type="band1Horz">
      <w:pPr>
        <w:snapToGrid/>
      </w:pPr>
      <w:rPr>
        <w:rFonts w:ascii="Arial" w:hAnsi="Arial"/>
        <w:color w:val="404040"/>
        <w:sz w:val="22"/>
      </w:rPr>
      <w:tblPr/>
      <w:tcPr>
        <w:shd w:val="clear" w:color="auto" w:fill="FDE4D0" w:themeFill="accent6" w:themeFillTint="40"/>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512">
    <w:name w:val="清单表 5 深色1"/>
    <w:basedOn w:val="a1"/>
    <w:uiPriority w:val="99"/>
    <w:qFormat/>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pPr>
        <w:snapToGrid/>
      </w:pPr>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pPr>
        <w:snapToGrid/>
      </w:pPr>
      <w:rPr>
        <w:rFonts w:ascii="Arial" w:hAnsi="Arial"/>
        <w:b/>
        <w:color w:val="FFFFFF" w:themeColor="light1"/>
        <w:sz w:val="22"/>
      </w:rPr>
    </w:tblStylePr>
    <w:tblStylePr w:type="firstCol">
      <w:pPr>
        <w:snapToGrid/>
      </w:pPr>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pPr>
        <w:snapToGrid/>
      </w:pPr>
      <w:tblPr/>
      <w:tcPr>
        <w:tcBorders>
          <w:left w:val="single" w:sz="4" w:space="0" w:color="FFFFFF" w:themeColor="light1"/>
          <w:right w:val="single" w:sz="32" w:space="0" w:color="7F7F7F" w:themeColor="text1" w:themeTint="80"/>
        </w:tcBorders>
      </w:tcPr>
    </w:tblStylePr>
    <w:tblStylePr w:type="band1Vert">
      <w:pPr>
        <w:snapToGrid/>
      </w:pPr>
      <w:tblPr/>
      <w:tcPr>
        <w:tcBorders>
          <w:left w:val="single" w:sz="4" w:space="0" w:color="FFFFFF" w:themeColor="light1"/>
          <w:right w:val="single" w:sz="4" w:space="0" w:color="FFFFFF" w:themeColor="light1"/>
        </w:tcBorders>
        <w:shd w:val="clear" w:color="auto" w:fill="7F7F7F" w:themeFill="text1" w:themeFillTint="80"/>
      </w:tcPr>
    </w:tblStylePr>
    <w:tblStylePr w:type="band2Vert">
      <w:pPr>
        <w:snapToGrid/>
      </w:pPr>
      <w:tblPr/>
      <w:tcPr>
        <w:tcBorders>
          <w:left w:val="single" w:sz="4" w:space="0" w:color="FFFFFF" w:themeColor="light1"/>
          <w:right w:val="single" w:sz="4" w:space="0" w:color="FFFFFF" w:themeColor="light1"/>
        </w:tcBorders>
      </w:tcPr>
    </w:tblStylePr>
    <w:tblStylePr w:type="band1Horz">
      <w:pPr>
        <w:snapToGrid/>
      </w:pPr>
      <w:tblPr/>
      <w:tcPr>
        <w:tcBorders>
          <w:top w:val="single" w:sz="4" w:space="0" w:color="FFFFFF" w:themeColor="light1"/>
          <w:bottom w:val="single" w:sz="4" w:space="0" w:color="FFFFFF" w:themeColor="light1"/>
        </w:tcBorders>
        <w:shd w:val="clear" w:color="auto" w:fill="7F7F7F" w:themeFill="text1" w:themeFillTint="80"/>
      </w:tcPr>
    </w:tblStylePr>
    <w:tblStylePr w:type="band2Horz">
      <w:pPr>
        <w:snapToGrid/>
      </w:pPr>
      <w:tblPr/>
      <w:tcPr>
        <w:tcBorders>
          <w:top w:val="single" w:sz="4" w:space="0" w:color="FFFFFF" w:themeColor="light1"/>
          <w:bottom w:val="single" w:sz="4" w:space="0" w:color="FFFFFF" w:themeColor="light1"/>
        </w:tcBorders>
        <w:shd w:val="clear" w:color="auto" w:fill="7F7F7F" w:themeFill="text1" w:themeFillTint="80"/>
      </w:tc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5Dark-Accent1">
    <w:name w:val="List Table 5 Dark - Accent 1"/>
    <w:basedOn w:val="a1"/>
    <w:uiPriority w:val="99"/>
    <w:qFormat/>
    <w:tblPr>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Pr>
    <w:tblStylePr w:type="firstRow">
      <w:pPr>
        <w:snapToGrid/>
      </w:pPr>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pPr>
        <w:snapToGrid/>
      </w:pPr>
      <w:rPr>
        <w:rFonts w:ascii="Arial" w:hAnsi="Arial"/>
        <w:b/>
        <w:color w:val="FFFFFF" w:themeColor="light1"/>
        <w:sz w:val="22"/>
      </w:rPr>
    </w:tblStylePr>
    <w:tblStylePr w:type="firstCol">
      <w:pPr>
        <w:snapToGrid/>
      </w:pPr>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pPr>
        <w:snapToGrid/>
      </w:pPr>
      <w:tblPr/>
      <w:tcPr>
        <w:tcBorders>
          <w:left w:val="single" w:sz="4" w:space="0" w:color="FFFFFF" w:themeColor="light1"/>
          <w:right w:val="single" w:sz="32" w:space="0" w:color="4F81BD" w:themeColor="accent1"/>
        </w:tcBorders>
      </w:tcPr>
    </w:tblStylePr>
    <w:tblStylePr w:type="band1Vert">
      <w:pPr>
        <w:snapToGrid/>
      </w:pPr>
      <w:tblPr/>
      <w:tcPr>
        <w:tcBorders>
          <w:left w:val="single" w:sz="4" w:space="0" w:color="FFFFFF" w:themeColor="light1"/>
          <w:right w:val="single" w:sz="4" w:space="0" w:color="FFFFFF" w:themeColor="light1"/>
        </w:tcBorders>
        <w:shd w:val="clear" w:color="auto" w:fill="4F81BD" w:themeFill="accent1"/>
      </w:tcPr>
    </w:tblStylePr>
    <w:tblStylePr w:type="band2Vert">
      <w:pPr>
        <w:snapToGrid/>
      </w:pPr>
      <w:tblPr/>
      <w:tcPr>
        <w:tcBorders>
          <w:left w:val="single" w:sz="4" w:space="0" w:color="FFFFFF" w:themeColor="light1"/>
          <w:right w:val="single" w:sz="4" w:space="0" w:color="FFFFFF" w:themeColor="light1"/>
        </w:tcBorders>
      </w:tcPr>
    </w:tblStylePr>
    <w:tblStylePr w:type="band1Horz">
      <w:pPr>
        <w:snapToGrid/>
      </w:pPr>
      <w:tblPr/>
      <w:tcPr>
        <w:tcBorders>
          <w:top w:val="single" w:sz="4" w:space="0" w:color="FFFFFF" w:themeColor="light1"/>
          <w:bottom w:val="single" w:sz="4" w:space="0" w:color="FFFFFF" w:themeColor="light1"/>
        </w:tcBorders>
        <w:shd w:val="clear" w:color="auto" w:fill="4F81BD" w:themeFill="accent1"/>
      </w:tcPr>
    </w:tblStylePr>
    <w:tblStylePr w:type="band2Horz">
      <w:pPr>
        <w:snapToGrid/>
      </w:pPr>
      <w:tblPr/>
      <w:tcPr>
        <w:tcBorders>
          <w:top w:val="single" w:sz="4" w:space="0" w:color="FFFFFF" w:themeColor="light1"/>
          <w:bottom w:val="single" w:sz="4" w:space="0" w:color="FFFFFF" w:themeColor="light1"/>
        </w:tcBorders>
        <w:shd w:val="clear" w:color="auto" w:fill="4F81BD" w:themeFill="accent1"/>
      </w:tc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5Dark-Accent2">
    <w:name w:val="List Table 5 Dark - Accent 2"/>
    <w:basedOn w:val="a1"/>
    <w:uiPriority w:val="99"/>
    <w:qFormat/>
    <w:tblPr>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Pr>
    <w:tblStylePr w:type="firstRow">
      <w:pPr>
        <w:snapToGrid/>
      </w:pPr>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pPr>
        <w:snapToGrid/>
      </w:pPr>
      <w:rPr>
        <w:rFonts w:ascii="Arial" w:hAnsi="Arial"/>
        <w:b/>
        <w:color w:val="FFFFFF" w:themeColor="light1"/>
        <w:sz w:val="22"/>
      </w:rPr>
    </w:tblStylePr>
    <w:tblStylePr w:type="firstCol">
      <w:pPr>
        <w:snapToGrid/>
      </w:pPr>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pPr>
        <w:snapToGrid/>
      </w:pPr>
      <w:tblPr/>
      <w:tcPr>
        <w:tcBorders>
          <w:left w:val="single" w:sz="4" w:space="0" w:color="FFFFFF" w:themeColor="light1"/>
          <w:right w:val="single" w:sz="32" w:space="0" w:color="D99695" w:themeColor="accent2" w:themeTint="97"/>
        </w:tcBorders>
      </w:tcPr>
    </w:tblStylePr>
    <w:tblStylePr w:type="band1Vert">
      <w:pPr>
        <w:snapToGrid/>
      </w:pPr>
      <w:tblPr/>
      <w:tcPr>
        <w:tcBorders>
          <w:left w:val="single" w:sz="4" w:space="0" w:color="FFFFFF" w:themeColor="light1"/>
          <w:right w:val="single" w:sz="4" w:space="0" w:color="FFFFFF" w:themeColor="light1"/>
        </w:tcBorders>
        <w:shd w:val="clear" w:color="auto" w:fill="D99695" w:themeFill="accent2" w:themeFillTint="97"/>
      </w:tcPr>
    </w:tblStylePr>
    <w:tblStylePr w:type="band2Vert">
      <w:pPr>
        <w:snapToGrid/>
      </w:pPr>
      <w:tblPr/>
      <w:tcPr>
        <w:tcBorders>
          <w:left w:val="single" w:sz="4" w:space="0" w:color="FFFFFF" w:themeColor="light1"/>
          <w:right w:val="single" w:sz="4" w:space="0" w:color="FFFFFF" w:themeColor="light1"/>
        </w:tcBorders>
      </w:tcPr>
    </w:tblStylePr>
    <w:tblStylePr w:type="band1Horz">
      <w:pPr>
        <w:snapToGrid/>
      </w:pPr>
      <w:tblPr/>
      <w:tcPr>
        <w:tcBorders>
          <w:top w:val="single" w:sz="4" w:space="0" w:color="FFFFFF" w:themeColor="light1"/>
          <w:bottom w:val="single" w:sz="4" w:space="0" w:color="FFFFFF" w:themeColor="light1"/>
        </w:tcBorders>
        <w:shd w:val="clear" w:color="auto" w:fill="D99695" w:themeFill="accent2" w:themeFillTint="97"/>
      </w:tcPr>
    </w:tblStylePr>
    <w:tblStylePr w:type="band2Horz">
      <w:pPr>
        <w:snapToGrid/>
      </w:pPr>
      <w:tblPr/>
      <w:tcPr>
        <w:tcBorders>
          <w:top w:val="single" w:sz="4" w:space="0" w:color="FFFFFF" w:themeColor="light1"/>
          <w:bottom w:val="single" w:sz="4" w:space="0" w:color="FFFFFF" w:themeColor="light1"/>
        </w:tcBorders>
        <w:shd w:val="clear" w:color="auto" w:fill="D99695" w:themeFill="accent2" w:themeFillTint="97"/>
      </w:tc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5Dark-Accent3">
    <w:name w:val="List Table 5 Dark - Accent 3"/>
    <w:basedOn w:val="a1"/>
    <w:uiPriority w:val="99"/>
    <w:qFormat/>
    <w:tblPr>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Pr>
    <w:tblStylePr w:type="firstRow">
      <w:pPr>
        <w:snapToGrid/>
      </w:pPr>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pPr>
        <w:snapToGrid/>
      </w:pPr>
      <w:rPr>
        <w:rFonts w:ascii="Arial" w:hAnsi="Arial"/>
        <w:b/>
        <w:color w:val="FFFFFF" w:themeColor="light1"/>
        <w:sz w:val="22"/>
      </w:rPr>
    </w:tblStylePr>
    <w:tblStylePr w:type="firstCol">
      <w:pPr>
        <w:snapToGrid/>
      </w:pPr>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pPr>
        <w:snapToGrid/>
      </w:pPr>
      <w:tblPr/>
      <w:tcPr>
        <w:tcBorders>
          <w:left w:val="single" w:sz="4" w:space="0" w:color="FFFFFF" w:themeColor="light1"/>
          <w:right w:val="single" w:sz="32" w:space="0" w:color="C3D69B" w:themeColor="accent3" w:themeTint="98"/>
        </w:tcBorders>
      </w:tcPr>
    </w:tblStylePr>
    <w:tblStylePr w:type="band1Vert">
      <w:pPr>
        <w:snapToGrid/>
      </w:pPr>
      <w:tblPr/>
      <w:tcPr>
        <w:tcBorders>
          <w:left w:val="single" w:sz="4" w:space="0" w:color="FFFFFF" w:themeColor="light1"/>
          <w:right w:val="single" w:sz="4" w:space="0" w:color="FFFFFF" w:themeColor="light1"/>
        </w:tcBorders>
        <w:shd w:val="clear" w:color="auto" w:fill="C3D69B" w:themeFill="accent3" w:themeFillTint="98"/>
      </w:tcPr>
    </w:tblStylePr>
    <w:tblStylePr w:type="band2Vert">
      <w:pPr>
        <w:snapToGrid/>
      </w:pPr>
      <w:tblPr/>
      <w:tcPr>
        <w:tcBorders>
          <w:left w:val="single" w:sz="4" w:space="0" w:color="FFFFFF" w:themeColor="light1"/>
          <w:right w:val="single" w:sz="4" w:space="0" w:color="FFFFFF" w:themeColor="light1"/>
        </w:tcBorders>
      </w:tcPr>
    </w:tblStylePr>
    <w:tblStylePr w:type="band1Horz">
      <w:pPr>
        <w:snapToGrid/>
      </w:pPr>
      <w:tblPr/>
      <w:tcPr>
        <w:tcBorders>
          <w:top w:val="single" w:sz="4" w:space="0" w:color="FFFFFF" w:themeColor="light1"/>
          <w:bottom w:val="single" w:sz="4" w:space="0" w:color="FFFFFF" w:themeColor="light1"/>
        </w:tcBorders>
        <w:shd w:val="clear" w:color="auto" w:fill="C3D69B" w:themeFill="accent3" w:themeFillTint="98"/>
      </w:tcPr>
    </w:tblStylePr>
    <w:tblStylePr w:type="band2Horz">
      <w:pPr>
        <w:snapToGrid/>
      </w:pPr>
      <w:tblPr/>
      <w:tcPr>
        <w:tcBorders>
          <w:top w:val="single" w:sz="4" w:space="0" w:color="FFFFFF" w:themeColor="light1"/>
          <w:bottom w:val="single" w:sz="4" w:space="0" w:color="FFFFFF" w:themeColor="light1"/>
        </w:tcBorders>
        <w:shd w:val="clear" w:color="auto" w:fill="C3D69B" w:themeFill="accent3" w:themeFillTint="98"/>
      </w:tc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5Dark-Accent4">
    <w:name w:val="List Table 5 Dark - Accent 4"/>
    <w:basedOn w:val="a1"/>
    <w:uiPriority w:val="99"/>
    <w:qFormat/>
    <w:tblPr>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Pr>
    <w:tblStylePr w:type="firstRow">
      <w:pPr>
        <w:snapToGrid/>
      </w:pPr>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pPr>
        <w:snapToGrid/>
      </w:pPr>
      <w:rPr>
        <w:rFonts w:ascii="Arial" w:hAnsi="Arial"/>
        <w:b/>
        <w:color w:val="FFFFFF" w:themeColor="light1"/>
        <w:sz w:val="22"/>
      </w:rPr>
    </w:tblStylePr>
    <w:tblStylePr w:type="firstCol">
      <w:pPr>
        <w:snapToGrid/>
      </w:pPr>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pPr>
        <w:snapToGrid/>
      </w:pPr>
      <w:tblPr/>
      <w:tcPr>
        <w:tcBorders>
          <w:left w:val="single" w:sz="4" w:space="0" w:color="FFFFFF" w:themeColor="light1"/>
          <w:right w:val="single" w:sz="32" w:space="0" w:color="B2A1C6" w:themeColor="accent4" w:themeTint="9A"/>
        </w:tcBorders>
      </w:tcPr>
    </w:tblStylePr>
    <w:tblStylePr w:type="band1Vert">
      <w:pPr>
        <w:snapToGrid/>
      </w:pPr>
      <w:tblPr/>
      <w:tcPr>
        <w:tcBorders>
          <w:left w:val="single" w:sz="4" w:space="0" w:color="FFFFFF" w:themeColor="light1"/>
          <w:right w:val="single" w:sz="4" w:space="0" w:color="FFFFFF" w:themeColor="light1"/>
        </w:tcBorders>
        <w:shd w:val="clear" w:color="auto" w:fill="B2A1C6" w:themeFill="accent4" w:themeFillTint="9A"/>
      </w:tcPr>
    </w:tblStylePr>
    <w:tblStylePr w:type="band2Vert">
      <w:pPr>
        <w:snapToGrid/>
      </w:pPr>
      <w:tblPr/>
      <w:tcPr>
        <w:tcBorders>
          <w:left w:val="single" w:sz="4" w:space="0" w:color="FFFFFF" w:themeColor="light1"/>
          <w:right w:val="single" w:sz="4" w:space="0" w:color="FFFFFF" w:themeColor="light1"/>
        </w:tcBorders>
      </w:tcPr>
    </w:tblStylePr>
    <w:tblStylePr w:type="band1Horz">
      <w:pPr>
        <w:snapToGrid/>
      </w:pPr>
      <w:tblPr/>
      <w:tcPr>
        <w:tcBorders>
          <w:top w:val="single" w:sz="4" w:space="0" w:color="FFFFFF" w:themeColor="light1"/>
          <w:bottom w:val="single" w:sz="4" w:space="0" w:color="FFFFFF" w:themeColor="light1"/>
        </w:tcBorders>
        <w:shd w:val="clear" w:color="auto" w:fill="B2A1C6" w:themeFill="accent4" w:themeFillTint="9A"/>
      </w:tcPr>
    </w:tblStylePr>
    <w:tblStylePr w:type="band2Horz">
      <w:pPr>
        <w:snapToGrid/>
      </w:pPr>
      <w:tblPr/>
      <w:tcPr>
        <w:tcBorders>
          <w:top w:val="single" w:sz="4" w:space="0" w:color="FFFFFF" w:themeColor="light1"/>
          <w:bottom w:val="single" w:sz="4" w:space="0" w:color="FFFFFF" w:themeColor="light1"/>
        </w:tcBorders>
        <w:shd w:val="clear" w:color="auto" w:fill="B2A1C6" w:themeFill="accent4" w:themeFillTint="9A"/>
      </w:tc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5Dark-Accent5">
    <w:name w:val="List Table 5 Dark - Accent 5"/>
    <w:basedOn w:val="a1"/>
    <w:uiPriority w:val="99"/>
    <w:qFormat/>
    <w:tblPr>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Pr>
    <w:tblStylePr w:type="firstRow">
      <w:pPr>
        <w:snapToGrid/>
      </w:pPr>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pPr>
        <w:snapToGrid/>
      </w:pPr>
      <w:rPr>
        <w:rFonts w:ascii="Arial" w:hAnsi="Arial"/>
        <w:b/>
        <w:color w:val="FFFFFF" w:themeColor="light1"/>
        <w:sz w:val="22"/>
      </w:rPr>
    </w:tblStylePr>
    <w:tblStylePr w:type="firstCol">
      <w:pPr>
        <w:snapToGrid/>
      </w:pPr>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pPr>
        <w:snapToGrid/>
      </w:pPr>
      <w:tblPr/>
      <w:tcPr>
        <w:tcBorders>
          <w:left w:val="single" w:sz="4" w:space="0" w:color="FFFFFF" w:themeColor="light1"/>
          <w:right w:val="single" w:sz="32" w:space="0" w:color="92CCDC" w:themeColor="accent5" w:themeTint="9A"/>
        </w:tcBorders>
      </w:tcPr>
    </w:tblStylePr>
    <w:tblStylePr w:type="band1Vert">
      <w:pPr>
        <w:snapToGrid/>
      </w:pPr>
      <w:tblPr/>
      <w:tcPr>
        <w:tcBorders>
          <w:left w:val="single" w:sz="4" w:space="0" w:color="FFFFFF" w:themeColor="light1"/>
          <w:right w:val="single" w:sz="4" w:space="0" w:color="FFFFFF" w:themeColor="light1"/>
        </w:tcBorders>
        <w:shd w:val="clear" w:color="auto" w:fill="92CCDC" w:themeFill="accent5" w:themeFillTint="9A"/>
      </w:tcPr>
    </w:tblStylePr>
    <w:tblStylePr w:type="band2Vert">
      <w:pPr>
        <w:snapToGrid/>
      </w:pPr>
      <w:tblPr/>
      <w:tcPr>
        <w:tcBorders>
          <w:left w:val="single" w:sz="4" w:space="0" w:color="FFFFFF" w:themeColor="light1"/>
          <w:right w:val="single" w:sz="4" w:space="0" w:color="FFFFFF" w:themeColor="light1"/>
        </w:tcBorders>
      </w:tcPr>
    </w:tblStylePr>
    <w:tblStylePr w:type="band1Horz">
      <w:pPr>
        <w:snapToGrid/>
      </w:pPr>
      <w:tblPr/>
      <w:tcPr>
        <w:tcBorders>
          <w:top w:val="single" w:sz="4" w:space="0" w:color="FFFFFF" w:themeColor="light1"/>
          <w:bottom w:val="single" w:sz="4" w:space="0" w:color="FFFFFF" w:themeColor="light1"/>
        </w:tcBorders>
        <w:shd w:val="clear" w:color="auto" w:fill="92CCDC" w:themeFill="accent5" w:themeFillTint="9A"/>
      </w:tcPr>
    </w:tblStylePr>
    <w:tblStylePr w:type="band2Horz">
      <w:pPr>
        <w:snapToGrid/>
      </w:pPr>
      <w:tblPr/>
      <w:tcPr>
        <w:tcBorders>
          <w:top w:val="single" w:sz="4" w:space="0" w:color="FFFFFF" w:themeColor="light1"/>
          <w:bottom w:val="single" w:sz="4" w:space="0" w:color="FFFFFF" w:themeColor="light1"/>
        </w:tcBorders>
        <w:shd w:val="clear" w:color="auto" w:fill="92CCDC" w:themeFill="accent5" w:themeFillTint="9A"/>
      </w:tc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5Dark-Accent6">
    <w:name w:val="List Table 5 Dark - Accent 6"/>
    <w:basedOn w:val="a1"/>
    <w:uiPriority w:val="99"/>
    <w:qFormat/>
    <w:tblPr>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Pr>
    <w:tblStylePr w:type="firstRow">
      <w:pPr>
        <w:snapToGrid/>
      </w:pPr>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pPr>
        <w:snapToGrid/>
      </w:pPr>
      <w:rPr>
        <w:rFonts w:ascii="Arial" w:hAnsi="Arial"/>
        <w:b/>
        <w:color w:val="FFFFFF" w:themeColor="light1"/>
        <w:sz w:val="22"/>
      </w:rPr>
    </w:tblStylePr>
    <w:tblStylePr w:type="firstCol">
      <w:pPr>
        <w:snapToGrid/>
      </w:pPr>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pPr>
        <w:snapToGrid/>
      </w:pPr>
      <w:tblPr/>
      <w:tcPr>
        <w:tcBorders>
          <w:left w:val="single" w:sz="4" w:space="0" w:color="FFFFFF" w:themeColor="light1"/>
          <w:right w:val="single" w:sz="32" w:space="0" w:color="FAC090" w:themeColor="accent6" w:themeTint="98"/>
        </w:tcBorders>
      </w:tcPr>
    </w:tblStylePr>
    <w:tblStylePr w:type="band1Vert">
      <w:pPr>
        <w:snapToGrid/>
      </w:pPr>
      <w:tblPr/>
      <w:tcPr>
        <w:tcBorders>
          <w:left w:val="single" w:sz="4" w:space="0" w:color="FFFFFF" w:themeColor="light1"/>
          <w:right w:val="single" w:sz="4" w:space="0" w:color="FFFFFF" w:themeColor="light1"/>
        </w:tcBorders>
        <w:shd w:val="clear" w:color="auto" w:fill="FAC090" w:themeFill="accent6" w:themeFillTint="98"/>
      </w:tcPr>
    </w:tblStylePr>
    <w:tblStylePr w:type="band2Vert">
      <w:pPr>
        <w:snapToGrid/>
      </w:pPr>
      <w:tblPr/>
      <w:tcPr>
        <w:tcBorders>
          <w:left w:val="single" w:sz="4" w:space="0" w:color="FFFFFF" w:themeColor="light1"/>
          <w:right w:val="single" w:sz="4" w:space="0" w:color="FFFFFF" w:themeColor="light1"/>
        </w:tcBorders>
      </w:tcPr>
    </w:tblStylePr>
    <w:tblStylePr w:type="band1Horz">
      <w:pPr>
        <w:snapToGrid/>
      </w:pPr>
      <w:tblPr/>
      <w:tcPr>
        <w:tcBorders>
          <w:top w:val="single" w:sz="4" w:space="0" w:color="FFFFFF" w:themeColor="light1"/>
          <w:bottom w:val="single" w:sz="4" w:space="0" w:color="FFFFFF" w:themeColor="light1"/>
        </w:tcBorders>
        <w:shd w:val="clear" w:color="auto" w:fill="FAC090" w:themeFill="accent6" w:themeFillTint="98"/>
      </w:tcPr>
    </w:tblStylePr>
    <w:tblStylePr w:type="band2Horz">
      <w:pPr>
        <w:snapToGrid/>
      </w:pPr>
      <w:tblPr/>
      <w:tcPr>
        <w:tcBorders>
          <w:top w:val="single" w:sz="4" w:space="0" w:color="FFFFFF" w:themeColor="light1"/>
          <w:bottom w:val="single" w:sz="4" w:space="0" w:color="FFFFFF" w:themeColor="light1"/>
        </w:tcBorders>
        <w:shd w:val="clear" w:color="auto" w:fill="FAC090" w:themeFill="accent6" w:themeFillTint="98"/>
      </w:tc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611">
    <w:name w:val="清单表 6 彩色1"/>
    <w:basedOn w:val="a1"/>
    <w:uiPriority w:val="99"/>
    <w:qFormat/>
    <w:tblPr>
      <w:tblBorders>
        <w:top w:val="single" w:sz="4" w:space="0" w:color="7F7F7F" w:themeColor="text1" w:themeTint="80"/>
        <w:bottom w:val="single" w:sz="4" w:space="0" w:color="7F7F7F" w:themeColor="text1" w:themeTint="80"/>
      </w:tblBorders>
    </w:tblPr>
    <w:tblStylePr w:type="firstRow">
      <w:pPr>
        <w:snapToGrid/>
      </w:pPr>
      <w:rPr>
        <w:b/>
        <w:color w:val="000000" w:themeColor="text1"/>
      </w:rPr>
      <w:tblPr/>
      <w:tcPr>
        <w:tcBorders>
          <w:bottom w:val="single" w:sz="4" w:space="0" w:color="7F7F7F" w:themeColor="text1" w:themeTint="80"/>
        </w:tcBorders>
      </w:tcPr>
    </w:tblStylePr>
    <w:tblStylePr w:type="lastRow">
      <w:pPr>
        <w:snapToGrid/>
      </w:pPr>
      <w:rPr>
        <w:b/>
        <w:color w:val="000000" w:themeColor="text1"/>
      </w:rPr>
      <w:tblPr/>
      <w:tcPr>
        <w:tcBorders>
          <w:top w:val="single" w:sz="4" w:space="0" w:color="7F7F7F" w:themeColor="text1" w:themeTint="80"/>
        </w:tcBorders>
      </w:tcPr>
    </w:tblStylePr>
    <w:tblStylePr w:type="firstCol">
      <w:pPr>
        <w:snapToGrid/>
      </w:pPr>
      <w:rPr>
        <w:b/>
        <w:color w:val="000000" w:themeColor="text1"/>
      </w:rPr>
    </w:tblStylePr>
    <w:tblStylePr w:type="lastCol">
      <w:pPr>
        <w:snapToGrid/>
      </w:pPr>
      <w:rPr>
        <w:b/>
        <w:color w:val="000000" w:themeColor="text1"/>
      </w:rPr>
    </w:tblStylePr>
    <w:tblStylePr w:type="band1Vert">
      <w:pPr>
        <w:snapToGrid/>
      </w:pPr>
      <w:tblPr/>
      <w:tcPr>
        <w:shd w:val="clear" w:color="auto" w:fill="BFBFBF" w:themeFill="text1" w:themeFillTint="40"/>
      </w:tcPr>
    </w:tblStylePr>
    <w:tblStylePr w:type="band2Vert">
      <w:pPr>
        <w:snapToGrid/>
      </w:pPr>
    </w:tblStylePr>
    <w:tblStylePr w:type="band1Horz">
      <w:pPr>
        <w:snapToGrid/>
      </w:pPr>
      <w:rPr>
        <w:rFonts w:ascii="Arial" w:hAnsi="Arial"/>
        <w:color w:val="000000" w:themeColor="text1"/>
        <w:sz w:val="22"/>
      </w:rPr>
      <w:tblPr/>
      <w:tcPr>
        <w:shd w:val="clear" w:color="auto" w:fill="BFBFBF" w:themeFill="text1" w:themeFillTint="40"/>
      </w:tcPr>
    </w:tblStylePr>
    <w:tblStylePr w:type="band2Horz">
      <w:pPr>
        <w:snapToGrid/>
      </w:pPr>
      <w:rPr>
        <w:rFonts w:ascii="Arial" w:hAnsi="Arial"/>
        <w:color w:val="000000" w:themeColor="text1"/>
        <w:sz w:val="22"/>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6Colorful-Accent1">
    <w:name w:val="List Table 6 Colorful - Accent 1"/>
    <w:basedOn w:val="a1"/>
    <w:uiPriority w:val="99"/>
    <w:qFormat/>
    <w:tblPr>
      <w:tblBorders>
        <w:top w:val="single" w:sz="4" w:space="0" w:color="4F81BD" w:themeColor="accent1"/>
        <w:bottom w:val="single" w:sz="4" w:space="0" w:color="4F81BD" w:themeColor="accent1"/>
      </w:tblBorders>
    </w:tblPr>
    <w:tblStylePr w:type="firstRow">
      <w:pPr>
        <w:snapToGrid/>
      </w:pPr>
      <w:rPr>
        <w:b/>
        <w:color w:val="2A4A70" w:themeColor="accent1" w:themeShade="94"/>
      </w:rPr>
      <w:tblPr/>
      <w:tcPr>
        <w:tcBorders>
          <w:bottom w:val="single" w:sz="4" w:space="0" w:color="4F81BD" w:themeColor="accent1"/>
        </w:tcBorders>
      </w:tcPr>
    </w:tblStylePr>
    <w:tblStylePr w:type="lastRow">
      <w:pPr>
        <w:snapToGrid/>
      </w:pPr>
      <w:rPr>
        <w:b/>
        <w:color w:val="2A4A70" w:themeColor="accent1" w:themeShade="94"/>
      </w:rPr>
      <w:tblPr/>
      <w:tcPr>
        <w:tcBorders>
          <w:top w:val="single" w:sz="4" w:space="0" w:color="4F81BD" w:themeColor="accent1"/>
        </w:tcBorders>
      </w:tcPr>
    </w:tblStylePr>
    <w:tblStylePr w:type="firstCol">
      <w:pPr>
        <w:snapToGrid/>
      </w:pPr>
      <w:rPr>
        <w:b/>
        <w:color w:val="2A4A70" w:themeColor="accent1" w:themeShade="94"/>
      </w:rPr>
    </w:tblStylePr>
    <w:tblStylePr w:type="lastCol">
      <w:pPr>
        <w:snapToGrid/>
      </w:pPr>
      <w:rPr>
        <w:b/>
        <w:color w:val="2A4A70" w:themeColor="accent1" w:themeShade="94"/>
      </w:rPr>
    </w:tblStylePr>
    <w:tblStylePr w:type="band1Vert">
      <w:pPr>
        <w:snapToGrid/>
      </w:pPr>
      <w:tblPr/>
      <w:tcPr>
        <w:shd w:val="clear" w:color="auto" w:fill="D2DFEE" w:themeFill="accent1" w:themeFillTint="40"/>
      </w:tcPr>
    </w:tblStylePr>
    <w:tblStylePr w:type="band2Vert">
      <w:pPr>
        <w:snapToGrid/>
      </w:pPr>
    </w:tblStylePr>
    <w:tblStylePr w:type="band1Horz">
      <w:pPr>
        <w:snapToGrid/>
      </w:pPr>
      <w:rPr>
        <w:rFonts w:ascii="Arial" w:hAnsi="Arial"/>
        <w:color w:val="2A4A70" w:themeColor="accent1" w:themeShade="94"/>
        <w:sz w:val="22"/>
      </w:rPr>
      <w:tblPr/>
      <w:tcPr>
        <w:shd w:val="clear" w:color="auto" w:fill="D2DFEE" w:themeFill="accent1" w:themeFillTint="40"/>
      </w:tcPr>
    </w:tblStylePr>
    <w:tblStylePr w:type="band2Horz">
      <w:pPr>
        <w:snapToGrid/>
      </w:pPr>
      <w:rPr>
        <w:rFonts w:ascii="Arial" w:hAnsi="Arial"/>
        <w:color w:val="2A4A70" w:themeColor="accent1" w:themeShade="94"/>
        <w:sz w:val="22"/>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6Colorful-Accent2">
    <w:name w:val="List Table 6 Colorful - Accent 2"/>
    <w:basedOn w:val="a1"/>
    <w:uiPriority w:val="99"/>
    <w:qFormat/>
    <w:tblPr>
      <w:tblBorders>
        <w:top w:val="single" w:sz="4" w:space="0" w:color="D99695" w:themeColor="accent2" w:themeTint="97"/>
        <w:bottom w:val="single" w:sz="4" w:space="0" w:color="D99695" w:themeColor="accent2" w:themeTint="97"/>
      </w:tblBorders>
    </w:tblPr>
    <w:tblStylePr w:type="firstRow">
      <w:pPr>
        <w:snapToGrid/>
      </w:pPr>
      <w:rPr>
        <w:b/>
        <w:color w:val="DA9796" w:themeColor="accent2" w:themeTint="96"/>
      </w:rPr>
      <w:tblPr/>
      <w:tcPr>
        <w:tcBorders>
          <w:bottom w:val="single" w:sz="4" w:space="0" w:color="D99695" w:themeColor="accent2" w:themeTint="97"/>
        </w:tcBorders>
      </w:tcPr>
    </w:tblStylePr>
    <w:tblStylePr w:type="lastRow">
      <w:pPr>
        <w:snapToGrid/>
      </w:pPr>
      <w:rPr>
        <w:b/>
        <w:color w:val="DA9796" w:themeColor="accent2" w:themeTint="96"/>
      </w:rPr>
      <w:tblPr/>
      <w:tcPr>
        <w:tcBorders>
          <w:top w:val="single" w:sz="4" w:space="0" w:color="D99695" w:themeColor="accent2" w:themeTint="97"/>
        </w:tcBorders>
      </w:tcPr>
    </w:tblStylePr>
    <w:tblStylePr w:type="firstCol">
      <w:pPr>
        <w:snapToGrid/>
      </w:pPr>
      <w:rPr>
        <w:b/>
        <w:color w:val="DA9796" w:themeColor="accent2" w:themeTint="96"/>
      </w:rPr>
    </w:tblStylePr>
    <w:tblStylePr w:type="lastCol">
      <w:pPr>
        <w:snapToGrid/>
      </w:pPr>
      <w:rPr>
        <w:b/>
        <w:color w:val="DA9796" w:themeColor="accent2" w:themeTint="96"/>
      </w:rPr>
    </w:tblStylePr>
    <w:tblStylePr w:type="band1Vert">
      <w:pPr>
        <w:snapToGrid/>
      </w:pPr>
      <w:tblPr/>
      <w:tcPr>
        <w:shd w:val="clear" w:color="auto" w:fill="EFD2D2" w:themeFill="accent2" w:themeFillTint="40"/>
      </w:tcPr>
    </w:tblStylePr>
    <w:tblStylePr w:type="band2Vert">
      <w:pPr>
        <w:snapToGrid/>
      </w:pPr>
    </w:tblStylePr>
    <w:tblStylePr w:type="band1Horz">
      <w:pPr>
        <w:snapToGrid/>
      </w:pPr>
      <w:rPr>
        <w:rFonts w:ascii="Arial" w:hAnsi="Arial"/>
        <w:color w:val="DA9796" w:themeColor="accent2" w:themeTint="96"/>
        <w:sz w:val="22"/>
      </w:rPr>
      <w:tblPr/>
      <w:tcPr>
        <w:shd w:val="clear" w:color="auto" w:fill="EFD2D2" w:themeFill="accent2" w:themeFillTint="40"/>
      </w:tcPr>
    </w:tblStylePr>
    <w:tblStylePr w:type="band2Horz">
      <w:pPr>
        <w:snapToGrid/>
      </w:pPr>
      <w:rPr>
        <w:rFonts w:ascii="Arial" w:hAnsi="Arial"/>
        <w:color w:val="DA9796" w:themeColor="accent2" w:themeTint="96"/>
        <w:sz w:val="22"/>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6Colorful-Accent3">
    <w:name w:val="List Table 6 Colorful - Accent 3"/>
    <w:basedOn w:val="a1"/>
    <w:uiPriority w:val="99"/>
    <w:qFormat/>
    <w:tblPr>
      <w:tblBorders>
        <w:top w:val="single" w:sz="4" w:space="0" w:color="C3D69B" w:themeColor="accent3" w:themeTint="98"/>
        <w:bottom w:val="single" w:sz="4" w:space="0" w:color="C3D69B" w:themeColor="accent3" w:themeTint="98"/>
      </w:tblBorders>
    </w:tblPr>
    <w:tblStylePr w:type="firstRow">
      <w:pPr>
        <w:snapToGrid/>
      </w:pPr>
      <w:rPr>
        <w:b/>
        <w:color w:val="C2D69B" w:themeColor="accent3" w:themeTint="99"/>
      </w:rPr>
      <w:tblPr/>
      <w:tcPr>
        <w:tcBorders>
          <w:bottom w:val="single" w:sz="4" w:space="0" w:color="C3D69B" w:themeColor="accent3" w:themeTint="98"/>
        </w:tcBorders>
      </w:tcPr>
    </w:tblStylePr>
    <w:tblStylePr w:type="lastRow">
      <w:pPr>
        <w:snapToGrid/>
      </w:pPr>
      <w:rPr>
        <w:b/>
        <w:color w:val="C2D69B" w:themeColor="accent3" w:themeTint="99"/>
      </w:rPr>
      <w:tblPr/>
      <w:tcPr>
        <w:tcBorders>
          <w:top w:val="single" w:sz="4" w:space="0" w:color="C3D69B" w:themeColor="accent3" w:themeTint="98"/>
        </w:tcBorders>
      </w:tcPr>
    </w:tblStylePr>
    <w:tblStylePr w:type="firstCol">
      <w:pPr>
        <w:snapToGrid/>
      </w:pPr>
      <w:rPr>
        <w:b/>
        <w:color w:val="C2D69B" w:themeColor="accent3" w:themeTint="99"/>
      </w:rPr>
    </w:tblStylePr>
    <w:tblStylePr w:type="lastCol">
      <w:pPr>
        <w:snapToGrid/>
      </w:pPr>
      <w:rPr>
        <w:b/>
        <w:color w:val="C2D69B" w:themeColor="accent3" w:themeTint="99"/>
      </w:rPr>
    </w:tblStylePr>
    <w:tblStylePr w:type="band1Vert">
      <w:pPr>
        <w:snapToGrid/>
      </w:pPr>
      <w:tblPr/>
      <w:tcPr>
        <w:shd w:val="clear" w:color="auto" w:fill="E5EED5" w:themeFill="accent3" w:themeFillTint="40"/>
      </w:tcPr>
    </w:tblStylePr>
    <w:tblStylePr w:type="band2Vert">
      <w:pPr>
        <w:snapToGrid/>
      </w:pPr>
    </w:tblStylePr>
    <w:tblStylePr w:type="band1Horz">
      <w:pPr>
        <w:snapToGrid/>
      </w:pPr>
      <w:rPr>
        <w:rFonts w:ascii="Arial" w:hAnsi="Arial"/>
        <w:color w:val="C2D69B" w:themeColor="accent3" w:themeTint="99"/>
        <w:sz w:val="22"/>
      </w:rPr>
      <w:tblPr/>
      <w:tcPr>
        <w:shd w:val="clear" w:color="auto" w:fill="E5EED5" w:themeFill="accent3" w:themeFillTint="40"/>
      </w:tcPr>
    </w:tblStylePr>
    <w:tblStylePr w:type="band2Horz">
      <w:pPr>
        <w:snapToGrid/>
      </w:pPr>
      <w:rPr>
        <w:rFonts w:ascii="Arial" w:hAnsi="Arial"/>
        <w:color w:val="C2D69B" w:themeColor="accent3" w:themeTint="99"/>
        <w:sz w:val="22"/>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6Colorful-Accent4">
    <w:name w:val="List Table 6 Colorful - Accent 4"/>
    <w:basedOn w:val="a1"/>
    <w:uiPriority w:val="99"/>
    <w:qFormat/>
    <w:tblPr>
      <w:tblBorders>
        <w:top w:val="single" w:sz="4" w:space="0" w:color="B2A1C6" w:themeColor="accent4" w:themeTint="9A"/>
        <w:bottom w:val="single" w:sz="4" w:space="0" w:color="B2A1C6" w:themeColor="accent4" w:themeTint="9A"/>
      </w:tblBorders>
    </w:tblPr>
    <w:tblStylePr w:type="firstRow">
      <w:pPr>
        <w:snapToGrid/>
      </w:pPr>
      <w:rPr>
        <w:b/>
        <w:color w:val="B2A1C7" w:themeColor="accent4" w:themeTint="99"/>
      </w:rPr>
      <w:tblPr/>
      <w:tcPr>
        <w:tcBorders>
          <w:bottom w:val="single" w:sz="4" w:space="0" w:color="B2A1C6" w:themeColor="accent4" w:themeTint="9A"/>
        </w:tcBorders>
      </w:tcPr>
    </w:tblStylePr>
    <w:tblStylePr w:type="lastRow">
      <w:pPr>
        <w:snapToGrid/>
      </w:pPr>
      <w:rPr>
        <w:b/>
        <w:color w:val="B2A1C7" w:themeColor="accent4" w:themeTint="99"/>
      </w:rPr>
      <w:tblPr/>
      <w:tcPr>
        <w:tcBorders>
          <w:top w:val="single" w:sz="4" w:space="0" w:color="B2A1C6" w:themeColor="accent4" w:themeTint="9A"/>
        </w:tcBorders>
      </w:tcPr>
    </w:tblStylePr>
    <w:tblStylePr w:type="firstCol">
      <w:pPr>
        <w:snapToGrid/>
      </w:pPr>
      <w:rPr>
        <w:b/>
        <w:color w:val="B2A1C7" w:themeColor="accent4" w:themeTint="99"/>
      </w:rPr>
    </w:tblStylePr>
    <w:tblStylePr w:type="lastCol">
      <w:pPr>
        <w:snapToGrid/>
      </w:pPr>
      <w:rPr>
        <w:b/>
        <w:color w:val="B2A1C7" w:themeColor="accent4" w:themeTint="99"/>
      </w:rPr>
    </w:tblStylePr>
    <w:tblStylePr w:type="band1Vert">
      <w:pPr>
        <w:snapToGrid/>
      </w:pPr>
      <w:tblPr/>
      <w:tcPr>
        <w:shd w:val="clear" w:color="auto" w:fill="DFD8E7" w:themeFill="accent4" w:themeFillTint="40"/>
      </w:tcPr>
    </w:tblStylePr>
    <w:tblStylePr w:type="band2Vert">
      <w:pPr>
        <w:snapToGrid/>
      </w:pPr>
    </w:tblStylePr>
    <w:tblStylePr w:type="band1Horz">
      <w:pPr>
        <w:snapToGrid/>
      </w:pPr>
      <w:rPr>
        <w:rFonts w:ascii="Arial" w:hAnsi="Arial"/>
        <w:color w:val="B2A1C7" w:themeColor="accent4" w:themeTint="99"/>
        <w:sz w:val="22"/>
      </w:rPr>
      <w:tblPr/>
      <w:tcPr>
        <w:shd w:val="clear" w:color="auto" w:fill="DFD8E7" w:themeFill="accent4" w:themeFillTint="40"/>
      </w:tcPr>
    </w:tblStylePr>
    <w:tblStylePr w:type="band2Horz">
      <w:pPr>
        <w:snapToGrid/>
      </w:pPr>
      <w:rPr>
        <w:rFonts w:ascii="Arial" w:hAnsi="Arial"/>
        <w:color w:val="B2A1C7" w:themeColor="accent4" w:themeTint="99"/>
        <w:sz w:val="22"/>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6Colorful-Accent5">
    <w:name w:val="List Table 6 Colorful - Accent 5"/>
    <w:basedOn w:val="a1"/>
    <w:uiPriority w:val="99"/>
    <w:qFormat/>
    <w:tblPr>
      <w:tblBorders>
        <w:top w:val="single" w:sz="4" w:space="0" w:color="92CCDC" w:themeColor="accent5" w:themeTint="9A"/>
        <w:bottom w:val="single" w:sz="4" w:space="0" w:color="92CCDC" w:themeColor="accent5" w:themeTint="9A"/>
      </w:tblBorders>
    </w:tblPr>
    <w:tblStylePr w:type="firstRow">
      <w:pPr>
        <w:snapToGrid/>
      </w:pPr>
      <w:rPr>
        <w:b/>
        <w:color w:val="92CDDC" w:themeColor="accent5" w:themeTint="99"/>
      </w:rPr>
      <w:tblPr/>
      <w:tcPr>
        <w:tcBorders>
          <w:bottom w:val="single" w:sz="4" w:space="0" w:color="92CCDC" w:themeColor="accent5" w:themeTint="9A"/>
        </w:tcBorders>
      </w:tcPr>
    </w:tblStylePr>
    <w:tblStylePr w:type="lastRow">
      <w:pPr>
        <w:snapToGrid/>
      </w:pPr>
      <w:rPr>
        <w:b/>
        <w:color w:val="92CDDC" w:themeColor="accent5" w:themeTint="99"/>
      </w:rPr>
      <w:tblPr/>
      <w:tcPr>
        <w:tcBorders>
          <w:top w:val="single" w:sz="4" w:space="0" w:color="92CCDC" w:themeColor="accent5" w:themeTint="9A"/>
        </w:tcBorders>
      </w:tcPr>
    </w:tblStylePr>
    <w:tblStylePr w:type="firstCol">
      <w:pPr>
        <w:snapToGrid/>
      </w:pPr>
      <w:rPr>
        <w:b/>
        <w:color w:val="92CDDC" w:themeColor="accent5" w:themeTint="99"/>
      </w:rPr>
    </w:tblStylePr>
    <w:tblStylePr w:type="lastCol">
      <w:pPr>
        <w:snapToGrid/>
      </w:pPr>
      <w:rPr>
        <w:b/>
        <w:color w:val="92CDDC" w:themeColor="accent5" w:themeTint="99"/>
      </w:rPr>
    </w:tblStylePr>
    <w:tblStylePr w:type="band1Vert">
      <w:pPr>
        <w:snapToGrid/>
      </w:pPr>
      <w:tblPr/>
      <w:tcPr>
        <w:shd w:val="clear" w:color="auto" w:fill="D1EAF0" w:themeFill="accent5" w:themeFillTint="40"/>
      </w:tcPr>
    </w:tblStylePr>
    <w:tblStylePr w:type="band2Vert">
      <w:pPr>
        <w:snapToGrid/>
      </w:pPr>
    </w:tblStylePr>
    <w:tblStylePr w:type="band1Horz">
      <w:pPr>
        <w:snapToGrid/>
      </w:pPr>
      <w:rPr>
        <w:rFonts w:ascii="Arial" w:hAnsi="Arial"/>
        <w:color w:val="92CDDC" w:themeColor="accent5" w:themeTint="99"/>
        <w:sz w:val="22"/>
      </w:rPr>
      <w:tblPr/>
      <w:tcPr>
        <w:shd w:val="clear" w:color="auto" w:fill="D1EAF0" w:themeFill="accent5" w:themeFillTint="40"/>
      </w:tcPr>
    </w:tblStylePr>
    <w:tblStylePr w:type="band2Horz">
      <w:pPr>
        <w:snapToGrid/>
      </w:pPr>
      <w:rPr>
        <w:rFonts w:ascii="Arial" w:hAnsi="Arial"/>
        <w:color w:val="92CDDC" w:themeColor="accent5" w:themeTint="99"/>
        <w:sz w:val="22"/>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6Colorful-Accent6">
    <w:name w:val="List Table 6 Colorful - Accent 6"/>
    <w:basedOn w:val="a1"/>
    <w:uiPriority w:val="99"/>
    <w:qFormat/>
    <w:tblPr>
      <w:tblBorders>
        <w:top w:val="single" w:sz="4" w:space="0" w:color="FAC090" w:themeColor="accent6" w:themeTint="98"/>
        <w:bottom w:val="single" w:sz="4" w:space="0" w:color="FAC090" w:themeColor="accent6" w:themeTint="98"/>
      </w:tblBorders>
    </w:tblPr>
    <w:tblStylePr w:type="firstRow">
      <w:pPr>
        <w:snapToGrid/>
      </w:pPr>
      <w:rPr>
        <w:b/>
        <w:color w:val="FABF8F" w:themeColor="accent6" w:themeTint="99"/>
      </w:rPr>
      <w:tblPr/>
      <w:tcPr>
        <w:tcBorders>
          <w:bottom w:val="single" w:sz="4" w:space="0" w:color="FAC090" w:themeColor="accent6" w:themeTint="98"/>
        </w:tcBorders>
      </w:tcPr>
    </w:tblStylePr>
    <w:tblStylePr w:type="lastRow">
      <w:pPr>
        <w:snapToGrid/>
      </w:pPr>
      <w:rPr>
        <w:b/>
        <w:color w:val="FABF8F" w:themeColor="accent6" w:themeTint="99"/>
      </w:rPr>
      <w:tblPr/>
      <w:tcPr>
        <w:tcBorders>
          <w:top w:val="single" w:sz="4" w:space="0" w:color="FAC090" w:themeColor="accent6" w:themeTint="98"/>
        </w:tcBorders>
      </w:tcPr>
    </w:tblStylePr>
    <w:tblStylePr w:type="firstCol">
      <w:pPr>
        <w:snapToGrid/>
      </w:pPr>
      <w:rPr>
        <w:b/>
        <w:color w:val="FABF8F" w:themeColor="accent6" w:themeTint="99"/>
      </w:rPr>
    </w:tblStylePr>
    <w:tblStylePr w:type="lastCol">
      <w:pPr>
        <w:snapToGrid/>
      </w:pPr>
      <w:rPr>
        <w:b/>
        <w:color w:val="FABF8F" w:themeColor="accent6" w:themeTint="99"/>
      </w:rPr>
    </w:tblStylePr>
    <w:tblStylePr w:type="band1Vert">
      <w:pPr>
        <w:snapToGrid/>
      </w:pPr>
      <w:tblPr/>
      <w:tcPr>
        <w:shd w:val="clear" w:color="auto" w:fill="FDE4D0" w:themeFill="accent6" w:themeFillTint="40"/>
      </w:tcPr>
    </w:tblStylePr>
    <w:tblStylePr w:type="band2Vert">
      <w:pPr>
        <w:snapToGrid/>
      </w:pPr>
    </w:tblStylePr>
    <w:tblStylePr w:type="band1Horz">
      <w:pPr>
        <w:snapToGrid/>
      </w:pPr>
      <w:rPr>
        <w:rFonts w:ascii="Arial" w:hAnsi="Arial"/>
        <w:color w:val="FABF8F" w:themeColor="accent6" w:themeTint="99"/>
        <w:sz w:val="22"/>
      </w:rPr>
      <w:tblPr/>
      <w:tcPr>
        <w:shd w:val="clear" w:color="auto" w:fill="FDE4D0" w:themeFill="accent6" w:themeFillTint="40"/>
      </w:tcPr>
    </w:tblStylePr>
    <w:tblStylePr w:type="band2Horz">
      <w:pPr>
        <w:snapToGrid/>
      </w:pPr>
      <w:rPr>
        <w:rFonts w:ascii="Arial" w:hAnsi="Arial"/>
        <w:color w:val="FABF8F" w:themeColor="accent6" w:themeTint="99"/>
        <w:sz w:val="22"/>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711">
    <w:name w:val="清单表 7 彩色1"/>
    <w:basedOn w:val="a1"/>
    <w:uiPriority w:val="99"/>
    <w:qFormat/>
    <w:tblPr>
      <w:tblBorders>
        <w:right w:val="single" w:sz="4" w:space="0" w:color="7F7F7F" w:themeColor="text1" w:themeTint="80"/>
      </w:tblBorders>
    </w:tblPr>
    <w:tblStylePr w:type="firstRow">
      <w:pPr>
        <w:snapToGrid/>
      </w:pPr>
      <w:rPr>
        <w:rFonts w:ascii="Arial" w:hAnsi="Arial"/>
        <w:i/>
        <w:color w:val="7F7F7F" w:themeColor="text1" w:themeTint="80"/>
        <w:sz w:val="22"/>
      </w:rPr>
      <w:tblPr/>
      <w:tcPr>
        <w:tcBorders>
          <w:top w:val="nil"/>
          <w:left w:val="nil"/>
          <w:bottom w:val="single" w:sz="4" w:space="0" w:color="7F7F7F" w:themeColor="text1" w:themeTint="80"/>
          <w:right w:val="nil"/>
        </w:tcBorders>
        <w:shd w:val="clear" w:color="auto" w:fill="FFFFFF" w:themeFill="light1"/>
      </w:tcPr>
    </w:tblStylePr>
    <w:tblStylePr w:type="lastRow">
      <w:pPr>
        <w:snapToGrid/>
      </w:pPr>
      <w:rPr>
        <w:rFonts w:ascii="Arial" w:hAnsi="Arial"/>
        <w:i/>
        <w:color w:val="7F7F7F" w:themeColor="text1" w:themeTint="80"/>
        <w:sz w:val="22"/>
      </w:rPr>
      <w:tblPr/>
      <w:tcPr>
        <w:tcBorders>
          <w:top w:val="single" w:sz="4" w:space="0" w:color="7F7F7F" w:themeColor="text1" w:themeTint="80"/>
          <w:left w:val="nil"/>
          <w:bottom w:val="nil"/>
          <w:right w:val="nil"/>
        </w:tcBorders>
        <w:shd w:val="clear" w:color="auto" w:fill="FFFFFF" w:themeFill="light1"/>
      </w:tcPr>
    </w:tblStylePr>
    <w:tblStylePr w:type="firstCol">
      <w:pPr>
        <w:snapToGrid/>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auto" w:fill="FFFFFF"/>
      </w:tcPr>
    </w:tblStylePr>
    <w:tblStylePr w:type="lastCol">
      <w:pPr>
        <w:snapToGrid/>
      </w:pPr>
      <w:rPr>
        <w:rFonts w:ascii="Arial" w:hAnsi="Arial"/>
        <w:i/>
        <w:color w:val="7F7F7F" w:themeColor="text1" w:themeTint="80"/>
        <w:sz w:val="22"/>
      </w:rPr>
      <w:tblPr/>
      <w:tcPr>
        <w:tcBorders>
          <w:top w:val="nil"/>
          <w:left w:val="single" w:sz="4" w:space="0" w:color="7F7F7F" w:themeColor="text1" w:themeTint="80"/>
          <w:bottom w:val="nil"/>
          <w:right w:val="nil"/>
        </w:tcBorders>
        <w:shd w:val="clear" w:color="auto" w:fill="FFFFFF"/>
      </w:tcPr>
    </w:tblStylePr>
    <w:tblStylePr w:type="band1Vert">
      <w:pPr>
        <w:snapToGrid/>
      </w:pPr>
      <w:tblPr/>
      <w:tcPr>
        <w:shd w:val="clear" w:color="auto" w:fill="BFBFBF" w:themeFill="text1" w:themeFillTint="40"/>
      </w:tcPr>
    </w:tblStylePr>
    <w:tblStylePr w:type="band2Vert">
      <w:pPr>
        <w:snapToGrid/>
      </w:pPr>
    </w:tblStylePr>
    <w:tblStylePr w:type="band1Horz">
      <w:pPr>
        <w:snapToGrid/>
      </w:pPr>
      <w:rPr>
        <w:rFonts w:ascii="Arial" w:hAnsi="Arial"/>
        <w:color w:val="7F7F7F" w:themeColor="text1" w:themeTint="80"/>
        <w:sz w:val="22"/>
      </w:rPr>
      <w:tblPr/>
      <w:tcPr>
        <w:shd w:val="clear" w:color="auto" w:fill="BFBFBF" w:themeFill="text1" w:themeFillTint="40"/>
      </w:tcPr>
    </w:tblStylePr>
    <w:tblStylePr w:type="band2Horz">
      <w:pPr>
        <w:snapToGrid/>
      </w:pPr>
      <w:rPr>
        <w:rFonts w:ascii="Arial" w:hAnsi="Arial"/>
        <w:color w:val="7F7F7F" w:themeColor="text1" w:themeTint="80"/>
        <w:sz w:val="22"/>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7Colorful-Accent1">
    <w:name w:val="List Table 7 Colorful - Accent 1"/>
    <w:basedOn w:val="a1"/>
    <w:uiPriority w:val="99"/>
    <w:qFormat/>
    <w:tblPr>
      <w:tblBorders>
        <w:right w:val="single" w:sz="4" w:space="0" w:color="4F81BD" w:themeColor="accent1"/>
      </w:tblBorders>
    </w:tblPr>
    <w:tblStylePr w:type="firstRow">
      <w:pPr>
        <w:snapToGrid/>
      </w:pPr>
      <w:rPr>
        <w:rFonts w:ascii="Arial" w:hAnsi="Arial"/>
        <w:i/>
        <w:color w:val="2A4A70" w:themeColor="accent1" w:themeShade="94"/>
        <w:sz w:val="22"/>
      </w:rPr>
      <w:tblPr/>
      <w:tcPr>
        <w:tcBorders>
          <w:top w:val="nil"/>
          <w:left w:val="nil"/>
          <w:bottom w:val="single" w:sz="4" w:space="0" w:color="4F81BD" w:themeColor="accent1"/>
          <w:right w:val="nil"/>
        </w:tcBorders>
        <w:shd w:val="clear" w:color="auto" w:fill="FFFFFF" w:themeFill="light1"/>
      </w:tcPr>
    </w:tblStylePr>
    <w:tblStylePr w:type="lastRow">
      <w:pPr>
        <w:snapToGrid/>
      </w:pPr>
      <w:rPr>
        <w:rFonts w:ascii="Arial" w:hAnsi="Arial"/>
        <w:i/>
        <w:color w:val="2A4A70" w:themeColor="accent1" w:themeShade="94"/>
        <w:sz w:val="22"/>
      </w:rPr>
      <w:tblPr/>
      <w:tcPr>
        <w:tcBorders>
          <w:top w:val="single" w:sz="4" w:space="0" w:color="4F81BD" w:themeColor="accent1"/>
          <w:left w:val="nil"/>
          <w:bottom w:val="nil"/>
          <w:right w:val="nil"/>
        </w:tcBorders>
        <w:shd w:val="clear" w:color="auto" w:fill="FFFFFF" w:themeFill="light1"/>
      </w:tcPr>
    </w:tblStylePr>
    <w:tblStylePr w:type="firstCol">
      <w:pPr>
        <w:snapToGrid/>
        <w:jc w:val="right"/>
      </w:pPr>
      <w:rPr>
        <w:rFonts w:ascii="Arial" w:hAnsi="Arial"/>
        <w:i/>
        <w:color w:val="2A4A70" w:themeColor="accent1" w:themeShade="94"/>
        <w:sz w:val="22"/>
      </w:rPr>
      <w:tblPr/>
      <w:tcPr>
        <w:tcBorders>
          <w:top w:val="nil"/>
          <w:left w:val="nil"/>
          <w:bottom w:val="nil"/>
          <w:right w:val="single" w:sz="4" w:space="0" w:color="4F81BD" w:themeColor="accent1"/>
        </w:tcBorders>
        <w:shd w:val="clear" w:color="auto" w:fill="FFFFFF"/>
      </w:tcPr>
    </w:tblStylePr>
    <w:tblStylePr w:type="lastCol">
      <w:pPr>
        <w:snapToGrid/>
      </w:pPr>
      <w:rPr>
        <w:rFonts w:ascii="Arial" w:hAnsi="Arial"/>
        <w:i/>
        <w:color w:val="2A4A70" w:themeColor="accent1" w:themeShade="94"/>
        <w:sz w:val="22"/>
      </w:rPr>
      <w:tblPr/>
      <w:tcPr>
        <w:tcBorders>
          <w:top w:val="nil"/>
          <w:left w:val="single" w:sz="4" w:space="0" w:color="4F81BD" w:themeColor="accent1"/>
          <w:bottom w:val="nil"/>
          <w:right w:val="nil"/>
        </w:tcBorders>
        <w:shd w:val="clear" w:color="auto" w:fill="FFFFFF"/>
      </w:tcPr>
    </w:tblStylePr>
    <w:tblStylePr w:type="band1Vert">
      <w:pPr>
        <w:snapToGrid/>
      </w:pPr>
      <w:tblPr/>
      <w:tcPr>
        <w:shd w:val="clear" w:color="auto" w:fill="D2DFEE" w:themeFill="accent1" w:themeFillTint="40"/>
      </w:tcPr>
    </w:tblStylePr>
    <w:tblStylePr w:type="band2Vert">
      <w:pPr>
        <w:snapToGrid/>
      </w:pPr>
    </w:tblStylePr>
    <w:tblStylePr w:type="band1Horz">
      <w:pPr>
        <w:snapToGrid/>
      </w:pPr>
      <w:rPr>
        <w:rFonts w:ascii="Arial" w:hAnsi="Arial"/>
        <w:color w:val="2A4A70" w:themeColor="accent1" w:themeShade="94"/>
        <w:sz w:val="22"/>
      </w:rPr>
      <w:tblPr/>
      <w:tcPr>
        <w:shd w:val="clear" w:color="auto" w:fill="D2DFEE" w:themeFill="accent1" w:themeFillTint="40"/>
      </w:tcPr>
    </w:tblStylePr>
    <w:tblStylePr w:type="band2Horz">
      <w:pPr>
        <w:snapToGrid/>
      </w:pPr>
      <w:rPr>
        <w:rFonts w:ascii="Arial" w:hAnsi="Arial"/>
        <w:color w:val="2A4A70" w:themeColor="accent1" w:themeShade="94"/>
        <w:sz w:val="22"/>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7Colorful-Accent2">
    <w:name w:val="List Table 7 Colorful - Accent 2"/>
    <w:basedOn w:val="a1"/>
    <w:uiPriority w:val="99"/>
    <w:qFormat/>
    <w:tblPr>
      <w:tblBorders>
        <w:right w:val="single" w:sz="4" w:space="0" w:color="D99695" w:themeColor="accent2" w:themeTint="97"/>
      </w:tblBorders>
    </w:tblPr>
    <w:tblStylePr w:type="firstRow">
      <w:pPr>
        <w:snapToGrid/>
      </w:pPr>
      <w:rPr>
        <w:rFonts w:ascii="Arial" w:hAnsi="Arial"/>
        <w:i/>
        <w:color w:val="DA9796" w:themeColor="accent2" w:themeTint="96"/>
        <w:sz w:val="22"/>
      </w:rPr>
      <w:tblPr/>
      <w:tcPr>
        <w:tcBorders>
          <w:top w:val="nil"/>
          <w:left w:val="nil"/>
          <w:bottom w:val="single" w:sz="4" w:space="0" w:color="D99695" w:themeColor="accent2" w:themeTint="97"/>
          <w:right w:val="nil"/>
        </w:tcBorders>
        <w:shd w:val="clear" w:color="auto" w:fill="FFFFFF" w:themeFill="light1"/>
      </w:tcPr>
    </w:tblStylePr>
    <w:tblStylePr w:type="lastRow">
      <w:pPr>
        <w:snapToGrid/>
      </w:pPr>
      <w:rPr>
        <w:rFonts w:ascii="Arial" w:hAnsi="Arial"/>
        <w:i/>
        <w:color w:val="DA9796" w:themeColor="accent2" w:themeTint="96"/>
        <w:sz w:val="22"/>
      </w:rPr>
      <w:tblPr/>
      <w:tcPr>
        <w:tcBorders>
          <w:top w:val="single" w:sz="4" w:space="0" w:color="D99695" w:themeColor="accent2" w:themeTint="97"/>
          <w:left w:val="nil"/>
          <w:bottom w:val="nil"/>
          <w:right w:val="nil"/>
        </w:tcBorders>
        <w:shd w:val="clear" w:color="auto" w:fill="FFFFFF" w:themeFill="light1"/>
      </w:tcPr>
    </w:tblStylePr>
    <w:tblStylePr w:type="firstCol">
      <w:pPr>
        <w:snapToGrid/>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auto" w:fill="FFFFFF"/>
      </w:tcPr>
    </w:tblStylePr>
    <w:tblStylePr w:type="lastCol">
      <w:pPr>
        <w:snapToGrid/>
      </w:pPr>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auto" w:fill="FFFFFF"/>
      </w:tcPr>
    </w:tblStylePr>
    <w:tblStylePr w:type="band1Vert">
      <w:pPr>
        <w:snapToGrid/>
      </w:pPr>
      <w:tblPr/>
      <w:tcPr>
        <w:shd w:val="clear" w:color="auto" w:fill="EFD2D2" w:themeFill="accent2" w:themeFillTint="40"/>
      </w:tcPr>
    </w:tblStylePr>
    <w:tblStylePr w:type="band2Vert">
      <w:pPr>
        <w:snapToGrid/>
      </w:pPr>
    </w:tblStylePr>
    <w:tblStylePr w:type="band1Horz">
      <w:pPr>
        <w:snapToGrid/>
      </w:pPr>
      <w:rPr>
        <w:rFonts w:ascii="Arial" w:hAnsi="Arial"/>
        <w:color w:val="DA9796" w:themeColor="accent2" w:themeTint="96"/>
        <w:sz w:val="22"/>
      </w:rPr>
      <w:tblPr/>
      <w:tcPr>
        <w:shd w:val="clear" w:color="auto" w:fill="EFD2D2" w:themeFill="accent2" w:themeFillTint="40"/>
      </w:tcPr>
    </w:tblStylePr>
    <w:tblStylePr w:type="band2Horz">
      <w:pPr>
        <w:snapToGrid/>
      </w:pPr>
      <w:rPr>
        <w:rFonts w:ascii="Arial" w:hAnsi="Arial"/>
        <w:color w:val="DA9796" w:themeColor="accent2" w:themeTint="96"/>
        <w:sz w:val="22"/>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7Colorful-Accent3">
    <w:name w:val="List Table 7 Colorful - Accent 3"/>
    <w:basedOn w:val="a1"/>
    <w:uiPriority w:val="99"/>
    <w:qFormat/>
    <w:tblPr>
      <w:tblBorders>
        <w:right w:val="single" w:sz="4" w:space="0" w:color="C3D69B" w:themeColor="accent3" w:themeTint="98"/>
      </w:tblBorders>
    </w:tblPr>
    <w:tblStylePr w:type="firstRow">
      <w:pPr>
        <w:snapToGrid/>
      </w:pPr>
      <w:rPr>
        <w:rFonts w:ascii="Arial" w:hAnsi="Arial"/>
        <w:i/>
        <w:color w:val="C2D69B" w:themeColor="accent3" w:themeTint="99"/>
        <w:sz w:val="22"/>
      </w:rPr>
      <w:tblPr/>
      <w:tcPr>
        <w:tcBorders>
          <w:top w:val="nil"/>
          <w:left w:val="nil"/>
          <w:bottom w:val="single" w:sz="4" w:space="0" w:color="C3D69B" w:themeColor="accent3" w:themeTint="98"/>
          <w:right w:val="nil"/>
        </w:tcBorders>
        <w:shd w:val="clear" w:color="auto" w:fill="FFFFFF" w:themeFill="light1"/>
      </w:tcPr>
    </w:tblStylePr>
    <w:tblStylePr w:type="lastRow">
      <w:pPr>
        <w:snapToGrid/>
      </w:pPr>
      <w:rPr>
        <w:rFonts w:ascii="Arial" w:hAnsi="Arial"/>
        <w:i/>
        <w:color w:val="C2D69B" w:themeColor="accent3" w:themeTint="99"/>
        <w:sz w:val="22"/>
      </w:rPr>
      <w:tblPr/>
      <w:tcPr>
        <w:tcBorders>
          <w:top w:val="single" w:sz="4" w:space="0" w:color="C3D69B" w:themeColor="accent3" w:themeTint="98"/>
          <w:left w:val="nil"/>
          <w:bottom w:val="nil"/>
          <w:right w:val="nil"/>
        </w:tcBorders>
        <w:shd w:val="clear" w:color="auto" w:fill="FFFFFF" w:themeFill="light1"/>
      </w:tcPr>
    </w:tblStylePr>
    <w:tblStylePr w:type="firstCol">
      <w:pPr>
        <w:snapToGrid/>
        <w:jc w:val="right"/>
      </w:pPr>
      <w:rPr>
        <w:rFonts w:ascii="Arial" w:hAnsi="Arial"/>
        <w:i/>
        <w:color w:val="C2D69B" w:themeColor="accent3" w:themeTint="99"/>
        <w:sz w:val="22"/>
      </w:rPr>
      <w:tblPr/>
      <w:tcPr>
        <w:tcBorders>
          <w:top w:val="nil"/>
          <w:left w:val="nil"/>
          <w:bottom w:val="nil"/>
          <w:right w:val="single" w:sz="4" w:space="0" w:color="C3D69B" w:themeColor="accent3" w:themeTint="98"/>
        </w:tcBorders>
        <w:shd w:val="clear" w:color="auto" w:fill="FFFFFF"/>
      </w:tcPr>
    </w:tblStylePr>
    <w:tblStylePr w:type="lastCol">
      <w:pPr>
        <w:snapToGrid/>
      </w:pPr>
      <w:rPr>
        <w:rFonts w:ascii="Arial" w:hAnsi="Arial"/>
        <w:i/>
        <w:color w:val="C2D69B" w:themeColor="accent3" w:themeTint="99"/>
        <w:sz w:val="22"/>
      </w:rPr>
      <w:tblPr/>
      <w:tcPr>
        <w:tcBorders>
          <w:top w:val="nil"/>
          <w:left w:val="single" w:sz="4" w:space="0" w:color="C3D69B" w:themeColor="accent3" w:themeTint="98"/>
          <w:bottom w:val="nil"/>
          <w:right w:val="nil"/>
        </w:tcBorders>
        <w:shd w:val="clear" w:color="auto" w:fill="FFFFFF"/>
      </w:tcPr>
    </w:tblStylePr>
    <w:tblStylePr w:type="band1Vert">
      <w:pPr>
        <w:snapToGrid/>
      </w:pPr>
      <w:tblPr/>
      <w:tcPr>
        <w:shd w:val="clear" w:color="auto" w:fill="E5EED5" w:themeFill="accent3" w:themeFillTint="40"/>
      </w:tcPr>
    </w:tblStylePr>
    <w:tblStylePr w:type="band2Vert">
      <w:pPr>
        <w:snapToGrid/>
      </w:pPr>
    </w:tblStylePr>
    <w:tblStylePr w:type="band1Horz">
      <w:pPr>
        <w:snapToGrid/>
      </w:pPr>
      <w:rPr>
        <w:rFonts w:ascii="Arial" w:hAnsi="Arial"/>
        <w:color w:val="C2D69B" w:themeColor="accent3" w:themeTint="99"/>
        <w:sz w:val="22"/>
      </w:rPr>
      <w:tblPr/>
      <w:tcPr>
        <w:shd w:val="clear" w:color="auto" w:fill="E5EED5" w:themeFill="accent3" w:themeFillTint="40"/>
      </w:tcPr>
    </w:tblStylePr>
    <w:tblStylePr w:type="band2Horz">
      <w:pPr>
        <w:snapToGrid/>
      </w:pPr>
      <w:rPr>
        <w:rFonts w:ascii="Arial" w:hAnsi="Arial"/>
        <w:color w:val="C2D69B" w:themeColor="accent3" w:themeTint="99"/>
        <w:sz w:val="22"/>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7Colorful-Accent4">
    <w:name w:val="List Table 7 Colorful - Accent 4"/>
    <w:basedOn w:val="a1"/>
    <w:uiPriority w:val="99"/>
    <w:qFormat/>
    <w:tblPr>
      <w:tblBorders>
        <w:right w:val="single" w:sz="4" w:space="0" w:color="B2A1C6" w:themeColor="accent4" w:themeTint="9A"/>
      </w:tblBorders>
    </w:tblPr>
    <w:tblStylePr w:type="firstRow">
      <w:pPr>
        <w:snapToGrid/>
      </w:pPr>
      <w:rPr>
        <w:rFonts w:ascii="Arial" w:hAnsi="Arial"/>
        <w:i/>
        <w:color w:val="B2A1C7" w:themeColor="accent4" w:themeTint="99"/>
        <w:sz w:val="22"/>
      </w:rPr>
      <w:tblPr/>
      <w:tcPr>
        <w:tcBorders>
          <w:top w:val="nil"/>
          <w:left w:val="nil"/>
          <w:bottom w:val="single" w:sz="4" w:space="0" w:color="B2A1C6" w:themeColor="accent4" w:themeTint="9A"/>
          <w:right w:val="nil"/>
        </w:tcBorders>
        <w:shd w:val="clear" w:color="auto" w:fill="FFFFFF" w:themeFill="light1"/>
      </w:tcPr>
    </w:tblStylePr>
    <w:tblStylePr w:type="lastRow">
      <w:pPr>
        <w:snapToGrid/>
      </w:pPr>
      <w:rPr>
        <w:rFonts w:ascii="Arial" w:hAnsi="Arial"/>
        <w:i/>
        <w:color w:val="B2A1C7" w:themeColor="accent4" w:themeTint="99"/>
        <w:sz w:val="22"/>
      </w:rPr>
      <w:tblPr/>
      <w:tcPr>
        <w:tcBorders>
          <w:top w:val="single" w:sz="4" w:space="0" w:color="B2A1C6" w:themeColor="accent4" w:themeTint="9A"/>
          <w:left w:val="nil"/>
          <w:bottom w:val="nil"/>
          <w:right w:val="nil"/>
        </w:tcBorders>
        <w:shd w:val="clear" w:color="auto" w:fill="FFFFFF" w:themeFill="light1"/>
      </w:tcPr>
    </w:tblStylePr>
    <w:tblStylePr w:type="firstCol">
      <w:pPr>
        <w:snapToGrid/>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auto" w:fill="FFFFFF"/>
      </w:tcPr>
    </w:tblStylePr>
    <w:tblStylePr w:type="lastCol">
      <w:pPr>
        <w:snapToGrid/>
      </w:pPr>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auto" w:fill="FFFFFF"/>
      </w:tcPr>
    </w:tblStylePr>
    <w:tblStylePr w:type="band1Vert">
      <w:pPr>
        <w:snapToGrid/>
      </w:pPr>
      <w:tblPr/>
      <w:tcPr>
        <w:shd w:val="clear" w:color="auto" w:fill="DFD8E7" w:themeFill="accent4" w:themeFillTint="40"/>
      </w:tcPr>
    </w:tblStylePr>
    <w:tblStylePr w:type="band2Vert">
      <w:pPr>
        <w:snapToGrid/>
      </w:pPr>
    </w:tblStylePr>
    <w:tblStylePr w:type="band1Horz">
      <w:pPr>
        <w:snapToGrid/>
      </w:pPr>
      <w:rPr>
        <w:rFonts w:ascii="Arial" w:hAnsi="Arial"/>
        <w:color w:val="B2A1C7" w:themeColor="accent4" w:themeTint="99"/>
        <w:sz w:val="22"/>
      </w:rPr>
      <w:tblPr/>
      <w:tcPr>
        <w:shd w:val="clear" w:color="auto" w:fill="DFD8E7" w:themeFill="accent4" w:themeFillTint="40"/>
      </w:tcPr>
    </w:tblStylePr>
    <w:tblStylePr w:type="band2Horz">
      <w:pPr>
        <w:snapToGrid/>
      </w:pPr>
      <w:rPr>
        <w:rFonts w:ascii="Arial" w:hAnsi="Arial"/>
        <w:color w:val="B2A1C7" w:themeColor="accent4" w:themeTint="99"/>
        <w:sz w:val="22"/>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7Colorful-Accent5">
    <w:name w:val="List Table 7 Colorful - Accent 5"/>
    <w:basedOn w:val="a1"/>
    <w:uiPriority w:val="99"/>
    <w:qFormat/>
    <w:tblPr>
      <w:tblBorders>
        <w:right w:val="single" w:sz="4" w:space="0" w:color="92CCDC" w:themeColor="accent5" w:themeTint="9A"/>
      </w:tblBorders>
    </w:tblPr>
    <w:tblStylePr w:type="firstRow">
      <w:pPr>
        <w:snapToGrid/>
      </w:pPr>
      <w:rPr>
        <w:rFonts w:ascii="Arial" w:hAnsi="Arial"/>
        <w:i/>
        <w:color w:val="92CDDC" w:themeColor="accent5" w:themeTint="99"/>
        <w:sz w:val="22"/>
      </w:rPr>
      <w:tblPr/>
      <w:tcPr>
        <w:tcBorders>
          <w:top w:val="nil"/>
          <w:left w:val="nil"/>
          <w:bottom w:val="single" w:sz="4" w:space="0" w:color="92CCDC" w:themeColor="accent5" w:themeTint="9A"/>
          <w:right w:val="nil"/>
        </w:tcBorders>
        <w:shd w:val="clear" w:color="auto" w:fill="FFFFFF" w:themeFill="light1"/>
      </w:tcPr>
    </w:tblStylePr>
    <w:tblStylePr w:type="lastRow">
      <w:pPr>
        <w:snapToGrid/>
      </w:pPr>
      <w:rPr>
        <w:rFonts w:ascii="Arial" w:hAnsi="Arial"/>
        <w:i/>
        <w:color w:val="92CDDC" w:themeColor="accent5" w:themeTint="99"/>
        <w:sz w:val="22"/>
      </w:rPr>
      <w:tblPr/>
      <w:tcPr>
        <w:tcBorders>
          <w:top w:val="single" w:sz="4" w:space="0" w:color="92CCDC" w:themeColor="accent5" w:themeTint="9A"/>
          <w:left w:val="nil"/>
          <w:bottom w:val="nil"/>
          <w:right w:val="nil"/>
        </w:tcBorders>
        <w:shd w:val="clear" w:color="auto" w:fill="FFFFFF" w:themeFill="light1"/>
      </w:tcPr>
    </w:tblStylePr>
    <w:tblStylePr w:type="firstCol">
      <w:pPr>
        <w:snapToGrid/>
        <w:jc w:val="right"/>
      </w:pPr>
      <w:rPr>
        <w:rFonts w:ascii="Arial" w:hAnsi="Arial"/>
        <w:i/>
        <w:color w:val="92CDDC" w:themeColor="accent5" w:themeTint="99"/>
        <w:sz w:val="22"/>
      </w:rPr>
      <w:tblPr/>
      <w:tcPr>
        <w:tcBorders>
          <w:top w:val="nil"/>
          <w:left w:val="nil"/>
          <w:bottom w:val="nil"/>
          <w:right w:val="single" w:sz="4" w:space="0" w:color="92CCDC" w:themeColor="accent5" w:themeTint="9A"/>
        </w:tcBorders>
        <w:shd w:val="clear" w:color="auto" w:fill="FFFFFF"/>
      </w:tcPr>
    </w:tblStylePr>
    <w:tblStylePr w:type="lastCol">
      <w:pPr>
        <w:snapToGrid/>
      </w:pPr>
      <w:rPr>
        <w:rFonts w:ascii="Arial" w:hAnsi="Arial"/>
        <w:i/>
        <w:color w:val="92CDDC" w:themeColor="accent5" w:themeTint="99"/>
        <w:sz w:val="22"/>
      </w:rPr>
      <w:tblPr/>
      <w:tcPr>
        <w:tcBorders>
          <w:top w:val="nil"/>
          <w:left w:val="single" w:sz="4" w:space="0" w:color="92CCDC" w:themeColor="accent5" w:themeTint="9A"/>
          <w:bottom w:val="nil"/>
          <w:right w:val="nil"/>
        </w:tcBorders>
        <w:shd w:val="clear" w:color="auto" w:fill="FFFFFF"/>
      </w:tcPr>
    </w:tblStylePr>
    <w:tblStylePr w:type="band1Vert">
      <w:pPr>
        <w:snapToGrid/>
      </w:pPr>
      <w:tblPr/>
      <w:tcPr>
        <w:shd w:val="clear" w:color="auto" w:fill="D1EAF0" w:themeFill="accent5" w:themeFillTint="40"/>
      </w:tcPr>
    </w:tblStylePr>
    <w:tblStylePr w:type="band2Vert">
      <w:pPr>
        <w:snapToGrid/>
      </w:pPr>
    </w:tblStylePr>
    <w:tblStylePr w:type="band1Horz">
      <w:pPr>
        <w:snapToGrid/>
      </w:pPr>
      <w:rPr>
        <w:rFonts w:ascii="Arial" w:hAnsi="Arial"/>
        <w:color w:val="92CDDC" w:themeColor="accent5" w:themeTint="99"/>
        <w:sz w:val="22"/>
      </w:rPr>
      <w:tblPr/>
      <w:tcPr>
        <w:shd w:val="clear" w:color="auto" w:fill="D1EAF0" w:themeFill="accent5" w:themeFillTint="40"/>
      </w:tcPr>
    </w:tblStylePr>
    <w:tblStylePr w:type="band2Horz">
      <w:pPr>
        <w:snapToGrid/>
      </w:pPr>
      <w:rPr>
        <w:rFonts w:ascii="Arial" w:hAnsi="Arial"/>
        <w:color w:val="92CDDC" w:themeColor="accent5" w:themeTint="99"/>
        <w:sz w:val="22"/>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stTable7Colorful-Accent6">
    <w:name w:val="List Table 7 Colorful - Accent 6"/>
    <w:basedOn w:val="a1"/>
    <w:uiPriority w:val="99"/>
    <w:qFormat/>
    <w:tblPr>
      <w:tblBorders>
        <w:right w:val="single" w:sz="4" w:space="0" w:color="FAC090" w:themeColor="accent6" w:themeTint="98"/>
      </w:tblBorders>
    </w:tblPr>
    <w:tblStylePr w:type="firstRow">
      <w:pPr>
        <w:snapToGrid/>
      </w:pPr>
      <w:rPr>
        <w:rFonts w:ascii="Arial" w:hAnsi="Arial"/>
        <w:i/>
        <w:color w:val="FABF8F" w:themeColor="accent6" w:themeTint="99"/>
        <w:sz w:val="22"/>
      </w:rPr>
      <w:tblPr/>
      <w:tcPr>
        <w:tcBorders>
          <w:top w:val="nil"/>
          <w:left w:val="nil"/>
          <w:bottom w:val="single" w:sz="4" w:space="0" w:color="FAC090" w:themeColor="accent6" w:themeTint="98"/>
          <w:right w:val="nil"/>
        </w:tcBorders>
        <w:shd w:val="clear" w:color="auto" w:fill="FFFFFF" w:themeFill="light1"/>
      </w:tcPr>
    </w:tblStylePr>
    <w:tblStylePr w:type="lastRow">
      <w:pPr>
        <w:snapToGrid/>
      </w:pPr>
      <w:rPr>
        <w:rFonts w:ascii="Arial" w:hAnsi="Arial"/>
        <w:i/>
        <w:color w:val="FABF8F" w:themeColor="accent6" w:themeTint="99"/>
        <w:sz w:val="22"/>
      </w:rPr>
      <w:tblPr/>
      <w:tcPr>
        <w:tcBorders>
          <w:top w:val="single" w:sz="4" w:space="0" w:color="FAC090" w:themeColor="accent6" w:themeTint="98"/>
          <w:left w:val="nil"/>
          <w:bottom w:val="nil"/>
          <w:right w:val="nil"/>
        </w:tcBorders>
        <w:shd w:val="clear" w:color="auto" w:fill="FFFFFF" w:themeFill="light1"/>
      </w:tcPr>
    </w:tblStylePr>
    <w:tblStylePr w:type="firstCol">
      <w:pPr>
        <w:snapToGrid/>
        <w:jc w:val="right"/>
      </w:pPr>
      <w:rPr>
        <w:rFonts w:ascii="Arial" w:hAnsi="Arial"/>
        <w:i/>
        <w:color w:val="FABF8F" w:themeColor="accent6" w:themeTint="99"/>
        <w:sz w:val="22"/>
      </w:rPr>
      <w:tblPr/>
      <w:tcPr>
        <w:tcBorders>
          <w:top w:val="nil"/>
          <w:left w:val="nil"/>
          <w:bottom w:val="nil"/>
          <w:right w:val="single" w:sz="4" w:space="0" w:color="FAC090" w:themeColor="accent6" w:themeTint="98"/>
        </w:tcBorders>
        <w:shd w:val="clear" w:color="auto" w:fill="FFFFFF"/>
      </w:tcPr>
    </w:tblStylePr>
    <w:tblStylePr w:type="lastCol">
      <w:pPr>
        <w:snapToGrid/>
      </w:pPr>
      <w:rPr>
        <w:rFonts w:ascii="Arial" w:hAnsi="Arial"/>
        <w:i/>
        <w:color w:val="FABF8F" w:themeColor="accent6" w:themeTint="99"/>
        <w:sz w:val="22"/>
      </w:rPr>
      <w:tblPr/>
      <w:tcPr>
        <w:tcBorders>
          <w:top w:val="nil"/>
          <w:left w:val="single" w:sz="4" w:space="0" w:color="FAC090" w:themeColor="accent6" w:themeTint="98"/>
          <w:bottom w:val="nil"/>
          <w:right w:val="nil"/>
        </w:tcBorders>
        <w:shd w:val="clear" w:color="auto" w:fill="FFFFFF"/>
      </w:tcPr>
    </w:tblStylePr>
    <w:tblStylePr w:type="band1Vert">
      <w:pPr>
        <w:snapToGrid/>
      </w:pPr>
      <w:tblPr/>
      <w:tcPr>
        <w:shd w:val="clear" w:color="auto" w:fill="FDE4D0" w:themeFill="accent6" w:themeFillTint="40"/>
      </w:tcPr>
    </w:tblStylePr>
    <w:tblStylePr w:type="band2Vert">
      <w:pPr>
        <w:snapToGrid/>
      </w:pPr>
    </w:tblStylePr>
    <w:tblStylePr w:type="band1Horz">
      <w:pPr>
        <w:snapToGrid/>
      </w:pPr>
      <w:rPr>
        <w:rFonts w:ascii="Arial" w:hAnsi="Arial"/>
        <w:color w:val="FABF8F" w:themeColor="accent6" w:themeTint="99"/>
        <w:sz w:val="22"/>
      </w:rPr>
      <w:tblPr/>
      <w:tcPr>
        <w:shd w:val="clear" w:color="auto" w:fill="FDE4D0" w:themeFill="accent6" w:themeFillTint="40"/>
      </w:tcPr>
    </w:tblStylePr>
    <w:tblStylePr w:type="band2Horz">
      <w:pPr>
        <w:snapToGrid/>
      </w:pPr>
      <w:rPr>
        <w:rFonts w:ascii="Arial" w:hAnsi="Arial"/>
        <w:color w:val="FABF8F" w:themeColor="accent6" w:themeTint="99"/>
        <w:sz w:val="22"/>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ned-Accent">
    <w:name w:val="Lined - Accent"/>
    <w:basedOn w:val="a1"/>
    <w:uiPriority w:val="99"/>
    <w:qFormat/>
    <w:rPr>
      <w:color w:val="404040"/>
    </w:rPr>
    <w:tblPr/>
    <w:tblStylePr w:type="firstRow">
      <w:pPr>
        <w:snapToGrid/>
      </w:pPr>
      <w:rPr>
        <w:rFonts w:ascii="Arial" w:hAnsi="Arial"/>
        <w:color w:val="F2F2F2"/>
        <w:sz w:val="22"/>
      </w:rPr>
      <w:tblPr/>
      <w:tcPr>
        <w:shd w:val="clear" w:color="auto" w:fill="7F7F7F" w:themeFill="text1" w:themeFillTint="80"/>
      </w:tcPr>
    </w:tblStylePr>
    <w:tblStylePr w:type="lastRow">
      <w:pPr>
        <w:snapToGrid/>
      </w:pPr>
      <w:rPr>
        <w:rFonts w:ascii="Arial" w:hAnsi="Arial"/>
        <w:color w:val="F2F2F2"/>
        <w:sz w:val="22"/>
      </w:rPr>
      <w:tblPr/>
      <w:tcPr>
        <w:shd w:val="clear" w:color="auto" w:fill="7F7F7F" w:themeFill="text1" w:themeFillTint="80"/>
      </w:tcPr>
    </w:tblStylePr>
    <w:tblStylePr w:type="firstCol">
      <w:pPr>
        <w:snapToGrid/>
      </w:pPr>
      <w:rPr>
        <w:rFonts w:ascii="Arial" w:hAnsi="Arial"/>
        <w:color w:val="F2F2F2"/>
        <w:sz w:val="22"/>
      </w:rPr>
      <w:tblPr/>
      <w:tcPr>
        <w:shd w:val="clear" w:color="auto" w:fill="7F7F7F" w:themeFill="text1" w:themeFillTint="80"/>
      </w:tcPr>
    </w:tblStylePr>
    <w:tblStylePr w:type="lastCol">
      <w:pPr>
        <w:snapToGrid/>
      </w:pPr>
      <w:rPr>
        <w:rFonts w:ascii="Arial" w:hAnsi="Arial"/>
        <w:color w:val="F2F2F2"/>
        <w:sz w:val="22"/>
      </w:rPr>
      <w:tblPr/>
      <w:tcPr>
        <w:shd w:val="clear" w:color="auto" w:fill="7F7F7F" w:themeFill="text1" w:themeFillTint="80"/>
      </w:tcPr>
    </w:tblStylePr>
    <w:tblStylePr w:type="band1Vert">
      <w:pPr>
        <w:snapToGrid/>
      </w:pPr>
      <w:rPr>
        <w:rFonts w:ascii="Arial" w:hAnsi="Arial"/>
        <w:color w:val="404040"/>
        <w:sz w:val="22"/>
      </w:rPr>
    </w:tblStylePr>
    <w:tblStylePr w:type="band2Vert">
      <w:pPr>
        <w:snapToGrid/>
      </w:pPr>
      <w:rPr>
        <w:rFonts w:ascii="Arial" w:hAnsi="Arial"/>
        <w:color w:val="404040"/>
        <w:sz w:val="22"/>
      </w:rPr>
      <w:tblPr/>
      <w:tcPr>
        <w:shd w:val="clear" w:color="auto" w:fill="F2F2F2" w:themeFill="text1" w:themeFillTint="0D"/>
      </w:tcPr>
    </w:tblStylePr>
    <w:tblStylePr w:type="band1Horz">
      <w:pPr>
        <w:snapToGrid/>
      </w:pPr>
      <w:rPr>
        <w:rFonts w:ascii="Arial" w:hAnsi="Arial"/>
        <w:color w:val="404040"/>
        <w:sz w:val="22"/>
      </w:rPr>
    </w:tblStylePr>
    <w:tblStylePr w:type="band2Horz">
      <w:pPr>
        <w:snapToGrid/>
      </w:pPr>
      <w:rPr>
        <w:rFonts w:ascii="Arial" w:hAnsi="Arial"/>
        <w:color w:val="404040"/>
        <w:sz w:val="22"/>
      </w:rPr>
      <w:tblPr/>
      <w:tcPr>
        <w:shd w:val="clear" w:color="auto" w:fill="F2F2F2" w:themeFill="text1" w:themeFillTint="0D"/>
      </w:tc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ned-Accent1">
    <w:name w:val="Lined - Accent 1"/>
    <w:basedOn w:val="a1"/>
    <w:uiPriority w:val="99"/>
    <w:qFormat/>
    <w:rPr>
      <w:color w:val="404040"/>
    </w:rPr>
    <w:tblPr/>
    <w:tblStylePr w:type="firstRow">
      <w:pPr>
        <w:snapToGrid/>
      </w:pPr>
      <w:rPr>
        <w:rFonts w:ascii="Arial" w:hAnsi="Arial"/>
        <w:color w:val="F2F2F2"/>
        <w:sz w:val="22"/>
      </w:rPr>
      <w:tblPr/>
      <w:tcPr>
        <w:shd w:val="clear" w:color="auto" w:fill="5D8AC2" w:themeFill="accent1" w:themeFillTint="EA"/>
      </w:tcPr>
    </w:tblStylePr>
    <w:tblStylePr w:type="lastRow">
      <w:pPr>
        <w:snapToGrid/>
      </w:pPr>
      <w:rPr>
        <w:rFonts w:ascii="Arial" w:hAnsi="Arial"/>
        <w:color w:val="F2F2F2"/>
        <w:sz w:val="22"/>
      </w:rPr>
      <w:tblPr/>
      <w:tcPr>
        <w:shd w:val="clear" w:color="auto" w:fill="5D8AC2" w:themeFill="accent1" w:themeFillTint="EA"/>
      </w:tcPr>
    </w:tblStylePr>
    <w:tblStylePr w:type="firstCol">
      <w:pPr>
        <w:snapToGrid/>
      </w:pPr>
      <w:rPr>
        <w:rFonts w:ascii="Arial" w:hAnsi="Arial"/>
        <w:color w:val="F2F2F2"/>
        <w:sz w:val="22"/>
      </w:rPr>
      <w:tblPr/>
      <w:tcPr>
        <w:shd w:val="clear" w:color="auto" w:fill="5D8AC2" w:themeFill="accent1" w:themeFillTint="EA"/>
      </w:tcPr>
    </w:tblStylePr>
    <w:tblStylePr w:type="lastCol">
      <w:pPr>
        <w:snapToGrid/>
      </w:pPr>
      <w:rPr>
        <w:rFonts w:ascii="Arial" w:hAnsi="Arial"/>
        <w:color w:val="F2F2F2"/>
        <w:sz w:val="22"/>
      </w:rPr>
      <w:tblPr/>
      <w:tcPr>
        <w:shd w:val="clear" w:color="auto" w:fill="5D8AC2" w:themeFill="accent1" w:themeFillTint="EA"/>
      </w:tcPr>
    </w:tblStylePr>
    <w:tblStylePr w:type="band1Vert">
      <w:pPr>
        <w:snapToGrid/>
      </w:pPr>
      <w:rPr>
        <w:rFonts w:ascii="Arial" w:hAnsi="Arial"/>
        <w:color w:val="404040"/>
        <w:sz w:val="22"/>
      </w:rPr>
    </w:tblStylePr>
    <w:tblStylePr w:type="band2Vert">
      <w:pPr>
        <w:snapToGrid/>
      </w:pPr>
      <w:rPr>
        <w:rFonts w:ascii="Arial" w:hAnsi="Arial"/>
        <w:color w:val="404040"/>
        <w:sz w:val="22"/>
      </w:rPr>
      <w:tblPr/>
      <w:tcPr>
        <w:shd w:val="clear" w:color="auto" w:fill="C7D7EA" w:themeFill="accent1" w:themeFillTint="50"/>
      </w:tcPr>
    </w:tblStylePr>
    <w:tblStylePr w:type="band1Horz">
      <w:pPr>
        <w:snapToGrid/>
      </w:pPr>
      <w:rPr>
        <w:rFonts w:ascii="Arial" w:hAnsi="Arial"/>
        <w:color w:val="404040"/>
        <w:sz w:val="22"/>
      </w:rPr>
    </w:tblStylePr>
    <w:tblStylePr w:type="band2Horz">
      <w:pPr>
        <w:snapToGrid/>
      </w:pPr>
      <w:rPr>
        <w:rFonts w:ascii="Arial" w:hAnsi="Arial"/>
        <w:color w:val="404040"/>
        <w:sz w:val="22"/>
      </w:rPr>
      <w:tblPr/>
      <w:tcPr>
        <w:shd w:val="clear" w:color="auto" w:fill="C7D7EA" w:themeFill="accent1" w:themeFillTint="50"/>
      </w:tc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ned-Accent2">
    <w:name w:val="Lined - Accent 2"/>
    <w:basedOn w:val="a1"/>
    <w:uiPriority w:val="99"/>
    <w:qFormat/>
    <w:rPr>
      <w:color w:val="404040"/>
    </w:rPr>
    <w:tblPr/>
    <w:tblStylePr w:type="firstRow">
      <w:pPr>
        <w:snapToGrid/>
      </w:pPr>
      <w:rPr>
        <w:rFonts w:ascii="Arial" w:hAnsi="Arial"/>
        <w:color w:val="F2F2F2"/>
        <w:sz w:val="22"/>
      </w:rPr>
      <w:tblPr/>
      <w:tcPr>
        <w:shd w:val="clear" w:color="auto" w:fill="D99695" w:themeFill="accent2" w:themeFillTint="97"/>
      </w:tcPr>
    </w:tblStylePr>
    <w:tblStylePr w:type="lastRow">
      <w:pPr>
        <w:snapToGrid/>
      </w:pPr>
      <w:rPr>
        <w:rFonts w:ascii="Arial" w:hAnsi="Arial"/>
        <w:color w:val="F2F2F2"/>
        <w:sz w:val="22"/>
      </w:rPr>
      <w:tblPr/>
      <w:tcPr>
        <w:shd w:val="clear" w:color="auto" w:fill="D99695" w:themeFill="accent2" w:themeFillTint="97"/>
      </w:tcPr>
    </w:tblStylePr>
    <w:tblStylePr w:type="firstCol">
      <w:pPr>
        <w:snapToGrid/>
      </w:pPr>
      <w:rPr>
        <w:rFonts w:ascii="Arial" w:hAnsi="Arial"/>
        <w:color w:val="F2F2F2"/>
        <w:sz w:val="22"/>
      </w:rPr>
      <w:tblPr/>
      <w:tcPr>
        <w:shd w:val="clear" w:color="auto" w:fill="D99695" w:themeFill="accent2" w:themeFillTint="97"/>
      </w:tcPr>
    </w:tblStylePr>
    <w:tblStylePr w:type="lastCol">
      <w:pPr>
        <w:snapToGrid/>
      </w:pPr>
      <w:rPr>
        <w:rFonts w:ascii="Arial" w:hAnsi="Arial"/>
        <w:color w:val="F2F2F2"/>
        <w:sz w:val="22"/>
      </w:rPr>
      <w:tblPr/>
      <w:tcPr>
        <w:shd w:val="clear" w:color="auto" w:fill="D99695" w:themeFill="accent2" w:themeFillTint="97"/>
      </w:tcPr>
    </w:tblStylePr>
    <w:tblStylePr w:type="band1Vert">
      <w:pPr>
        <w:snapToGrid/>
      </w:pPr>
      <w:rPr>
        <w:rFonts w:ascii="Arial" w:hAnsi="Arial"/>
        <w:color w:val="404040"/>
        <w:sz w:val="22"/>
      </w:rPr>
    </w:tblStylePr>
    <w:tblStylePr w:type="band2Vert">
      <w:pPr>
        <w:snapToGrid/>
      </w:pPr>
      <w:rPr>
        <w:rFonts w:ascii="Arial" w:hAnsi="Arial"/>
        <w:color w:val="404040"/>
        <w:sz w:val="22"/>
      </w:rPr>
      <w:tblPr/>
      <w:tcPr>
        <w:shd w:val="clear" w:color="auto" w:fill="F2DCDC" w:themeFill="accent2" w:themeFillTint="32"/>
      </w:tcPr>
    </w:tblStylePr>
    <w:tblStylePr w:type="band1Horz">
      <w:pPr>
        <w:snapToGrid/>
      </w:pPr>
      <w:rPr>
        <w:rFonts w:ascii="Arial" w:hAnsi="Arial"/>
        <w:color w:val="404040"/>
        <w:sz w:val="22"/>
      </w:rPr>
    </w:tblStylePr>
    <w:tblStylePr w:type="band2Horz">
      <w:pPr>
        <w:snapToGrid/>
      </w:pPr>
      <w:rPr>
        <w:rFonts w:ascii="Arial" w:hAnsi="Arial"/>
        <w:color w:val="404040"/>
        <w:sz w:val="22"/>
      </w:rPr>
      <w:tblPr/>
      <w:tcPr>
        <w:shd w:val="clear" w:color="auto" w:fill="F2DCDC" w:themeFill="accent2" w:themeFillTint="32"/>
      </w:tc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ned-Accent3">
    <w:name w:val="Lined - Accent 3"/>
    <w:basedOn w:val="a1"/>
    <w:uiPriority w:val="99"/>
    <w:qFormat/>
    <w:rPr>
      <w:color w:val="404040"/>
    </w:rPr>
    <w:tblPr/>
    <w:tblStylePr w:type="firstRow">
      <w:pPr>
        <w:snapToGrid/>
      </w:pPr>
      <w:rPr>
        <w:rFonts w:ascii="Arial" w:hAnsi="Arial"/>
        <w:color w:val="F2F2F2"/>
        <w:sz w:val="22"/>
      </w:rPr>
      <w:tblPr/>
      <w:tcPr>
        <w:shd w:val="clear" w:color="auto" w:fill="9ABB59" w:themeFill="accent3" w:themeFillTint="FE"/>
      </w:tcPr>
    </w:tblStylePr>
    <w:tblStylePr w:type="lastRow">
      <w:pPr>
        <w:snapToGrid/>
      </w:pPr>
      <w:rPr>
        <w:rFonts w:ascii="Arial" w:hAnsi="Arial"/>
        <w:color w:val="F2F2F2"/>
        <w:sz w:val="22"/>
      </w:rPr>
      <w:tblPr/>
      <w:tcPr>
        <w:shd w:val="clear" w:color="auto" w:fill="9ABB59" w:themeFill="accent3" w:themeFillTint="FE"/>
      </w:tcPr>
    </w:tblStylePr>
    <w:tblStylePr w:type="firstCol">
      <w:pPr>
        <w:snapToGrid/>
      </w:pPr>
      <w:rPr>
        <w:rFonts w:ascii="Arial" w:hAnsi="Arial"/>
        <w:color w:val="F2F2F2"/>
        <w:sz w:val="22"/>
      </w:rPr>
      <w:tblPr/>
      <w:tcPr>
        <w:shd w:val="clear" w:color="auto" w:fill="9ABB59" w:themeFill="accent3" w:themeFillTint="FE"/>
      </w:tcPr>
    </w:tblStylePr>
    <w:tblStylePr w:type="lastCol">
      <w:pPr>
        <w:snapToGrid/>
      </w:pPr>
      <w:rPr>
        <w:rFonts w:ascii="Arial" w:hAnsi="Arial"/>
        <w:color w:val="F2F2F2"/>
        <w:sz w:val="22"/>
      </w:rPr>
      <w:tblPr/>
      <w:tcPr>
        <w:shd w:val="clear" w:color="auto" w:fill="9ABB59" w:themeFill="accent3" w:themeFillTint="FE"/>
      </w:tcPr>
    </w:tblStylePr>
    <w:tblStylePr w:type="band1Vert">
      <w:pPr>
        <w:snapToGrid/>
      </w:pPr>
      <w:rPr>
        <w:rFonts w:ascii="Arial" w:hAnsi="Arial"/>
        <w:color w:val="404040"/>
        <w:sz w:val="22"/>
      </w:rPr>
    </w:tblStylePr>
    <w:tblStylePr w:type="band2Vert">
      <w:pPr>
        <w:snapToGrid/>
      </w:pPr>
      <w:rPr>
        <w:rFonts w:ascii="Arial" w:hAnsi="Arial"/>
        <w:color w:val="404040"/>
        <w:sz w:val="22"/>
      </w:rPr>
      <w:tblPr/>
      <w:tcPr>
        <w:shd w:val="clear" w:color="auto" w:fill="EAF1DC" w:themeFill="accent3" w:themeFillTint="34"/>
      </w:tcPr>
    </w:tblStylePr>
    <w:tblStylePr w:type="band1Horz">
      <w:pPr>
        <w:snapToGrid/>
      </w:pPr>
      <w:rPr>
        <w:rFonts w:ascii="Arial" w:hAnsi="Arial"/>
        <w:color w:val="404040"/>
        <w:sz w:val="22"/>
      </w:rPr>
    </w:tblStylePr>
    <w:tblStylePr w:type="band2Horz">
      <w:pPr>
        <w:snapToGrid/>
      </w:pPr>
      <w:rPr>
        <w:rFonts w:ascii="Arial" w:hAnsi="Arial"/>
        <w:color w:val="404040"/>
        <w:sz w:val="22"/>
      </w:rPr>
      <w:tblPr/>
      <w:tcPr>
        <w:shd w:val="clear" w:color="auto" w:fill="EAF1DC" w:themeFill="accent3" w:themeFillTint="34"/>
      </w:tc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ned-Accent4">
    <w:name w:val="Lined - Accent 4"/>
    <w:basedOn w:val="a1"/>
    <w:uiPriority w:val="99"/>
    <w:qFormat/>
    <w:rPr>
      <w:color w:val="404040"/>
    </w:rPr>
    <w:tblPr/>
    <w:tblStylePr w:type="firstRow">
      <w:pPr>
        <w:snapToGrid/>
      </w:pPr>
      <w:rPr>
        <w:rFonts w:ascii="Arial" w:hAnsi="Arial"/>
        <w:color w:val="F2F2F2"/>
        <w:sz w:val="22"/>
      </w:rPr>
      <w:tblPr/>
      <w:tcPr>
        <w:shd w:val="clear" w:color="auto" w:fill="B2A1C6" w:themeFill="accent4" w:themeFillTint="9A"/>
      </w:tcPr>
    </w:tblStylePr>
    <w:tblStylePr w:type="lastRow">
      <w:pPr>
        <w:snapToGrid/>
      </w:pPr>
      <w:rPr>
        <w:rFonts w:ascii="Arial" w:hAnsi="Arial"/>
        <w:color w:val="F2F2F2"/>
        <w:sz w:val="22"/>
      </w:rPr>
      <w:tblPr/>
      <w:tcPr>
        <w:shd w:val="clear" w:color="auto" w:fill="B2A1C6" w:themeFill="accent4" w:themeFillTint="9A"/>
      </w:tcPr>
    </w:tblStylePr>
    <w:tblStylePr w:type="firstCol">
      <w:pPr>
        <w:snapToGrid/>
      </w:pPr>
      <w:rPr>
        <w:rFonts w:ascii="Arial" w:hAnsi="Arial"/>
        <w:color w:val="F2F2F2"/>
        <w:sz w:val="22"/>
      </w:rPr>
      <w:tblPr/>
      <w:tcPr>
        <w:shd w:val="clear" w:color="auto" w:fill="B2A1C6" w:themeFill="accent4" w:themeFillTint="9A"/>
      </w:tcPr>
    </w:tblStylePr>
    <w:tblStylePr w:type="lastCol">
      <w:pPr>
        <w:snapToGrid/>
      </w:pPr>
      <w:rPr>
        <w:rFonts w:ascii="Arial" w:hAnsi="Arial"/>
        <w:color w:val="F2F2F2"/>
        <w:sz w:val="22"/>
      </w:rPr>
      <w:tblPr/>
      <w:tcPr>
        <w:shd w:val="clear" w:color="auto" w:fill="B2A1C6" w:themeFill="accent4" w:themeFillTint="9A"/>
      </w:tcPr>
    </w:tblStylePr>
    <w:tblStylePr w:type="band1Vert">
      <w:pPr>
        <w:snapToGrid/>
      </w:pPr>
      <w:rPr>
        <w:rFonts w:ascii="Arial" w:hAnsi="Arial"/>
        <w:color w:val="404040"/>
        <w:sz w:val="22"/>
      </w:rPr>
    </w:tblStylePr>
    <w:tblStylePr w:type="band2Vert">
      <w:pPr>
        <w:snapToGrid/>
      </w:pPr>
      <w:rPr>
        <w:rFonts w:ascii="Arial" w:hAnsi="Arial"/>
        <w:color w:val="404040"/>
        <w:sz w:val="22"/>
      </w:rPr>
      <w:tblPr/>
      <w:tcPr>
        <w:shd w:val="clear" w:color="auto" w:fill="E5DFEC" w:themeFill="accent4" w:themeFillTint="34"/>
      </w:tcPr>
    </w:tblStylePr>
    <w:tblStylePr w:type="band1Horz">
      <w:pPr>
        <w:snapToGrid/>
      </w:pPr>
      <w:rPr>
        <w:rFonts w:ascii="Arial" w:hAnsi="Arial"/>
        <w:color w:val="404040"/>
        <w:sz w:val="22"/>
      </w:rPr>
    </w:tblStylePr>
    <w:tblStylePr w:type="band2Horz">
      <w:pPr>
        <w:snapToGrid/>
      </w:pPr>
      <w:rPr>
        <w:rFonts w:ascii="Arial" w:hAnsi="Arial"/>
        <w:color w:val="404040"/>
        <w:sz w:val="22"/>
      </w:rPr>
      <w:tblPr/>
      <w:tcPr>
        <w:shd w:val="clear" w:color="auto" w:fill="E5DFEC" w:themeFill="accent4" w:themeFillTint="34"/>
      </w:tc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ned-Accent5">
    <w:name w:val="Lined - Accent 5"/>
    <w:basedOn w:val="a1"/>
    <w:uiPriority w:val="99"/>
    <w:qFormat/>
    <w:rPr>
      <w:color w:val="404040"/>
    </w:rPr>
    <w:tblPr/>
    <w:tblStylePr w:type="firstRow">
      <w:pPr>
        <w:snapToGrid/>
      </w:pPr>
      <w:rPr>
        <w:rFonts w:ascii="Arial" w:hAnsi="Arial"/>
        <w:color w:val="F2F2F2"/>
        <w:sz w:val="22"/>
      </w:rPr>
      <w:tblPr/>
      <w:tcPr>
        <w:shd w:val="clear" w:color="auto" w:fill="4BACC6" w:themeFill="accent5"/>
      </w:tcPr>
    </w:tblStylePr>
    <w:tblStylePr w:type="lastRow">
      <w:pPr>
        <w:snapToGrid/>
      </w:pPr>
      <w:rPr>
        <w:rFonts w:ascii="Arial" w:hAnsi="Arial"/>
        <w:color w:val="F2F2F2"/>
        <w:sz w:val="22"/>
      </w:rPr>
      <w:tblPr/>
      <w:tcPr>
        <w:shd w:val="clear" w:color="auto" w:fill="4BACC6" w:themeFill="accent5"/>
      </w:tcPr>
    </w:tblStylePr>
    <w:tblStylePr w:type="firstCol">
      <w:pPr>
        <w:snapToGrid/>
      </w:pPr>
      <w:rPr>
        <w:rFonts w:ascii="Arial" w:hAnsi="Arial"/>
        <w:color w:val="F2F2F2"/>
        <w:sz w:val="22"/>
      </w:rPr>
      <w:tblPr/>
      <w:tcPr>
        <w:shd w:val="clear" w:color="auto" w:fill="4BACC6" w:themeFill="accent5"/>
      </w:tcPr>
    </w:tblStylePr>
    <w:tblStylePr w:type="lastCol">
      <w:pPr>
        <w:snapToGrid/>
      </w:pPr>
      <w:rPr>
        <w:rFonts w:ascii="Arial" w:hAnsi="Arial"/>
        <w:color w:val="F2F2F2"/>
        <w:sz w:val="22"/>
      </w:rPr>
      <w:tblPr/>
      <w:tcPr>
        <w:shd w:val="clear" w:color="auto" w:fill="4BACC6" w:themeFill="accent5"/>
      </w:tcPr>
    </w:tblStylePr>
    <w:tblStylePr w:type="band1Vert">
      <w:pPr>
        <w:snapToGrid/>
      </w:pPr>
      <w:rPr>
        <w:rFonts w:ascii="Arial" w:hAnsi="Arial"/>
        <w:color w:val="404040"/>
        <w:sz w:val="22"/>
      </w:rPr>
    </w:tblStylePr>
    <w:tblStylePr w:type="band2Vert">
      <w:pPr>
        <w:snapToGrid/>
      </w:pPr>
      <w:rPr>
        <w:rFonts w:ascii="Arial" w:hAnsi="Arial"/>
        <w:color w:val="404040"/>
        <w:sz w:val="22"/>
      </w:rPr>
      <w:tblPr/>
      <w:tcPr>
        <w:shd w:val="clear" w:color="auto" w:fill="DAEEF3" w:themeFill="accent5" w:themeFillTint="34"/>
      </w:tcPr>
    </w:tblStylePr>
    <w:tblStylePr w:type="band1Horz">
      <w:pPr>
        <w:snapToGrid/>
      </w:pPr>
      <w:rPr>
        <w:rFonts w:ascii="Arial" w:hAnsi="Arial"/>
        <w:color w:val="404040"/>
        <w:sz w:val="22"/>
      </w:rPr>
    </w:tblStylePr>
    <w:tblStylePr w:type="band2Horz">
      <w:pPr>
        <w:snapToGrid/>
      </w:pPr>
      <w:rPr>
        <w:rFonts w:ascii="Arial" w:hAnsi="Arial"/>
        <w:color w:val="404040"/>
        <w:sz w:val="22"/>
      </w:rPr>
      <w:tblPr/>
      <w:tcPr>
        <w:shd w:val="clear" w:color="auto" w:fill="DAEEF3" w:themeFill="accent5" w:themeFillTint="34"/>
      </w:tc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Lined-Accent6">
    <w:name w:val="Lined - Accent 6"/>
    <w:basedOn w:val="a1"/>
    <w:uiPriority w:val="99"/>
    <w:qFormat/>
    <w:rPr>
      <w:color w:val="404040"/>
    </w:rPr>
    <w:tblPr/>
    <w:tblStylePr w:type="firstRow">
      <w:pPr>
        <w:snapToGrid/>
      </w:pPr>
      <w:rPr>
        <w:rFonts w:ascii="Arial" w:hAnsi="Arial"/>
        <w:color w:val="F2F2F2"/>
        <w:sz w:val="22"/>
      </w:rPr>
      <w:tblPr/>
      <w:tcPr>
        <w:shd w:val="clear" w:color="auto" w:fill="F79646" w:themeFill="accent6"/>
      </w:tcPr>
    </w:tblStylePr>
    <w:tblStylePr w:type="lastRow">
      <w:pPr>
        <w:snapToGrid/>
      </w:pPr>
      <w:rPr>
        <w:rFonts w:ascii="Arial" w:hAnsi="Arial"/>
        <w:color w:val="F2F2F2"/>
        <w:sz w:val="22"/>
      </w:rPr>
      <w:tblPr/>
      <w:tcPr>
        <w:shd w:val="clear" w:color="auto" w:fill="F79646" w:themeFill="accent6"/>
      </w:tcPr>
    </w:tblStylePr>
    <w:tblStylePr w:type="firstCol">
      <w:pPr>
        <w:snapToGrid/>
      </w:pPr>
      <w:rPr>
        <w:rFonts w:ascii="Arial" w:hAnsi="Arial"/>
        <w:color w:val="F2F2F2"/>
        <w:sz w:val="22"/>
      </w:rPr>
      <w:tblPr/>
      <w:tcPr>
        <w:shd w:val="clear" w:color="auto" w:fill="F79646" w:themeFill="accent6"/>
      </w:tcPr>
    </w:tblStylePr>
    <w:tblStylePr w:type="lastCol">
      <w:pPr>
        <w:snapToGrid/>
      </w:pPr>
      <w:rPr>
        <w:rFonts w:ascii="Arial" w:hAnsi="Arial"/>
        <w:color w:val="F2F2F2"/>
        <w:sz w:val="22"/>
      </w:rPr>
      <w:tblPr/>
      <w:tcPr>
        <w:shd w:val="clear" w:color="auto" w:fill="F79646" w:themeFill="accent6"/>
      </w:tcPr>
    </w:tblStylePr>
    <w:tblStylePr w:type="band1Vert">
      <w:pPr>
        <w:snapToGrid/>
      </w:pPr>
      <w:rPr>
        <w:rFonts w:ascii="Arial" w:hAnsi="Arial"/>
        <w:color w:val="404040"/>
        <w:sz w:val="22"/>
      </w:rPr>
    </w:tblStylePr>
    <w:tblStylePr w:type="band2Vert">
      <w:pPr>
        <w:snapToGrid/>
      </w:pPr>
      <w:rPr>
        <w:rFonts w:ascii="Arial" w:hAnsi="Arial"/>
        <w:color w:val="404040"/>
        <w:sz w:val="22"/>
      </w:rPr>
      <w:tblPr/>
      <w:tcPr>
        <w:shd w:val="clear" w:color="auto" w:fill="FDE9D8" w:themeFill="accent6" w:themeFillTint="34"/>
      </w:tcPr>
    </w:tblStylePr>
    <w:tblStylePr w:type="band1Horz">
      <w:pPr>
        <w:snapToGrid/>
      </w:pPr>
      <w:rPr>
        <w:rFonts w:ascii="Arial" w:hAnsi="Arial"/>
        <w:color w:val="404040"/>
        <w:sz w:val="22"/>
      </w:rPr>
    </w:tblStylePr>
    <w:tblStylePr w:type="band2Horz">
      <w:pPr>
        <w:snapToGrid/>
      </w:pPr>
      <w:rPr>
        <w:rFonts w:ascii="Arial" w:hAnsi="Arial"/>
        <w:color w:val="404040"/>
        <w:sz w:val="22"/>
      </w:rPr>
      <w:tblPr/>
      <w:tcPr>
        <w:shd w:val="clear" w:color="auto" w:fill="FDE9D8" w:themeFill="accent6" w:themeFillTint="34"/>
      </w:tc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BorderedLined-Accent">
    <w:name w:val="Bordered &amp; Lined - Accent"/>
    <w:basedOn w:val="a1"/>
    <w:uiPriority w:val="99"/>
    <w:qFormat/>
    <w:rPr>
      <w:color w:val="40404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pPr>
        <w:snapToGrid/>
      </w:pPr>
      <w:rPr>
        <w:rFonts w:ascii="Arial" w:hAnsi="Arial"/>
        <w:color w:val="F2F2F2"/>
        <w:sz w:val="22"/>
      </w:rPr>
      <w:tblPr/>
      <w:tcPr>
        <w:shd w:val="clear" w:color="auto" w:fill="7F7F7F" w:themeFill="text1" w:themeFillTint="80"/>
      </w:tcPr>
    </w:tblStylePr>
    <w:tblStylePr w:type="lastRow">
      <w:pPr>
        <w:snapToGrid/>
      </w:pPr>
      <w:rPr>
        <w:rFonts w:ascii="Arial" w:hAnsi="Arial"/>
        <w:color w:val="F2F2F2"/>
        <w:sz w:val="22"/>
      </w:rPr>
      <w:tblPr/>
      <w:tcPr>
        <w:shd w:val="clear" w:color="auto" w:fill="7F7F7F" w:themeFill="text1" w:themeFillTint="80"/>
      </w:tcPr>
    </w:tblStylePr>
    <w:tblStylePr w:type="firstCol">
      <w:pPr>
        <w:snapToGrid/>
      </w:pPr>
      <w:rPr>
        <w:rFonts w:ascii="Arial" w:hAnsi="Arial"/>
        <w:color w:val="F2F2F2"/>
        <w:sz w:val="22"/>
      </w:rPr>
      <w:tblPr/>
      <w:tcPr>
        <w:shd w:val="clear" w:color="auto" w:fill="7F7F7F" w:themeFill="text1" w:themeFillTint="80"/>
      </w:tcPr>
    </w:tblStylePr>
    <w:tblStylePr w:type="lastCol">
      <w:pPr>
        <w:snapToGrid/>
      </w:pPr>
      <w:rPr>
        <w:rFonts w:ascii="Arial" w:hAnsi="Arial"/>
        <w:color w:val="F2F2F2"/>
        <w:sz w:val="22"/>
      </w:rPr>
      <w:tblPr/>
      <w:tcPr>
        <w:shd w:val="clear" w:color="auto" w:fill="7F7F7F" w:themeFill="text1" w:themeFillTint="80"/>
      </w:tcPr>
    </w:tblStylePr>
    <w:tblStylePr w:type="band1Vert">
      <w:pPr>
        <w:snapToGrid/>
      </w:pPr>
      <w:rPr>
        <w:rFonts w:ascii="Arial" w:hAnsi="Arial"/>
        <w:color w:val="404040"/>
        <w:sz w:val="22"/>
      </w:rPr>
    </w:tblStylePr>
    <w:tblStylePr w:type="band2Vert">
      <w:pPr>
        <w:snapToGrid/>
      </w:pPr>
      <w:rPr>
        <w:rFonts w:ascii="Arial" w:hAnsi="Arial"/>
        <w:color w:val="404040"/>
        <w:sz w:val="22"/>
      </w:rPr>
      <w:tblPr/>
      <w:tcPr>
        <w:shd w:val="clear" w:color="auto" w:fill="F2F2F2" w:themeFill="text1" w:themeFillTint="0D"/>
      </w:tcPr>
    </w:tblStylePr>
    <w:tblStylePr w:type="band1Horz">
      <w:pPr>
        <w:snapToGrid/>
      </w:pPr>
      <w:rPr>
        <w:rFonts w:ascii="Arial" w:hAnsi="Arial"/>
        <w:color w:val="404040"/>
        <w:sz w:val="22"/>
      </w:rPr>
    </w:tblStylePr>
    <w:tblStylePr w:type="band2Horz">
      <w:pPr>
        <w:snapToGrid/>
      </w:pPr>
      <w:rPr>
        <w:rFonts w:ascii="Arial" w:hAnsi="Arial"/>
        <w:color w:val="404040"/>
        <w:sz w:val="22"/>
      </w:rPr>
      <w:tblPr/>
      <w:tcPr>
        <w:shd w:val="clear" w:color="auto" w:fill="F2F2F2" w:themeFill="text1" w:themeFillTint="0D"/>
      </w:tc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BorderedLined-Accent1">
    <w:name w:val="Bordered &amp; Lined - Accent 1"/>
    <w:basedOn w:val="a1"/>
    <w:uiPriority w:val="99"/>
    <w:qFormat/>
    <w:rPr>
      <w:color w:val="404040"/>
    </w:rPr>
    <w:tblPr>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pPr>
        <w:snapToGrid/>
      </w:pPr>
      <w:rPr>
        <w:rFonts w:ascii="Arial" w:hAnsi="Arial"/>
        <w:color w:val="F2F2F2"/>
        <w:sz w:val="22"/>
      </w:rPr>
      <w:tblPr/>
      <w:tcPr>
        <w:shd w:val="clear" w:color="auto" w:fill="5D8AC2" w:themeFill="accent1" w:themeFillTint="EA"/>
      </w:tcPr>
    </w:tblStylePr>
    <w:tblStylePr w:type="lastRow">
      <w:pPr>
        <w:snapToGrid/>
      </w:pPr>
      <w:rPr>
        <w:rFonts w:ascii="Arial" w:hAnsi="Arial"/>
        <w:color w:val="F2F2F2"/>
        <w:sz w:val="22"/>
      </w:rPr>
      <w:tblPr/>
      <w:tcPr>
        <w:shd w:val="clear" w:color="auto" w:fill="5D8AC2" w:themeFill="accent1" w:themeFillTint="EA"/>
      </w:tcPr>
    </w:tblStylePr>
    <w:tblStylePr w:type="firstCol">
      <w:pPr>
        <w:snapToGrid/>
      </w:pPr>
      <w:rPr>
        <w:rFonts w:ascii="Arial" w:hAnsi="Arial"/>
        <w:color w:val="F2F2F2"/>
        <w:sz w:val="22"/>
      </w:rPr>
      <w:tblPr/>
      <w:tcPr>
        <w:shd w:val="clear" w:color="auto" w:fill="5D8AC2" w:themeFill="accent1" w:themeFillTint="EA"/>
      </w:tcPr>
    </w:tblStylePr>
    <w:tblStylePr w:type="lastCol">
      <w:pPr>
        <w:snapToGrid/>
      </w:pPr>
      <w:rPr>
        <w:rFonts w:ascii="Arial" w:hAnsi="Arial"/>
        <w:color w:val="F2F2F2"/>
        <w:sz w:val="22"/>
      </w:rPr>
      <w:tblPr/>
      <w:tcPr>
        <w:shd w:val="clear" w:color="auto" w:fill="5D8AC2" w:themeFill="accent1" w:themeFillTint="EA"/>
      </w:tcPr>
    </w:tblStylePr>
    <w:tblStylePr w:type="band1Vert">
      <w:pPr>
        <w:snapToGrid/>
      </w:pPr>
      <w:rPr>
        <w:rFonts w:ascii="Arial" w:hAnsi="Arial"/>
        <w:color w:val="404040"/>
        <w:sz w:val="22"/>
      </w:rPr>
    </w:tblStylePr>
    <w:tblStylePr w:type="band2Vert">
      <w:pPr>
        <w:snapToGrid/>
      </w:pPr>
      <w:rPr>
        <w:rFonts w:ascii="Arial" w:hAnsi="Arial"/>
        <w:color w:val="404040"/>
        <w:sz w:val="22"/>
      </w:rPr>
      <w:tblPr/>
      <w:tcPr>
        <w:shd w:val="clear" w:color="auto" w:fill="C7D7EA" w:themeFill="accent1" w:themeFillTint="50"/>
      </w:tcPr>
    </w:tblStylePr>
    <w:tblStylePr w:type="band1Horz">
      <w:pPr>
        <w:snapToGrid/>
      </w:pPr>
      <w:rPr>
        <w:rFonts w:ascii="Arial" w:hAnsi="Arial"/>
        <w:color w:val="404040"/>
        <w:sz w:val="22"/>
      </w:rPr>
    </w:tblStylePr>
    <w:tblStylePr w:type="band2Horz">
      <w:pPr>
        <w:snapToGrid/>
      </w:pPr>
      <w:rPr>
        <w:rFonts w:ascii="Arial" w:hAnsi="Arial"/>
        <w:color w:val="404040"/>
        <w:sz w:val="22"/>
      </w:rPr>
      <w:tblPr/>
      <w:tcPr>
        <w:shd w:val="clear" w:color="auto" w:fill="C7D7EA" w:themeFill="accent1" w:themeFillTint="50"/>
      </w:tc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BorderedLined-Accent2">
    <w:name w:val="Bordered &amp; Lined - Accent 2"/>
    <w:basedOn w:val="a1"/>
    <w:uiPriority w:val="99"/>
    <w:qFormat/>
    <w:rPr>
      <w:color w:val="404040"/>
    </w:rPr>
    <w:tblPr>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pPr>
        <w:snapToGrid/>
      </w:pPr>
      <w:rPr>
        <w:rFonts w:ascii="Arial" w:hAnsi="Arial"/>
        <w:color w:val="F2F2F2"/>
        <w:sz w:val="22"/>
      </w:rPr>
      <w:tblPr/>
      <w:tcPr>
        <w:shd w:val="clear" w:color="auto" w:fill="D99695" w:themeFill="accent2" w:themeFillTint="97"/>
      </w:tcPr>
    </w:tblStylePr>
    <w:tblStylePr w:type="lastRow">
      <w:pPr>
        <w:snapToGrid/>
      </w:pPr>
      <w:rPr>
        <w:rFonts w:ascii="Arial" w:hAnsi="Arial"/>
        <w:color w:val="F2F2F2"/>
        <w:sz w:val="22"/>
      </w:rPr>
      <w:tblPr/>
      <w:tcPr>
        <w:shd w:val="clear" w:color="auto" w:fill="D99695" w:themeFill="accent2" w:themeFillTint="97"/>
      </w:tcPr>
    </w:tblStylePr>
    <w:tblStylePr w:type="firstCol">
      <w:pPr>
        <w:snapToGrid/>
      </w:pPr>
      <w:rPr>
        <w:rFonts w:ascii="Arial" w:hAnsi="Arial"/>
        <w:color w:val="F2F2F2"/>
        <w:sz w:val="22"/>
      </w:rPr>
      <w:tblPr/>
      <w:tcPr>
        <w:shd w:val="clear" w:color="auto" w:fill="D99695" w:themeFill="accent2" w:themeFillTint="97"/>
      </w:tcPr>
    </w:tblStylePr>
    <w:tblStylePr w:type="lastCol">
      <w:pPr>
        <w:snapToGrid/>
      </w:pPr>
      <w:rPr>
        <w:rFonts w:ascii="Arial" w:hAnsi="Arial"/>
        <w:color w:val="F2F2F2"/>
        <w:sz w:val="22"/>
      </w:rPr>
      <w:tblPr/>
      <w:tcPr>
        <w:shd w:val="clear" w:color="auto" w:fill="D99695" w:themeFill="accent2" w:themeFillTint="97"/>
      </w:tcPr>
    </w:tblStylePr>
    <w:tblStylePr w:type="band1Vert">
      <w:pPr>
        <w:snapToGrid/>
      </w:pPr>
      <w:rPr>
        <w:rFonts w:ascii="Arial" w:hAnsi="Arial"/>
        <w:color w:val="404040"/>
        <w:sz w:val="22"/>
      </w:rPr>
    </w:tblStylePr>
    <w:tblStylePr w:type="band2Vert">
      <w:pPr>
        <w:snapToGrid/>
      </w:pPr>
      <w:rPr>
        <w:rFonts w:ascii="Arial" w:hAnsi="Arial"/>
        <w:color w:val="404040"/>
        <w:sz w:val="22"/>
      </w:rPr>
      <w:tblPr/>
      <w:tcPr>
        <w:shd w:val="clear" w:color="auto" w:fill="F2DCDC" w:themeFill="accent2" w:themeFillTint="32"/>
      </w:tcPr>
    </w:tblStylePr>
    <w:tblStylePr w:type="band1Horz">
      <w:pPr>
        <w:snapToGrid/>
      </w:pPr>
      <w:rPr>
        <w:rFonts w:ascii="Arial" w:hAnsi="Arial"/>
        <w:color w:val="404040"/>
        <w:sz w:val="22"/>
      </w:rPr>
    </w:tblStylePr>
    <w:tblStylePr w:type="band2Horz">
      <w:pPr>
        <w:snapToGrid/>
      </w:pPr>
      <w:rPr>
        <w:rFonts w:ascii="Arial" w:hAnsi="Arial"/>
        <w:color w:val="404040"/>
        <w:sz w:val="22"/>
      </w:rPr>
      <w:tblPr/>
      <w:tcPr>
        <w:shd w:val="clear" w:color="auto" w:fill="F2DCDC" w:themeFill="accent2" w:themeFillTint="32"/>
      </w:tc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BorderedLined-Accent3">
    <w:name w:val="Bordered &amp; Lined - Accent 3"/>
    <w:basedOn w:val="a1"/>
    <w:uiPriority w:val="99"/>
    <w:qFormat/>
    <w:rPr>
      <w:color w:val="404040"/>
    </w:rPr>
    <w:tblPr>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pPr>
        <w:snapToGrid/>
      </w:pPr>
      <w:rPr>
        <w:rFonts w:ascii="Arial" w:hAnsi="Arial"/>
        <w:color w:val="F2F2F2"/>
        <w:sz w:val="22"/>
      </w:rPr>
      <w:tblPr/>
      <w:tcPr>
        <w:shd w:val="clear" w:color="auto" w:fill="9ABB59" w:themeFill="accent3" w:themeFillTint="FE"/>
      </w:tcPr>
    </w:tblStylePr>
    <w:tblStylePr w:type="lastRow">
      <w:pPr>
        <w:snapToGrid/>
      </w:pPr>
      <w:rPr>
        <w:rFonts w:ascii="Arial" w:hAnsi="Arial"/>
        <w:color w:val="F2F2F2"/>
        <w:sz w:val="22"/>
      </w:rPr>
      <w:tblPr/>
      <w:tcPr>
        <w:shd w:val="clear" w:color="auto" w:fill="9ABB59" w:themeFill="accent3" w:themeFillTint="FE"/>
      </w:tcPr>
    </w:tblStylePr>
    <w:tblStylePr w:type="firstCol">
      <w:pPr>
        <w:snapToGrid/>
      </w:pPr>
      <w:rPr>
        <w:rFonts w:ascii="Arial" w:hAnsi="Arial"/>
        <w:color w:val="F2F2F2"/>
        <w:sz w:val="22"/>
      </w:rPr>
      <w:tblPr/>
      <w:tcPr>
        <w:shd w:val="clear" w:color="auto" w:fill="9ABB59" w:themeFill="accent3" w:themeFillTint="FE"/>
      </w:tcPr>
    </w:tblStylePr>
    <w:tblStylePr w:type="lastCol">
      <w:pPr>
        <w:snapToGrid/>
      </w:pPr>
      <w:rPr>
        <w:rFonts w:ascii="Arial" w:hAnsi="Arial"/>
        <w:color w:val="F2F2F2"/>
        <w:sz w:val="22"/>
      </w:rPr>
      <w:tblPr/>
      <w:tcPr>
        <w:shd w:val="clear" w:color="auto" w:fill="9ABB59" w:themeFill="accent3" w:themeFillTint="FE"/>
      </w:tcPr>
    </w:tblStylePr>
    <w:tblStylePr w:type="band1Vert">
      <w:pPr>
        <w:snapToGrid/>
      </w:pPr>
      <w:rPr>
        <w:rFonts w:ascii="Arial" w:hAnsi="Arial"/>
        <w:color w:val="404040"/>
        <w:sz w:val="22"/>
      </w:rPr>
    </w:tblStylePr>
    <w:tblStylePr w:type="band2Vert">
      <w:pPr>
        <w:snapToGrid/>
      </w:pPr>
      <w:rPr>
        <w:rFonts w:ascii="Arial" w:hAnsi="Arial"/>
        <w:color w:val="404040"/>
        <w:sz w:val="22"/>
      </w:rPr>
      <w:tblPr/>
      <w:tcPr>
        <w:shd w:val="clear" w:color="auto" w:fill="EAF1DC" w:themeFill="accent3" w:themeFillTint="34"/>
      </w:tcPr>
    </w:tblStylePr>
    <w:tblStylePr w:type="band1Horz">
      <w:pPr>
        <w:snapToGrid/>
      </w:pPr>
      <w:rPr>
        <w:rFonts w:ascii="Arial" w:hAnsi="Arial"/>
        <w:color w:val="404040"/>
        <w:sz w:val="22"/>
      </w:rPr>
    </w:tblStylePr>
    <w:tblStylePr w:type="band2Horz">
      <w:pPr>
        <w:snapToGrid/>
      </w:pPr>
      <w:rPr>
        <w:rFonts w:ascii="Arial" w:hAnsi="Arial"/>
        <w:color w:val="404040"/>
        <w:sz w:val="22"/>
      </w:rPr>
      <w:tblPr/>
      <w:tcPr>
        <w:shd w:val="clear" w:color="auto" w:fill="EAF1DC" w:themeFill="accent3" w:themeFillTint="34"/>
      </w:tc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BorderedLined-Accent4">
    <w:name w:val="Bordered &amp; Lined - Accent 4"/>
    <w:basedOn w:val="a1"/>
    <w:uiPriority w:val="99"/>
    <w:qFormat/>
    <w:rPr>
      <w:color w:val="404040"/>
    </w:rPr>
    <w:tblPr>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pPr>
        <w:snapToGrid/>
      </w:pPr>
      <w:rPr>
        <w:rFonts w:ascii="Arial" w:hAnsi="Arial"/>
        <w:color w:val="F2F2F2"/>
        <w:sz w:val="22"/>
      </w:rPr>
      <w:tblPr/>
      <w:tcPr>
        <w:shd w:val="clear" w:color="auto" w:fill="B2A1C6" w:themeFill="accent4" w:themeFillTint="9A"/>
      </w:tcPr>
    </w:tblStylePr>
    <w:tblStylePr w:type="lastRow">
      <w:pPr>
        <w:snapToGrid/>
      </w:pPr>
      <w:rPr>
        <w:rFonts w:ascii="Arial" w:hAnsi="Arial"/>
        <w:color w:val="F2F2F2"/>
        <w:sz w:val="22"/>
      </w:rPr>
      <w:tblPr/>
      <w:tcPr>
        <w:shd w:val="clear" w:color="auto" w:fill="B2A1C6" w:themeFill="accent4" w:themeFillTint="9A"/>
      </w:tcPr>
    </w:tblStylePr>
    <w:tblStylePr w:type="firstCol">
      <w:pPr>
        <w:snapToGrid/>
      </w:pPr>
      <w:rPr>
        <w:rFonts w:ascii="Arial" w:hAnsi="Arial"/>
        <w:color w:val="F2F2F2"/>
        <w:sz w:val="22"/>
      </w:rPr>
      <w:tblPr/>
      <w:tcPr>
        <w:shd w:val="clear" w:color="auto" w:fill="B2A1C6" w:themeFill="accent4" w:themeFillTint="9A"/>
      </w:tcPr>
    </w:tblStylePr>
    <w:tblStylePr w:type="lastCol">
      <w:pPr>
        <w:snapToGrid/>
      </w:pPr>
      <w:rPr>
        <w:rFonts w:ascii="Arial" w:hAnsi="Arial"/>
        <w:color w:val="F2F2F2"/>
        <w:sz w:val="22"/>
      </w:rPr>
      <w:tblPr/>
      <w:tcPr>
        <w:shd w:val="clear" w:color="auto" w:fill="B2A1C6" w:themeFill="accent4" w:themeFillTint="9A"/>
      </w:tcPr>
    </w:tblStylePr>
    <w:tblStylePr w:type="band1Vert">
      <w:pPr>
        <w:snapToGrid/>
      </w:pPr>
      <w:rPr>
        <w:rFonts w:ascii="Arial" w:hAnsi="Arial"/>
        <w:color w:val="404040"/>
        <w:sz w:val="22"/>
      </w:rPr>
    </w:tblStylePr>
    <w:tblStylePr w:type="band2Vert">
      <w:pPr>
        <w:snapToGrid/>
      </w:pPr>
      <w:rPr>
        <w:rFonts w:ascii="Arial" w:hAnsi="Arial"/>
        <w:color w:val="404040"/>
        <w:sz w:val="22"/>
      </w:rPr>
      <w:tblPr/>
      <w:tcPr>
        <w:shd w:val="clear" w:color="auto" w:fill="E5DFEC" w:themeFill="accent4" w:themeFillTint="34"/>
      </w:tcPr>
    </w:tblStylePr>
    <w:tblStylePr w:type="band1Horz">
      <w:pPr>
        <w:snapToGrid/>
      </w:pPr>
      <w:rPr>
        <w:rFonts w:ascii="Arial" w:hAnsi="Arial"/>
        <w:color w:val="404040"/>
        <w:sz w:val="22"/>
      </w:rPr>
    </w:tblStylePr>
    <w:tblStylePr w:type="band2Horz">
      <w:pPr>
        <w:snapToGrid/>
      </w:pPr>
      <w:rPr>
        <w:rFonts w:ascii="Arial" w:hAnsi="Arial"/>
        <w:color w:val="404040"/>
        <w:sz w:val="22"/>
      </w:rPr>
      <w:tblPr/>
      <w:tcPr>
        <w:shd w:val="clear" w:color="auto" w:fill="E5DFEC" w:themeFill="accent4" w:themeFillTint="34"/>
      </w:tc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BorderedLined-Accent5">
    <w:name w:val="Bordered &amp; Lined - Accent 5"/>
    <w:basedOn w:val="a1"/>
    <w:uiPriority w:val="99"/>
    <w:qFormat/>
    <w:rPr>
      <w:color w:val="404040"/>
    </w:rPr>
    <w:tblPr>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pPr>
        <w:snapToGrid/>
      </w:pPr>
      <w:rPr>
        <w:rFonts w:ascii="Arial" w:hAnsi="Arial"/>
        <w:color w:val="F2F2F2"/>
        <w:sz w:val="22"/>
      </w:rPr>
      <w:tblPr/>
      <w:tcPr>
        <w:shd w:val="clear" w:color="auto" w:fill="4BACC6" w:themeFill="accent5"/>
      </w:tcPr>
    </w:tblStylePr>
    <w:tblStylePr w:type="lastRow">
      <w:pPr>
        <w:snapToGrid/>
      </w:pPr>
      <w:rPr>
        <w:rFonts w:ascii="Arial" w:hAnsi="Arial"/>
        <w:color w:val="F2F2F2"/>
        <w:sz w:val="22"/>
      </w:rPr>
      <w:tblPr/>
      <w:tcPr>
        <w:shd w:val="clear" w:color="auto" w:fill="4BACC6" w:themeFill="accent5"/>
      </w:tcPr>
    </w:tblStylePr>
    <w:tblStylePr w:type="firstCol">
      <w:pPr>
        <w:snapToGrid/>
      </w:pPr>
      <w:rPr>
        <w:rFonts w:ascii="Arial" w:hAnsi="Arial"/>
        <w:color w:val="F2F2F2"/>
        <w:sz w:val="22"/>
      </w:rPr>
      <w:tblPr/>
      <w:tcPr>
        <w:shd w:val="clear" w:color="auto" w:fill="4BACC6" w:themeFill="accent5"/>
      </w:tcPr>
    </w:tblStylePr>
    <w:tblStylePr w:type="lastCol">
      <w:pPr>
        <w:snapToGrid/>
      </w:pPr>
      <w:rPr>
        <w:rFonts w:ascii="Arial" w:hAnsi="Arial"/>
        <w:color w:val="F2F2F2"/>
        <w:sz w:val="22"/>
      </w:rPr>
      <w:tblPr/>
      <w:tcPr>
        <w:shd w:val="clear" w:color="auto" w:fill="4BACC6" w:themeFill="accent5"/>
      </w:tcPr>
    </w:tblStylePr>
    <w:tblStylePr w:type="band1Vert">
      <w:pPr>
        <w:snapToGrid/>
      </w:pPr>
      <w:rPr>
        <w:rFonts w:ascii="Arial" w:hAnsi="Arial"/>
        <w:color w:val="404040"/>
        <w:sz w:val="22"/>
      </w:rPr>
    </w:tblStylePr>
    <w:tblStylePr w:type="band2Vert">
      <w:pPr>
        <w:snapToGrid/>
      </w:pPr>
      <w:rPr>
        <w:rFonts w:ascii="Arial" w:hAnsi="Arial"/>
        <w:color w:val="404040"/>
        <w:sz w:val="22"/>
      </w:rPr>
      <w:tblPr/>
      <w:tcPr>
        <w:shd w:val="clear" w:color="auto" w:fill="DAEEF3" w:themeFill="accent5" w:themeFillTint="34"/>
      </w:tcPr>
    </w:tblStylePr>
    <w:tblStylePr w:type="band1Horz">
      <w:pPr>
        <w:snapToGrid/>
      </w:pPr>
      <w:rPr>
        <w:rFonts w:ascii="Arial" w:hAnsi="Arial"/>
        <w:color w:val="404040"/>
        <w:sz w:val="22"/>
      </w:rPr>
    </w:tblStylePr>
    <w:tblStylePr w:type="band2Horz">
      <w:pPr>
        <w:snapToGrid/>
      </w:pPr>
      <w:rPr>
        <w:rFonts w:ascii="Arial" w:hAnsi="Arial"/>
        <w:color w:val="404040"/>
        <w:sz w:val="22"/>
      </w:rPr>
      <w:tblPr/>
      <w:tcPr>
        <w:shd w:val="clear" w:color="auto" w:fill="DAEEF3" w:themeFill="accent5" w:themeFillTint="34"/>
      </w:tc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BorderedLined-Accent6">
    <w:name w:val="Bordered &amp; Lined - Accent 6"/>
    <w:basedOn w:val="a1"/>
    <w:uiPriority w:val="99"/>
    <w:qFormat/>
    <w:rPr>
      <w:color w:val="404040"/>
    </w:rPr>
    <w:tblPr>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pPr>
        <w:snapToGrid/>
      </w:pPr>
      <w:rPr>
        <w:rFonts w:ascii="Arial" w:hAnsi="Arial"/>
        <w:color w:val="F2F2F2"/>
        <w:sz w:val="22"/>
      </w:rPr>
      <w:tblPr/>
      <w:tcPr>
        <w:shd w:val="clear" w:color="auto" w:fill="F79646" w:themeFill="accent6"/>
      </w:tcPr>
    </w:tblStylePr>
    <w:tblStylePr w:type="lastRow">
      <w:pPr>
        <w:snapToGrid/>
      </w:pPr>
      <w:rPr>
        <w:rFonts w:ascii="Arial" w:hAnsi="Arial"/>
        <w:color w:val="F2F2F2"/>
        <w:sz w:val="22"/>
      </w:rPr>
      <w:tblPr/>
      <w:tcPr>
        <w:shd w:val="clear" w:color="auto" w:fill="F79646" w:themeFill="accent6"/>
      </w:tcPr>
    </w:tblStylePr>
    <w:tblStylePr w:type="firstCol">
      <w:pPr>
        <w:snapToGrid/>
      </w:pPr>
      <w:rPr>
        <w:rFonts w:ascii="Arial" w:hAnsi="Arial"/>
        <w:color w:val="F2F2F2"/>
        <w:sz w:val="22"/>
      </w:rPr>
      <w:tblPr/>
      <w:tcPr>
        <w:shd w:val="clear" w:color="auto" w:fill="F79646" w:themeFill="accent6"/>
      </w:tcPr>
    </w:tblStylePr>
    <w:tblStylePr w:type="lastCol">
      <w:pPr>
        <w:snapToGrid/>
      </w:pPr>
      <w:rPr>
        <w:rFonts w:ascii="Arial" w:hAnsi="Arial"/>
        <w:color w:val="F2F2F2"/>
        <w:sz w:val="22"/>
      </w:rPr>
      <w:tblPr/>
      <w:tcPr>
        <w:shd w:val="clear" w:color="auto" w:fill="F79646" w:themeFill="accent6"/>
      </w:tcPr>
    </w:tblStylePr>
    <w:tblStylePr w:type="band1Vert">
      <w:pPr>
        <w:snapToGrid/>
      </w:pPr>
      <w:rPr>
        <w:rFonts w:ascii="Arial" w:hAnsi="Arial"/>
        <w:color w:val="404040"/>
        <w:sz w:val="22"/>
      </w:rPr>
    </w:tblStylePr>
    <w:tblStylePr w:type="band2Vert">
      <w:pPr>
        <w:snapToGrid/>
      </w:pPr>
      <w:rPr>
        <w:rFonts w:ascii="Arial" w:hAnsi="Arial"/>
        <w:color w:val="404040"/>
        <w:sz w:val="22"/>
      </w:rPr>
      <w:tblPr/>
      <w:tcPr>
        <w:shd w:val="clear" w:color="auto" w:fill="FDE9D8" w:themeFill="accent6" w:themeFillTint="34"/>
      </w:tcPr>
    </w:tblStylePr>
    <w:tblStylePr w:type="band1Horz">
      <w:pPr>
        <w:snapToGrid/>
      </w:pPr>
      <w:rPr>
        <w:rFonts w:ascii="Arial" w:hAnsi="Arial"/>
        <w:color w:val="404040"/>
        <w:sz w:val="22"/>
      </w:rPr>
    </w:tblStylePr>
    <w:tblStylePr w:type="band2Horz">
      <w:pPr>
        <w:snapToGrid/>
      </w:pPr>
      <w:rPr>
        <w:rFonts w:ascii="Arial" w:hAnsi="Arial"/>
        <w:color w:val="404040"/>
        <w:sz w:val="22"/>
      </w:rPr>
      <w:tblPr/>
      <w:tcPr>
        <w:shd w:val="clear" w:color="auto" w:fill="FDE9D8" w:themeFill="accent6" w:themeFillTint="34"/>
      </w:tc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Bordered">
    <w:name w:val="Bordered"/>
    <w:basedOn w:val="a1"/>
    <w:uiPriority w:val="99"/>
    <w:qFormat/>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pPr>
        <w:snapToGrid/>
      </w:pPr>
      <w:rPr>
        <w:rFonts w:ascii="Arial" w:hAnsi="Arial"/>
        <w:color w:val="404040"/>
        <w:sz w:val="22"/>
      </w:rPr>
      <w:tblPr/>
      <w:tcPr>
        <w:tcBorders>
          <w:bottom w:val="single" w:sz="12" w:space="0" w:color="7F7F7F" w:themeColor="text1" w:themeTint="80"/>
        </w:tcBorders>
      </w:tcPr>
    </w:tblStylePr>
    <w:tblStylePr w:type="lastRow">
      <w:pPr>
        <w:snapToGrid/>
      </w:pPr>
      <w:rPr>
        <w:rFonts w:ascii="Arial" w:hAnsi="Arial"/>
        <w:color w:val="404040"/>
        <w:sz w:val="22"/>
      </w:rPr>
      <w:tblPr/>
      <w:tcPr>
        <w:tcBorders>
          <w:top w:val="single" w:sz="12" w:space="0" w:color="7F7F7F" w:themeColor="text1" w:themeTint="80"/>
        </w:tcBorders>
      </w:tcPr>
    </w:tblStylePr>
    <w:tblStylePr w:type="firstCol">
      <w:pPr>
        <w:snapToGrid/>
      </w:pPr>
      <w:rPr>
        <w:rFonts w:ascii="Arial" w:hAnsi="Arial"/>
        <w:color w:val="404040"/>
        <w:sz w:val="22"/>
      </w:rPr>
    </w:tblStylePr>
    <w:tblStylePr w:type="lastCol">
      <w:pPr>
        <w:snapToGrid/>
      </w:pPr>
      <w:rPr>
        <w:rFonts w:ascii="Arial" w:hAnsi="Arial"/>
        <w:color w:val="404040"/>
        <w:sz w:val="22"/>
      </w:rPr>
      <w:tblPr/>
      <w:tcPr>
        <w:tcBorders>
          <w:left w:val="single" w:sz="12" w:space="0" w:color="7F7F7F" w:themeColor="text1" w:themeTint="80"/>
        </w:tcBorders>
      </w:tcPr>
    </w:tblStylePr>
    <w:tblStylePr w:type="band1Vert">
      <w:pPr>
        <w:snapToGrid/>
      </w:pPr>
    </w:tblStylePr>
    <w:tblStylePr w:type="band2Vert">
      <w:pPr>
        <w:snapToGrid/>
      </w:pPr>
    </w:tblStylePr>
    <w:tblStylePr w:type="band1Horz">
      <w:pPr>
        <w:snapToGrid/>
      </w:pPr>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Bordered-Accent1">
    <w:name w:val="Bordered - Accent 1"/>
    <w:basedOn w:val="a1"/>
    <w:uiPriority w:val="99"/>
    <w:qFormat/>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pPr>
        <w:snapToGrid/>
      </w:pPr>
      <w:rPr>
        <w:rFonts w:ascii="Arial" w:hAnsi="Arial"/>
        <w:color w:val="404040"/>
        <w:sz w:val="22"/>
      </w:rPr>
      <w:tblPr/>
      <w:tcPr>
        <w:tcBorders>
          <w:bottom w:val="single" w:sz="12" w:space="0" w:color="4F81BD" w:themeColor="accent1"/>
        </w:tcBorders>
      </w:tcPr>
    </w:tblStylePr>
    <w:tblStylePr w:type="lastRow">
      <w:pPr>
        <w:snapToGrid/>
      </w:pPr>
      <w:rPr>
        <w:rFonts w:ascii="Arial" w:hAnsi="Arial"/>
        <w:color w:val="404040"/>
        <w:sz w:val="22"/>
      </w:rPr>
      <w:tblPr/>
      <w:tcPr>
        <w:tcBorders>
          <w:top w:val="single" w:sz="12" w:space="0" w:color="4F81BD" w:themeColor="accent1"/>
        </w:tcBorders>
      </w:tcPr>
    </w:tblStylePr>
    <w:tblStylePr w:type="firstCol">
      <w:pPr>
        <w:snapToGrid/>
      </w:pPr>
      <w:rPr>
        <w:rFonts w:ascii="Arial" w:hAnsi="Arial"/>
        <w:color w:val="404040"/>
        <w:sz w:val="22"/>
      </w:rPr>
    </w:tblStylePr>
    <w:tblStylePr w:type="lastCol">
      <w:pPr>
        <w:snapToGrid/>
      </w:pPr>
      <w:rPr>
        <w:rFonts w:ascii="Arial" w:hAnsi="Arial"/>
        <w:color w:val="404040"/>
        <w:sz w:val="22"/>
      </w:rPr>
      <w:tblPr/>
      <w:tcPr>
        <w:tcBorders>
          <w:left w:val="single" w:sz="12" w:space="0" w:color="4F81BD" w:themeColor="accent1"/>
        </w:tcBorders>
      </w:tcPr>
    </w:tblStylePr>
    <w:tblStylePr w:type="band1Vert">
      <w:pPr>
        <w:snapToGrid/>
      </w:pPr>
    </w:tblStylePr>
    <w:tblStylePr w:type="band2Vert">
      <w:pPr>
        <w:snapToGrid/>
      </w:pPr>
    </w:tblStylePr>
    <w:tblStylePr w:type="band1Horz">
      <w:pPr>
        <w:snapToGrid/>
      </w:pPr>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Bordered-Accent2">
    <w:name w:val="Bordered - Accent 2"/>
    <w:basedOn w:val="a1"/>
    <w:uiPriority w:val="99"/>
    <w:qFormat/>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pPr>
        <w:snapToGrid/>
      </w:pPr>
      <w:rPr>
        <w:rFonts w:ascii="Arial" w:hAnsi="Arial"/>
        <w:color w:val="404040"/>
        <w:sz w:val="22"/>
      </w:rPr>
      <w:tblPr/>
      <w:tcPr>
        <w:tcBorders>
          <w:bottom w:val="single" w:sz="12" w:space="0" w:color="D99695" w:themeColor="accent2" w:themeTint="97"/>
        </w:tcBorders>
      </w:tcPr>
    </w:tblStylePr>
    <w:tblStylePr w:type="lastRow">
      <w:pPr>
        <w:snapToGrid/>
      </w:pPr>
      <w:rPr>
        <w:rFonts w:ascii="Arial" w:hAnsi="Arial"/>
        <w:color w:val="404040"/>
        <w:sz w:val="22"/>
      </w:rPr>
      <w:tblPr/>
      <w:tcPr>
        <w:tcBorders>
          <w:top w:val="single" w:sz="12" w:space="0" w:color="D99695" w:themeColor="accent2" w:themeTint="97"/>
        </w:tcBorders>
      </w:tcPr>
    </w:tblStylePr>
    <w:tblStylePr w:type="firstCol">
      <w:pPr>
        <w:snapToGrid/>
      </w:pPr>
      <w:rPr>
        <w:rFonts w:ascii="Arial" w:hAnsi="Arial"/>
        <w:color w:val="404040"/>
        <w:sz w:val="22"/>
      </w:rPr>
    </w:tblStylePr>
    <w:tblStylePr w:type="lastCol">
      <w:pPr>
        <w:snapToGrid/>
      </w:pPr>
      <w:rPr>
        <w:rFonts w:ascii="Arial" w:hAnsi="Arial"/>
        <w:color w:val="404040"/>
        <w:sz w:val="22"/>
      </w:rPr>
      <w:tblPr/>
      <w:tcPr>
        <w:tcBorders>
          <w:left w:val="single" w:sz="12" w:space="0" w:color="D99695" w:themeColor="accent2" w:themeTint="97"/>
        </w:tcBorders>
      </w:tcPr>
    </w:tblStylePr>
    <w:tblStylePr w:type="band1Vert">
      <w:pPr>
        <w:snapToGrid/>
      </w:pPr>
    </w:tblStylePr>
    <w:tblStylePr w:type="band2Vert">
      <w:pPr>
        <w:snapToGrid/>
      </w:pPr>
    </w:tblStylePr>
    <w:tblStylePr w:type="band1Horz">
      <w:pPr>
        <w:snapToGrid/>
      </w:pPr>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Bordered-Accent3">
    <w:name w:val="Bordered - Accent 3"/>
    <w:basedOn w:val="a1"/>
    <w:uiPriority w:val="99"/>
    <w:qFormat/>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pPr>
        <w:snapToGrid/>
      </w:pPr>
      <w:rPr>
        <w:rFonts w:ascii="Arial" w:hAnsi="Arial"/>
        <w:color w:val="404040"/>
        <w:sz w:val="22"/>
      </w:rPr>
      <w:tblPr/>
      <w:tcPr>
        <w:tcBorders>
          <w:bottom w:val="single" w:sz="12" w:space="0" w:color="C3D69B" w:themeColor="accent3" w:themeTint="98"/>
        </w:tcBorders>
      </w:tcPr>
    </w:tblStylePr>
    <w:tblStylePr w:type="lastRow">
      <w:pPr>
        <w:snapToGrid/>
      </w:pPr>
      <w:rPr>
        <w:rFonts w:ascii="Arial" w:hAnsi="Arial"/>
        <w:color w:val="404040"/>
        <w:sz w:val="22"/>
      </w:rPr>
      <w:tblPr/>
      <w:tcPr>
        <w:tcBorders>
          <w:top w:val="single" w:sz="12" w:space="0" w:color="C3D69B" w:themeColor="accent3" w:themeTint="98"/>
        </w:tcBorders>
      </w:tcPr>
    </w:tblStylePr>
    <w:tblStylePr w:type="firstCol">
      <w:pPr>
        <w:snapToGrid/>
      </w:pPr>
      <w:rPr>
        <w:rFonts w:ascii="Arial" w:hAnsi="Arial"/>
        <w:color w:val="404040"/>
        <w:sz w:val="22"/>
      </w:rPr>
    </w:tblStylePr>
    <w:tblStylePr w:type="lastCol">
      <w:pPr>
        <w:snapToGrid/>
      </w:pPr>
      <w:rPr>
        <w:rFonts w:ascii="Arial" w:hAnsi="Arial"/>
        <w:color w:val="404040"/>
        <w:sz w:val="22"/>
      </w:rPr>
      <w:tblPr/>
      <w:tcPr>
        <w:tcBorders>
          <w:left w:val="single" w:sz="12" w:space="0" w:color="C3D69B" w:themeColor="accent3" w:themeTint="98"/>
        </w:tcBorders>
      </w:tcPr>
    </w:tblStylePr>
    <w:tblStylePr w:type="band1Vert">
      <w:pPr>
        <w:snapToGrid/>
      </w:pPr>
    </w:tblStylePr>
    <w:tblStylePr w:type="band2Vert">
      <w:pPr>
        <w:snapToGrid/>
      </w:pPr>
    </w:tblStylePr>
    <w:tblStylePr w:type="band1Horz">
      <w:pPr>
        <w:snapToGrid/>
      </w:pPr>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Bordered-Accent4">
    <w:name w:val="Bordered - Accent 4"/>
    <w:basedOn w:val="a1"/>
    <w:uiPriority w:val="99"/>
    <w:qFormat/>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pPr>
        <w:snapToGrid/>
      </w:pPr>
      <w:rPr>
        <w:rFonts w:ascii="Arial" w:hAnsi="Arial"/>
        <w:color w:val="404040"/>
        <w:sz w:val="22"/>
      </w:rPr>
      <w:tblPr/>
      <w:tcPr>
        <w:tcBorders>
          <w:bottom w:val="single" w:sz="12" w:space="0" w:color="B2A1C6" w:themeColor="accent4" w:themeTint="9A"/>
        </w:tcBorders>
      </w:tcPr>
    </w:tblStylePr>
    <w:tblStylePr w:type="lastRow">
      <w:pPr>
        <w:snapToGrid/>
      </w:pPr>
      <w:rPr>
        <w:rFonts w:ascii="Arial" w:hAnsi="Arial"/>
        <w:color w:val="404040"/>
        <w:sz w:val="22"/>
      </w:rPr>
      <w:tblPr/>
      <w:tcPr>
        <w:tcBorders>
          <w:top w:val="single" w:sz="12" w:space="0" w:color="B2A1C6" w:themeColor="accent4" w:themeTint="9A"/>
        </w:tcBorders>
      </w:tcPr>
    </w:tblStylePr>
    <w:tblStylePr w:type="firstCol">
      <w:pPr>
        <w:snapToGrid/>
      </w:pPr>
      <w:rPr>
        <w:rFonts w:ascii="Arial" w:hAnsi="Arial"/>
        <w:color w:val="404040"/>
        <w:sz w:val="22"/>
      </w:rPr>
    </w:tblStylePr>
    <w:tblStylePr w:type="lastCol">
      <w:pPr>
        <w:snapToGrid/>
      </w:pPr>
      <w:rPr>
        <w:rFonts w:ascii="Arial" w:hAnsi="Arial"/>
        <w:color w:val="404040"/>
        <w:sz w:val="22"/>
      </w:rPr>
      <w:tblPr/>
      <w:tcPr>
        <w:tcBorders>
          <w:left w:val="single" w:sz="12" w:space="0" w:color="B2A1C6" w:themeColor="accent4" w:themeTint="9A"/>
        </w:tcBorders>
      </w:tcPr>
    </w:tblStylePr>
    <w:tblStylePr w:type="band1Vert">
      <w:pPr>
        <w:snapToGrid/>
      </w:pPr>
    </w:tblStylePr>
    <w:tblStylePr w:type="band2Vert">
      <w:pPr>
        <w:snapToGrid/>
      </w:pPr>
    </w:tblStylePr>
    <w:tblStylePr w:type="band1Horz">
      <w:pPr>
        <w:snapToGrid/>
      </w:pPr>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Bordered-Accent5">
    <w:name w:val="Bordered - Accent 5"/>
    <w:basedOn w:val="a1"/>
    <w:uiPriority w:val="99"/>
    <w:qFormat/>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pPr>
        <w:snapToGrid/>
      </w:pPr>
      <w:rPr>
        <w:rFonts w:ascii="Arial" w:hAnsi="Arial"/>
        <w:color w:val="404040"/>
        <w:sz w:val="22"/>
      </w:rPr>
      <w:tblPr/>
      <w:tcPr>
        <w:tcBorders>
          <w:bottom w:val="single" w:sz="12" w:space="0" w:color="92CCDC" w:themeColor="accent5" w:themeTint="9A"/>
        </w:tcBorders>
      </w:tcPr>
    </w:tblStylePr>
    <w:tblStylePr w:type="lastRow">
      <w:pPr>
        <w:snapToGrid/>
      </w:pPr>
      <w:rPr>
        <w:rFonts w:ascii="Arial" w:hAnsi="Arial"/>
        <w:color w:val="404040"/>
        <w:sz w:val="22"/>
      </w:rPr>
      <w:tblPr/>
      <w:tcPr>
        <w:tcBorders>
          <w:top w:val="single" w:sz="12" w:space="0" w:color="92CCDC" w:themeColor="accent5" w:themeTint="9A"/>
        </w:tcBorders>
      </w:tcPr>
    </w:tblStylePr>
    <w:tblStylePr w:type="firstCol">
      <w:pPr>
        <w:snapToGrid/>
      </w:pPr>
      <w:rPr>
        <w:rFonts w:ascii="Arial" w:hAnsi="Arial"/>
        <w:color w:val="404040"/>
        <w:sz w:val="22"/>
      </w:rPr>
    </w:tblStylePr>
    <w:tblStylePr w:type="lastCol">
      <w:pPr>
        <w:snapToGrid/>
      </w:pPr>
      <w:rPr>
        <w:rFonts w:ascii="Arial" w:hAnsi="Arial"/>
        <w:color w:val="404040"/>
        <w:sz w:val="22"/>
      </w:rPr>
      <w:tblPr/>
      <w:tcPr>
        <w:tcBorders>
          <w:left w:val="single" w:sz="12" w:space="0" w:color="92CCDC" w:themeColor="accent5" w:themeTint="9A"/>
        </w:tcBorders>
      </w:tcPr>
    </w:tblStylePr>
    <w:tblStylePr w:type="band1Vert">
      <w:pPr>
        <w:snapToGrid/>
      </w:pPr>
    </w:tblStylePr>
    <w:tblStylePr w:type="band2Vert">
      <w:pPr>
        <w:snapToGrid/>
      </w:pPr>
    </w:tblStylePr>
    <w:tblStylePr w:type="band1Horz">
      <w:pPr>
        <w:snapToGrid/>
      </w:pPr>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Bordered-Accent6">
    <w:name w:val="Bordered - Accent 6"/>
    <w:basedOn w:val="a1"/>
    <w:uiPriority w:val="99"/>
    <w:qFormat/>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pPr>
        <w:snapToGrid/>
      </w:pPr>
      <w:rPr>
        <w:rFonts w:ascii="Arial" w:hAnsi="Arial"/>
        <w:color w:val="404040"/>
        <w:sz w:val="22"/>
      </w:rPr>
      <w:tblPr/>
      <w:tcPr>
        <w:tcBorders>
          <w:bottom w:val="single" w:sz="12" w:space="0" w:color="FAC090" w:themeColor="accent6" w:themeTint="98"/>
        </w:tcBorders>
      </w:tcPr>
    </w:tblStylePr>
    <w:tblStylePr w:type="lastRow">
      <w:pPr>
        <w:snapToGrid/>
      </w:pPr>
      <w:rPr>
        <w:rFonts w:ascii="Arial" w:hAnsi="Arial"/>
        <w:color w:val="404040"/>
        <w:sz w:val="22"/>
      </w:rPr>
      <w:tblPr/>
      <w:tcPr>
        <w:tcBorders>
          <w:top w:val="single" w:sz="12" w:space="0" w:color="FAC090" w:themeColor="accent6" w:themeTint="98"/>
        </w:tcBorders>
      </w:tcPr>
    </w:tblStylePr>
    <w:tblStylePr w:type="firstCol">
      <w:pPr>
        <w:snapToGrid/>
      </w:pPr>
      <w:rPr>
        <w:rFonts w:ascii="Arial" w:hAnsi="Arial"/>
        <w:color w:val="404040"/>
        <w:sz w:val="22"/>
      </w:rPr>
    </w:tblStylePr>
    <w:tblStylePr w:type="lastCol">
      <w:pPr>
        <w:snapToGrid/>
      </w:pPr>
      <w:rPr>
        <w:rFonts w:ascii="Arial" w:hAnsi="Arial"/>
        <w:color w:val="404040"/>
        <w:sz w:val="22"/>
      </w:rPr>
      <w:tblPr/>
      <w:tcPr>
        <w:tcBorders>
          <w:left w:val="single" w:sz="12" w:space="0" w:color="FAC090" w:themeColor="accent6" w:themeTint="98"/>
        </w:tcBorders>
      </w:tcPr>
    </w:tblStylePr>
    <w:tblStylePr w:type="band1Vert">
      <w:pPr>
        <w:snapToGrid/>
      </w:pPr>
    </w:tblStylePr>
    <w:tblStylePr w:type="band2Vert">
      <w:pPr>
        <w:snapToGrid/>
      </w:pPr>
    </w:tblStylePr>
    <w:tblStylePr w:type="band1Horz">
      <w:pPr>
        <w:snapToGrid/>
      </w:pPr>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character" w:customStyle="1" w:styleId="af">
    <w:name w:val="脚注文本 字符"/>
    <w:link w:val="ae"/>
    <w:uiPriority w:val="99"/>
    <w:qFormat/>
    <w:rPr>
      <w:sz w:val="18"/>
    </w:rPr>
  </w:style>
  <w:style w:type="paragraph" w:customStyle="1" w:styleId="TOC10">
    <w:name w:val="TOC 标题1"/>
    <w:uiPriority w:val="39"/>
    <w:unhideWhenUsed/>
    <w:qFormat/>
    <w:pPr>
      <w:pBdr>
        <w:top w:val="none" w:sz="0" w:space="0" w:color="000000"/>
        <w:left w:val="none" w:sz="0" w:space="0" w:color="000000"/>
        <w:bottom w:val="none" w:sz="0" w:space="0" w:color="000000"/>
        <w:right w:val="none" w:sz="0" w:space="0" w:color="000000"/>
        <w:between w:val="none" w:sz="0" w:space="0" w:color="000000"/>
      </w:pBdr>
    </w:pPr>
    <w:rPr>
      <w:szCs w:val="22"/>
    </w:rPr>
  </w:style>
  <w:style w:type="paragraph" w:customStyle="1" w:styleId="12">
    <w:name w:val="页眉1"/>
    <w:basedOn w:val="a"/>
    <w:link w:val="Char"/>
    <w:qFormat/>
    <w:pPr>
      <w:pBdr>
        <w:bottom w:val="single" w:sz="6" w:space="1" w:color="auto"/>
      </w:pBdr>
      <w:tabs>
        <w:tab w:val="center" w:pos="4153"/>
        <w:tab w:val="right" w:pos="8306"/>
      </w:tabs>
      <w:jc w:val="center"/>
    </w:pPr>
    <w:rPr>
      <w:sz w:val="18"/>
    </w:rPr>
  </w:style>
  <w:style w:type="character" w:customStyle="1" w:styleId="a7">
    <w:name w:val="正文文本 字符"/>
    <w:link w:val="a6"/>
    <w:qFormat/>
    <w:rPr>
      <w:rFonts w:ascii="宋体"/>
    </w:rPr>
  </w:style>
  <w:style w:type="character" w:customStyle="1" w:styleId="read">
    <w:name w:val="read"/>
    <w:basedOn w:val="a0"/>
    <w:qFormat/>
  </w:style>
  <w:style w:type="character" w:customStyle="1" w:styleId="af2">
    <w:name w:val="标题 字符"/>
    <w:link w:val="af1"/>
    <w:qFormat/>
    <w:rPr>
      <w:rFonts w:ascii="Cambria" w:hAnsi="Cambria"/>
      <w:b/>
      <w:sz w:val="28"/>
    </w:rPr>
  </w:style>
  <w:style w:type="character" w:customStyle="1" w:styleId="grame">
    <w:name w:val="grame"/>
    <w:qFormat/>
  </w:style>
  <w:style w:type="character" w:customStyle="1" w:styleId="1">
    <w:name w:val="批注文字 字符1"/>
    <w:link w:val="a5"/>
    <w:uiPriority w:val="99"/>
    <w:qFormat/>
    <w:rPr>
      <w:sz w:val="21"/>
    </w:rPr>
  </w:style>
  <w:style w:type="character" w:customStyle="1" w:styleId="aff">
    <w:name w:val="批注文字 字符"/>
    <w:qFormat/>
    <w:rPr>
      <w:sz w:val="21"/>
    </w:rPr>
  </w:style>
  <w:style w:type="character" w:customStyle="1" w:styleId="20">
    <w:name w:val="正文文本缩进 2 字符"/>
    <w:basedOn w:val="a0"/>
    <w:link w:val="2"/>
    <w:qFormat/>
    <w:rPr>
      <w:rFonts w:ascii="仿宋_GB2312" w:eastAsia="仿宋_GB2312"/>
      <w:sz w:val="28"/>
    </w:rPr>
  </w:style>
  <w:style w:type="character" w:customStyle="1" w:styleId="unnamed11">
    <w:name w:val="unnamed11"/>
    <w:qFormat/>
    <w:rPr>
      <w:rFonts w:ascii="宋体" w:eastAsia="宋体" w:hAnsi="宋体" w:hint="eastAsia"/>
      <w:sz w:val="18"/>
    </w:rPr>
  </w:style>
  <w:style w:type="character" w:customStyle="1" w:styleId="Char">
    <w:name w:val="页眉 Char"/>
    <w:link w:val="12"/>
    <w:qFormat/>
    <w:rPr>
      <w:rFonts w:eastAsia="宋体"/>
      <w:sz w:val="18"/>
      <w:lang w:val="en-US" w:eastAsia="zh-CN"/>
    </w:rPr>
  </w:style>
  <w:style w:type="paragraph" w:customStyle="1" w:styleId="aff0">
    <w:name w:val="正文正文"/>
    <w:basedOn w:val="a"/>
    <w:qFormat/>
    <w:rPr>
      <w:sz w:val="24"/>
    </w:rPr>
  </w:style>
  <w:style w:type="paragraph" w:customStyle="1" w:styleId="CharChar1">
    <w:name w:val="Char Char1"/>
    <w:basedOn w:val="a"/>
    <w:qFormat/>
  </w:style>
  <w:style w:type="paragraph" w:customStyle="1" w:styleId="CharCharChar">
    <w:name w:val="Char Char Char"/>
    <w:basedOn w:val="a"/>
    <w:qFormat/>
  </w:style>
  <w:style w:type="paragraph" w:customStyle="1" w:styleId="13">
    <w:name w:val="修订1"/>
    <w:uiPriority w:val="99"/>
    <w:semiHidden/>
    <w:qFormat/>
    <w:pPr>
      <w:pBdr>
        <w:top w:val="none" w:sz="0" w:space="0" w:color="000000"/>
        <w:left w:val="none" w:sz="0" w:space="0" w:color="000000"/>
        <w:bottom w:val="none" w:sz="0" w:space="0" w:color="000000"/>
        <w:right w:val="none" w:sz="0" w:space="0" w:color="000000"/>
        <w:between w:val="none" w:sz="0" w:space="0" w:color="000000"/>
      </w:pBdr>
      <w:spacing w:line="360" w:lineRule="auto"/>
      <w:ind w:firstLine="200"/>
      <w:jc w:val="both"/>
    </w:pPr>
    <w:rPr>
      <w:sz w:val="21"/>
      <w:szCs w:val="22"/>
    </w:rPr>
  </w:style>
  <w:style w:type="paragraph" w:customStyle="1" w:styleId="Char0">
    <w:name w:val="Char"/>
    <w:basedOn w:val="a"/>
    <w:qFormat/>
  </w:style>
  <w:style w:type="paragraph" w:customStyle="1" w:styleId="Default">
    <w:name w:val="Default"/>
    <w:qFormat/>
    <w:pPr>
      <w:widowControl w:val="0"/>
      <w:pBdr>
        <w:top w:val="none" w:sz="0" w:space="0" w:color="000000"/>
        <w:left w:val="none" w:sz="0" w:space="0" w:color="000000"/>
        <w:bottom w:val="none" w:sz="0" w:space="0" w:color="000000"/>
        <w:right w:val="none" w:sz="0" w:space="0" w:color="000000"/>
        <w:between w:val="none" w:sz="0" w:space="0" w:color="000000"/>
      </w:pBdr>
      <w:spacing w:line="360" w:lineRule="auto"/>
      <w:ind w:firstLine="200"/>
      <w:jc w:val="both"/>
    </w:pPr>
    <w:rPr>
      <w:rFonts w:ascii="宋体"/>
      <w:color w:val="000000"/>
      <w:sz w:val="24"/>
      <w:szCs w:val="22"/>
    </w:rPr>
  </w:style>
  <w:style w:type="paragraph" w:customStyle="1" w:styleId="Char1">
    <w:name w:val="Char1"/>
    <w:basedOn w:val="a"/>
    <w:qFormat/>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rPr>
  </w:style>
  <w:style w:type="paragraph" w:customStyle="1" w:styleId="Listbullet">
    <w:name w:val="List_bullet"/>
    <w:basedOn w:val="a"/>
    <w:qFormat/>
    <w:pPr>
      <w:numPr>
        <w:numId w:val="1"/>
      </w:numPr>
      <w:jc w:val="left"/>
    </w:pPr>
    <w:rPr>
      <w:sz w:val="24"/>
    </w:rPr>
  </w:style>
  <w:style w:type="paragraph" w:customStyle="1" w:styleId="CharChar">
    <w:name w:val="Char Char"/>
    <w:basedOn w:val="a"/>
    <w:qFormat/>
  </w:style>
  <w:style w:type="paragraph" w:customStyle="1" w:styleId="CharCharCharChar">
    <w:name w:val="Char Char Char Char"/>
    <w:basedOn w:val="a"/>
    <w:qFormat/>
    <w:pPr>
      <w:tabs>
        <w:tab w:val="left" w:pos="360"/>
      </w:tabs>
    </w:pPr>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msonormal1">
    <w:name w:val="msonormal1"/>
    <w:qFormat/>
    <w:pPr>
      <w:widowControl w:val="0"/>
      <w:pBdr>
        <w:top w:val="none" w:sz="0" w:space="0" w:color="000000"/>
        <w:left w:val="none" w:sz="0" w:space="0" w:color="000000"/>
        <w:bottom w:val="none" w:sz="0" w:space="0" w:color="000000"/>
        <w:right w:val="none" w:sz="0" w:space="0" w:color="000000"/>
        <w:between w:val="none" w:sz="0" w:space="0" w:color="000000"/>
      </w:pBdr>
      <w:spacing w:line="360" w:lineRule="auto"/>
      <w:ind w:firstLine="200"/>
      <w:jc w:val="both"/>
    </w:pPr>
    <w:rPr>
      <w:sz w:val="21"/>
      <w:szCs w:val="22"/>
    </w:rPr>
  </w:style>
  <w:style w:type="paragraph" w:styleId="aff1">
    <w:name w:val="No Spacing"/>
    <w:uiPriority w:val="1"/>
    <w:qFormat/>
    <w:pPr>
      <w:widowControl w:val="0"/>
      <w:pBdr>
        <w:top w:val="none" w:sz="0" w:space="0" w:color="000000"/>
        <w:left w:val="none" w:sz="0" w:space="0" w:color="000000"/>
        <w:bottom w:val="none" w:sz="0" w:space="0" w:color="000000"/>
        <w:right w:val="none" w:sz="0" w:space="0" w:color="000000"/>
        <w:between w:val="none" w:sz="0" w:space="0" w:color="000000"/>
      </w:pBdr>
      <w:spacing w:line="360" w:lineRule="auto"/>
      <w:ind w:firstLine="200"/>
      <w:jc w:val="both"/>
    </w:pPr>
    <w:rPr>
      <w:sz w:val="21"/>
      <w:szCs w:val="22"/>
    </w:rPr>
  </w:style>
  <w:style w:type="paragraph" w:customStyle="1" w:styleId="aff2">
    <w:name w:val="正文所"/>
    <w:basedOn w:val="a"/>
    <w:qFormat/>
    <w:pPr>
      <w:ind w:firstLine="420"/>
    </w:pPr>
    <w:rPr>
      <w:rFonts w:ascii="宋体"/>
    </w:rPr>
  </w:style>
  <w:style w:type="paragraph" w:customStyle="1" w:styleId="113">
    <w:name w:val="修订11"/>
    <w:uiPriority w:val="99"/>
    <w:semiHidden/>
    <w:qFormat/>
    <w:pPr>
      <w:pBdr>
        <w:top w:val="none" w:sz="0" w:space="0" w:color="000000"/>
        <w:left w:val="none" w:sz="0" w:space="0" w:color="000000"/>
        <w:bottom w:val="none" w:sz="0" w:space="0" w:color="000000"/>
        <w:right w:val="none" w:sz="0" w:space="0" w:color="000000"/>
        <w:between w:val="none" w:sz="0" w:space="0" w:color="000000"/>
      </w:pBdr>
      <w:spacing w:line="360" w:lineRule="auto"/>
      <w:ind w:firstLine="200"/>
      <w:jc w:val="both"/>
    </w:pPr>
    <w:rPr>
      <w:sz w:val="21"/>
      <w:szCs w:val="22"/>
    </w:rPr>
  </w:style>
  <w:style w:type="paragraph" w:customStyle="1" w:styleId="22">
    <w:name w:val="修订2"/>
    <w:hidden/>
    <w:uiPriority w:val="99"/>
    <w:unhideWhenUsed/>
    <w:qFormat/>
    <w:pPr>
      <w:pBdr>
        <w:top w:val="none" w:sz="0" w:space="0" w:color="000000"/>
        <w:left w:val="none" w:sz="0" w:space="0" w:color="000000"/>
        <w:bottom w:val="none" w:sz="0" w:space="0" w:color="000000"/>
        <w:right w:val="none" w:sz="0" w:space="0" w:color="000000"/>
        <w:between w:val="none" w:sz="0" w:space="0" w:color="000000"/>
      </w:pBdr>
      <w:spacing w:line="360" w:lineRule="auto"/>
      <w:ind w:firstLine="200"/>
      <w:jc w:val="both"/>
    </w:pPr>
    <w:rPr>
      <w:sz w:val="21"/>
      <w:szCs w:val="22"/>
    </w:rPr>
  </w:style>
  <w:style w:type="paragraph" w:customStyle="1" w:styleId="30">
    <w:name w:val="修订3"/>
    <w:hidden/>
    <w:uiPriority w:val="99"/>
    <w:semiHidden/>
    <w:qFormat/>
    <w:pPr>
      <w:pBdr>
        <w:top w:val="none" w:sz="0" w:space="0" w:color="000000"/>
        <w:left w:val="none" w:sz="0" w:space="0" w:color="000000"/>
        <w:bottom w:val="none" w:sz="0" w:space="0" w:color="000000"/>
        <w:right w:val="none" w:sz="0" w:space="0" w:color="000000"/>
        <w:between w:val="none" w:sz="0" w:space="0" w:color="000000"/>
      </w:pBdr>
    </w:pPr>
    <w:rPr>
      <w:sz w:val="21"/>
      <w:szCs w:val="22"/>
    </w:rPr>
  </w:style>
  <w:style w:type="paragraph" w:customStyle="1" w:styleId="4">
    <w:name w:val="修订4"/>
    <w:hidden/>
    <w:uiPriority w:val="99"/>
    <w:semiHidden/>
    <w:qFormat/>
    <w:rPr>
      <w:sz w:val="21"/>
      <w:szCs w:val="22"/>
    </w:rPr>
  </w:style>
  <w:style w:type="paragraph" w:customStyle="1" w:styleId="5">
    <w:name w:val="修订5"/>
    <w:hidden/>
    <w:uiPriority w:val="99"/>
    <w:semiHidden/>
    <w:qFormat/>
    <w:rPr>
      <w:sz w:val="21"/>
      <w:szCs w:val="22"/>
    </w:rPr>
  </w:style>
  <w:style w:type="character" w:customStyle="1" w:styleId="HTML0">
    <w:name w:val="HTML 预设格式 字符"/>
    <w:basedOn w:val="a0"/>
    <w:link w:val="HTML"/>
    <w:uiPriority w:val="99"/>
    <w:qFormat/>
    <w:rPr>
      <w:rFonts w:ascii="宋体" w:hAnsi="宋体" w:cs="宋体"/>
      <w:sz w:val="24"/>
      <w:szCs w:val="24"/>
    </w:rPr>
  </w:style>
  <w:style w:type="paragraph" w:customStyle="1" w:styleId="6">
    <w:name w:val="修订6"/>
    <w:hidden/>
    <w:uiPriority w:val="99"/>
    <w:semiHidden/>
    <w:qFormat/>
    <w:rPr>
      <w:sz w:val="21"/>
      <w:szCs w:val="22"/>
    </w:rPr>
  </w:style>
  <w:style w:type="paragraph" w:customStyle="1" w:styleId="7">
    <w:name w:val="修订7"/>
    <w:hidden/>
    <w:uiPriority w:val="99"/>
    <w:semiHidden/>
    <w:qFormat/>
    <w:rPr>
      <w:sz w:val="21"/>
      <w:szCs w:val="22"/>
    </w:rPr>
  </w:style>
  <w:style w:type="character" w:customStyle="1" w:styleId="ab">
    <w:name w:val="页脚 字符"/>
    <w:basedOn w:val="a0"/>
    <w:link w:val="aa"/>
    <w:uiPriority w:val="99"/>
    <w:qFormat/>
    <w:rPr>
      <w:rFonts w:asciiTheme="minorHAnsi" w:eastAsiaTheme="minorEastAsia" w:hAnsiTheme="minorHAnsi"/>
      <w:sz w:val="22"/>
      <w:szCs w:val="22"/>
    </w:rPr>
  </w:style>
  <w:style w:type="paragraph" w:customStyle="1" w:styleId="8">
    <w:name w:val="修订8"/>
    <w:hidden/>
    <w:uiPriority w:val="99"/>
    <w:unhideWhenUsed/>
    <w:rPr>
      <w:sz w:val="21"/>
      <w:szCs w:val="22"/>
    </w:rPr>
  </w:style>
  <w:style w:type="paragraph" w:customStyle="1" w:styleId="9">
    <w:name w:val="修订9"/>
    <w:hidden/>
    <w:uiPriority w:val="99"/>
    <w:unhideWhenUsed/>
    <w:rPr>
      <w:sz w:val="21"/>
      <w:szCs w:val="22"/>
    </w:rPr>
  </w:style>
  <w:style w:type="paragraph" w:styleId="aff3">
    <w:name w:val="Revision"/>
    <w:hidden/>
    <w:uiPriority w:val="99"/>
    <w:unhideWhenUsed/>
    <w:rPr>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585743">
      <w:bodyDiv w:val="1"/>
      <w:marLeft w:val="0"/>
      <w:marRight w:val="0"/>
      <w:marTop w:val="0"/>
      <w:marBottom w:val="0"/>
      <w:divBdr>
        <w:top w:val="none" w:sz="0" w:space="0" w:color="auto"/>
        <w:left w:val="none" w:sz="0" w:space="0" w:color="auto"/>
        <w:bottom w:val="none" w:sz="0" w:space="0" w:color="auto"/>
        <w:right w:val="none" w:sz="0" w:space="0" w:color="auto"/>
      </w:divBdr>
    </w:div>
    <w:div w:id="314722184">
      <w:bodyDiv w:val="1"/>
      <w:marLeft w:val="0"/>
      <w:marRight w:val="0"/>
      <w:marTop w:val="0"/>
      <w:marBottom w:val="0"/>
      <w:divBdr>
        <w:top w:val="none" w:sz="0" w:space="0" w:color="auto"/>
        <w:left w:val="none" w:sz="0" w:space="0" w:color="auto"/>
        <w:bottom w:val="none" w:sz="0" w:space="0" w:color="auto"/>
        <w:right w:val="none" w:sz="0" w:space="0" w:color="auto"/>
      </w:divBdr>
      <w:divsChild>
        <w:div w:id="1727415319">
          <w:marLeft w:val="0"/>
          <w:marRight w:val="0"/>
          <w:marTop w:val="0"/>
          <w:marBottom w:val="0"/>
          <w:divBdr>
            <w:top w:val="none" w:sz="0" w:space="0" w:color="auto"/>
            <w:left w:val="none" w:sz="0" w:space="0" w:color="auto"/>
            <w:bottom w:val="none" w:sz="0" w:space="0" w:color="auto"/>
            <w:right w:val="none" w:sz="0" w:space="0" w:color="auto"/>
          </w:divBdr>
        </w:div>
      </w:divsChild>
    </w:div>
    <w:div w:id="501510967">
      <w:bodyDiv w:val="1"/>
      <w:marLeft w:val="0"/>
      <w:marRight w:val="0"/>
      <w:marTop w:val="0"/>
      <w:marBottom w:val="0"/>
      <w:divBdr>
        <w:top w:val="none" w:sz="0" w:space="0" w:color="auto"/>
        <w:left w:val="none" w:sz="0" w:space="0" w:color="auto"/>
        <w:bottom w:val="none" w:sz="0" w:space="0" w:color="auto"/>
        <w:right w:val="none" w:sz="0" w:space="0" w:color="auto"/>
      </w:divBdr>
    </w:div>
    <w:div w:id="995302975">
      <w:bodyDiv w:val="1"/>
      <w:marLeft w:val="0"/>
      <w:marRight w:val="0"/>
      <w:marTop w:val="0"/>
      <w:marBottom w:val="0"/>
      <w:divBdr>
        <w:top w:val="none" w:sz="0" w:space="0" w:color="auto"/>
        <w:left w:val="none" w:sz="0" w:space="0" w:color="auto"/>
        <w:bottom w:val="none" w:sz="0" w:space="0" w:color="auto"/>
        <w:right w:val="none" w:sz="0" w:space="0" w:color="auto"/>
      </w:divBdr>
    </w:div>
    <w:div w:id="1394161401">
      <w:bodyDiv w:val="1"/>
      <w:marLeft w:val="0"/>
      <w:marRight w:val="0"/>
      <w:marTop w:val="0"/>
      <w:marBottom w:val="0"/>
      <w:divBdr>
        <w:top w:val="none" w:sz="0" w:space="0" w:color="auto"/>
        <w:left w:val="none" w:sz="0" w:space="0" w:color="auto"/>
        <w:bottom w:val="none" w:sz="0" w:space="0" w:color="auto"/>
        <w:right w:val="none" w:sz="0" w:space="0" w:color="auto"/>
      </w:divBdr>
      <w:divsChild>
        <w:div w:id="1728992774">
          <w:marLeft w:val="0"/>
          <w:marRight w:val="0"/>
          <w:marTop w:val="0"/>
          <w:marBottom w:val="0"/>
          <w:divBdr>
            <w:top w:val="none" w:sz="0" w:space="0" w:color="auto"/>
            <w:left w:val="none" w:sz="0" w:space="0" w:color="auto"/>
            <w:bottom w:val="none" w:sz="0" w:space="0" w:color="auto"/>
            <w:right w:val="none" w:sz="0" w:space="0" w:color="auto"/>
          </w:divBdr>
        </w:div>
        <w:div w:id="1375038595">
          <w:marLeft w:val="0"/>
          <w:marRight w:val="0"/>
          <w:marTop w:val="0"/>
          <w:marBottom w:val="0"/>
          <w:divBdr>
            <w:top w:val="none" w:sz="0" w:space="0" w:color="auto"/>
            <w:left w:val="none" w:sz="0" w:space="0" w:color="auto"/>
            <w:bottom w:val="none" w:sz="0" w:space="0" w:color="auto"/>
            <w:right w:val="none" w:sz="0" w:space="0" w:color="auto"/>
          </w:divBdr>
        </w:div>
        <w:div w:id="292365800">
          <w:marLeft w:val="0"/>
          <w:marRight w:val="0"/>
          <w:marTop w:val="0"/>
          <w:marBottom w:val="0"/>
          <w:divBdr>
            <w:top w:val="none" w:sz="0" w:space="0" w:color="auto"/>
            <w:left w:val="none" w:sz="0" w:space="0" w:color="auto"/>
            <w:bottom w:val="none" w:sz="0" w:space="0" w:color="auto"/>
            <w:right w:val="none" w:sz="0" w:space="0" w:color="auto"/>
          </w:divBdr>
        </w:div>
      </w:divsChild>
    </w:div>
    <w:div w:id="1955400159">
      <w:bodyDiv w:val="1"/>
      <w:marLeft w:val="0"/>
      <w:marRight w:val="0"/>
      <w:marTop w:val="0"/>
      <w:marBottom w:val="0"/>
      <w:divBdr>
        <w:top w:val="none" w:sz="0" w:space="0" w:color="auto"/>
        <w:left w:val="none" w:sz="0" w:space="0" w:color="auto"/>
        <w:bottom w:val="none" w:sz="0" w:space="0" w:color="auto"/>
        <w:right w:val="none" w:sz="0" w:space="0" w:color="auto"/>
      </w:divBdr>
    </w:div>
    <w:div w:id="2126535251">
      <w:bodyDiv w:val="1"/>
      <w:marLeft w:val="0"/>
      <w:marRight w:val="0"/>
      <w:marTop w:val="0"/>
      <w:marBottom w:val="0"/>
      <w:divBdr>
        <w:top w:val="none" w:sz="0" w:space="0" w:color="auto"/>
        <w:left w:val="none" w:sz="0" w:space="0" w:color="auto"/>
        <w:bottom w:val="none" w:sz="0" w:space="0" w:color="auto"/>
        <w:right w:val="none" w:sz="0" w:space="0" w:color="auto"/>
      </w:divBdr>
      <w:divsChild>
        <w:div w:id="234901276">
          <w:marLeft w:val="0"/>
          <w:marRight w:val="0"/>
          <w:marTop w:val="0"/>
          <w:marBottom w:val="0"/>
          <w:divBdr>
            <w:top w:val="none" w:sz="0" w:space="0" w:color="auto"/>
            <w:left w:val="none" w:sz="0" w:space="0" w:color="auto"/>
            <w:bottom w:val="none" w:sz="0" w:space="0" w:color="auto"/>
            <w:right w:val="none" w:sz="0" w:space="0" w:color="auto"/>
          </w:divBdr>
        </w:div>
        <w:div w:id="27008945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宋体"/>
        <a:cs typeface="Arial"/>
      </a:majorFont>
      <a:minorFont>
        <a:latin typeface="Calibri"/>
        <a:ea typeface="宋体"/>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32BBA-DA72-4AE9-B179-2EF0A1366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121</Pages>
  <Words>11828</Words>
  <Characters>67422</Characters>
  <Application>Microsoft Office Word</Application>
  <DocSecurity>0</DocSecurity>
  <Lines>561</Lines>
  <Paragraphs>158</Paragraphs>
  <ScaleCrop>false</ScaleCrop>
  <Company>Microsoft</Company>
  <LinksUpToDate>false</LinksUpToDate>
  <CharactersWithSpaces>79092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liuwei</dc:creator>
  <cp:lastModifiedBy>郑欣琪</cp:lastModifiedBy>
  <cp:revision>34</cp:revision>
  <cp:lastPrinted>2024-04-24T01:16:00Z</cp:lastPrinted>
  <dcterms:created xsi:type="dcterms:W3CDTF">2024-03-12T16:30:00Z</dcterms:created>
  <dcterms:modified xsi:type="dcterms:W3CDTF">2024-05-06T05:10:00Z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_KSOProductBuildMID">
    <vt:lpwstr>SAWMD6BA7R9Q00BGRQRNKL0K7N80OXYRES0XUJDAXGP8TGCT6DBJYC0HFS6HP86RAUMXOOZFZI678LXJQOFTRFFU8RL0WLLBBJOORHB39BE7B02419191D7C68EBF7B34A3C59EE</vt:lpwstr>
  </property>
  <property fmtid="{D5CDD505-2E9C-101B-9397-08002B2CF9AE}" pid="4" name="_KSOProductBuildSID">
    <vt:lpwstr>3BAB439CA67E71E656DF6E8B5ED88097</vt:lpwstr>
  </property>
  <property fmtid="{D5CDD505-2E9C-101B-9397-08002B2CF9AE}" pid="5" name="ICV">
    <vt:lpwstr>727F29CC02F94E6F9A803BD7AC51B693</vt:lpwstr>
  </property>
</Properties>
</file>