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YWFD6BT79UA059GQAR8QL0R7NZ0OAYREO06BJEDXFFRTG5TZDBRICJGFSUHPBIRAXM65OZNZI778HNJQSFTQFFT8RN0WMCBBJOORHB3F1A74A47BD15B434E6C626BAD9ABCBA4" Type="http://schemas.microsoft.com/office/2006/relationships/officeDocumentMain" Target="docProps/core.xml"/><Relationship Id="SKWM06GP796Q0T9GQVR8QLJZ7NN0OAPREO0XOJDTXFGRTFCTZ0BR0CJTFYSTPD6RBNMXOOL0ZIXD8HNJRXFT0FF78RF0WL5B8FOORHB310FCAB01490FCA97E3F897BD991E87F6"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20" w:after="120" w:line="360" w:lineRule="auto"/>
        <w:outlineLvl w:val="0"/>
        <w:rPr>
          <w:rFonts w:ascii="方正仿宋" w:hAnsi="宋体" w:eastAsia="方正仿宋"/>
          <w:bCs/>
          <w:kern w:val="0"/>
          <w:sz w:val="28"/>
          <w:szCs w:val="28"/>
          <w:highlight w:val="none"/>
        </w:rPr>
      </w:pPr>
      <w:bookmarkStart w:id="0" w:name="CLAUSE_8a2446617ab543b3916297905d9425d5"/>
    </w:p>
    <w:p>
      <w:pPr>
        <w:autoSpaceDE w:val="0"/>
        <w:autoSpaceDN w:val="0"/>
        <w:adjustRightInd w:val="0"/>
        <w:snapToGrid w:val="0"/>
        <w:spacing w:before="120" w:after="120" w:line="360" w:lineRule="auto"/>
        <w:outlineLvl w:val="0"/>
        <w:rPr>
          <w:rFonts w:ascii="方正仿宋" w:hAnsi="宋体" w:eastAsia="方正仿宋"/>
          <w:b/>
          <w:kern w:val="0"/>
          <w:sz w:val="36"/>
          <w:szCs w:val="36"/>
          <w:highlight w:val="none"/>
        </w:rPr>
      </w:pPr>
    </w:p>
    <w:p>
      <w:pPr>
        <w:autoSpaceDE w:val="0"/>
        <w:autoSpaceDN w:val="0"/>
        <w:adjustRightInd w:val="0"/>
        <w:snapToGrid w:val="0"/>
        <w:spacing w:before="120" w:after="120" w:line="360" w:lineRule="auto"/>
        <w:jc w:val="center"/>
        <w:outlineLvl w:val="0"/>
        <w:rPr>
          <w:rFonts w:ascii="方正仿宋" w:eastAsia="方正仿宋"/>
          <w:b/>
          <w:bCs/>
          <w:sz w:val="36"/>
          <w:szCs w:val="36"/>
          <w:highlight w:val="none"/>
        </w:rPr>
      </w:pPr>
      <w:r>
        <w:rPr>
          <w:rFonts w:hint="eastAsia" w:ascii="方正仿宋" w:eastAsia="方正仿宋"/>
          <w:b/>
          <w:bCs/>
          <w:sz w:val="36"/>
          <w:szCs w:val="36"/>
          <w:highlight w:val="none"/>
        </w:rPr>
        <w:t>北银理财理财产品托管合同</w:t>
      </w:r>
    </w:p>
    <w:p>
      <w:pPr>
        <w:autoSpaceDE w:val="0"/>
        <w:autoSpaceDN w:val="0"/>
        <w:adjustRightInd w:val="0"/>
        <w:snapToGrid w:val="0"/>
        <w:spacing w:before="120" w:after="120" w:line="360" w:lineRule="auto"/>
        <w:jc w:val="center"/>
        <w:outlineLvl w:val="0"/>
        <w:rPr>
          <w:rFonts w:ascii="方正仿宋" w:hAnsi="宋体" w:eastAsia="方正仿宋"/>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outlineLvl w:val="0"/>
        <w:rPr>
          <w:rFonts w:ascii="方正仿宋" w:hAnsi="宋体" w:eastAsia="方正仿宋"/>
          <w:b/>
          <w:kern w:val="0"/>
          <w:sz w:val="28"/>
          <w:szCs w:val="28"/>
          <w:highlight w:val="none"/>
        </w:rPr>
      </w:pPr>
    </w:p>
    <w:p>
      <w:pPr>
        <w:autoSpaceDE w:val="0"/>
        <w:autoSpaceDN w:val="0"/>
        <w:adjustRightInd w:val="0"/>
        <w:snapToGrid w:val="0"/>
        <w:spacing w:before="120" w:after="120" w:line="360" w:lineRule="auto"/>
        <w:jc w:val="center"/>
        <w:outlineLvl w:val="0"/>
        <w:rPr>
          <w:rFonts w:ascii="方正仿宋" w:hAnsi="宋体" w:eastAsia="方正仿宋"/>
          <w:b/>
          <w:kern w:val="0"/>
          <w:sz w:val="28"/>
          <w:szCs w:val="28"/>
          <w:highlight w:val="none"/>
        </w:rPr>
      </w:pPr>
    </w:p>
    <w:p>
      <w:pPr>
        <w:autoSpaceDE w:val="0"/>
        <w:autoSpaceDN w:val="0"/>
        <w:adjustRightInd w:val="0"/>
        <w:snapToGrid w:val="0"/>
        <w:spacing w:line="360" w:lineRule="auto"/>
        <w:jc w:val="center"/>
        <w:outlineLvl w:val="0"/>
        <w:rPr>
          <w:rFonts w:ascii="方正仿宋" w:hAnsi="宋体" w:eastAsia="方正仿宋"/>
          <w:bCs/>
          <w:kern w:val="0"/>
          <w:sz w:val="28"/>
          <w:szCs w:val="28"/>
          <w:highlight w:val="none"/>
        </w:rPr>
      </w:pPr>
      <w:r>
        <w:rPr>
          <w:rFonts w:hint="eastAsia" w:ascii="方正仿宋" w:hAnsi="宋体" w:eastAsia="方正仿宋"/>
          <w:bCs/>
          <w:kern w:val="0"/>
          <w:sz w:val="28"/>
          <w:szCs w:val="28"/>
          <w:highlight w:val="none"/>
        </w:rPr>
        <w:t>甲方：</w:t>
      </w:r>
      <w:bookmarkStart w:id="1" w:name="Text1"/>
      <w:r>
        <w:rPr>
          <w:rFonts w:hint="eastAsia" w:ascii="方正仿宋" w:hAnsi="宋体" w:eastAsia="方正仿宋" w:cs="Times New Roman"/>
          <w:bCs/>
          <w:kern w:val="0"/>
          <w:sz w:val="28"/>
          <w:szCs w:val="28"/>
          <w:highlight w:val="none"/>
          <w:lang w:val="en-US" w:eastAsia="zh-CN" w:bidi="ar-SA"/>
        </w:rPr>
        <w:t>北银理财有限责任公司</w:t>
      </w:r>
      <w:bookmarkEnd w:id="1"/>
    </w:p>
    <w:p>
      <w:pPr>
        <w:autoSpaceDE w:val="0"/>
        <w:autoSpaceDN w:val="0"/>
        <w:adjustRightInd w:val="0"/>
        <w:snapToGrid w:val="0"/>
        <w:spacing w:line="360" w:lineRule="auto"/>
        <w:jc w:val="center"/>
        <w:outlineLvl w:val="0"/>
        <w:rPr>
          <w:rFonts w:hint="eastAsia" w:ascii="方正仿宋" w:hAnsi="宋体" w:eastAsia="方正仿宋"/>
          <w:bCs/>
          <w:kern w:val="0"/>
          <w:sz w:val="28"/>
          <w:szCs w:val="28"/>
          <w:highlight w:val="none"/>
          <w:lang w:val="en-US" w:eastAsia="zh-CN"/>
        </w:rPr>
      </w:pPr>
      <w:r>
        <w:rPr>
          <w:rFonts w:hint="eastAsia" w:ascii="方正仿宋" w:hAnsi="宋体" w:eastAsia="方正仿宋"/>
          <w:bCs/>
          <w:kern w:val="0"/>
          <w:sz w:val="28"/>
          <w:szCs w:val="28"/>
          <w:highlight w:val="none"/>
        </w:rPr>
        <w:t>乙方：</w:t>
      </w:r>
      <w:r>
        <w:rPr>
          <w:rFonts w:hint="eastAsia" w:ascii="方正仿宋" w:hAnsi="宋体" w:eastAsia="方正仿宋"/>
          <w:bCs/>
          <w:kern w:val="0"/>
          <w:sz w:val="28"/>
          <w:szCs w:val="28"/>
          <w:highlight w:val="none"/>
          <w:lang w:val="en-US" w:eastAsia="zh-CN"/>
        </w:rPr>
        <w:t>中国民生银行股份有限公司</w:t>
      </w:r>
    </w:p>
    <w:p>
      <w:pPr>
        <w:autoSpaceDE w:val="0"/>
        <w:autoSpaceDN w:val="0"/>
        <w:adjustRightInd w:val="0"/>
        <w:snapToGrid w:val="0"/>
        <w:spacing w:line="336" w:lineRule="auto"/>
        <w:ind w:firstLine="560" w:firstLineChars="200"/>
        <w:rPr>
          <w:rFonts w:ascii="方正仿宋" w:hAnsi="宋体" w:eastAsia="方正仿宋"/>
          <w:b/>
          <w:sz w:val="28"/>
          <w:szCs w:val="28"/>
          <w:highlight w:val="none"/>
        </w:rPr>
      </w:pPr>
      <w:r>
        <w:rPr>
          <w:rFonts w:ascii="方正仿宋" w:hAnsi="宋体" w:eastAsia="方正仿宋"/>
          <w:bCs/>
          <w:kern w:val="0"/>
          <w:sz w:val="28"/>
          <w:szCs w:val="28"/>
          <w:highlight w:val="none"/>
        </w:rPr>
        <w:br w:type="page"/>
      </w:r>
      <w:r>
        <w:rPr>
          <w:rFonts w:hint="eastAsia" w:ascii="方正仿宋" w:hAnsi="宋体" w:eastAsia="方正仿宋"/>
          <w:b/>
          <w:sz w:val="28"/>
          <w:szCs w:val="28"/>
          <w:highlight w:val="none"/>
        </w:rPr>
        <w:t>管理人（以下简称甲方）</w:t>
      </w:r>
    </w:p>
    <w:p>
      <w:pPr>
        <w:autoSpaceDE w:val="0"/>
        <w:autoSpaceDN w:val="0"/>
        <w:adjustRightInd w:val="0"/>
        <w:snapToGrid w:val="0"/>
        <w:spacing w:line="336" w:lineRule="auto"/>
        <w:ind w:firstLine="562" w:firstLineChars="200"/>
        <w:rPr>
          <w:rFonts w:ascii="方正仿宋" w:hAnsi="宋体" w:eastAsia="方正仿宋"/>
          <w:b/>
          <w:sz w:val="28"/>
          <w:szCs w:val="28"/>
          <w:highlight w:val="none"/>
        </w:rPr>
      </w:pPr>
      <w:r>
        <w:rPr>
          <w:rFonts w:hint="eastAsia" w:ascii="方正仿宋" w:hAnsi="宋体" w:eastAsia="方正仿宋"/>
          <w:b/>
          <w:sz w:val="28"/>
          <w:szCs w:val="28"/>
          <w:highlight w:val="none"/>
        </w:rPr>
        <w:t>名称：</w:t>
      </w:r>
      <w:bookmarkStart w:id="2" w:name="Text3"/>
      <w:r>
        <w:rPr>
          <w:rFonts w:hint="eastAsia" w:ascii="方正仿宋" w:hAnsi="宋体" w:eastAsia="方正仿宋" w:cs="Times New Roman"/>
          <w:b/>
          <w:kern w:val="2"/>
          <w:sz w:val="28"/>
          <w:szCs w:val="28"/>
          <w:highlight w:val="none"/>
          <w:lang w:val="en-US" w:eastAsia="zh-CN" w:bidi="ar-SA"/>
        </w:rPr>
        <w:t>北银理财有限责任公司</w:t>
      </w:r>
      <w:bookmarkEnd w:id="2"/>
    </w:p>
    <w:p>
      <w:pPr>
        <w:autoSpaceDE w:val="0"/>
        <w:autoSpaceDN w:val="0"/>
        <w:adjustRightInd w:val="0"/>
        <w:snapToGrid w:val="0"/>
        <w:spacing w:line="336" w:lineRule="auto"/>
        <w:ind w:firstLine="562" w:firstLineChars="200"/>
        <w:rPr>
          <w:rFonts w:ascii="方正仿宋" w:hAnsi="宋体" w:eastAsia="方正仿宋"/>
          <w:b/>
          <w:sz w:val="28"/>
          <w:szCs w:val="28"/>
          <w:highlight w:val="none"/>
        </w:rPr>
      </w:pPr>
      <w:r>
        <w:rPr>
          <w:rFonts w:hint="eastAsia" w:ascii="方正仿宋" w:hAnsi="宋体" w:eastAsia="方正仿宋"/>
          <w:b/>
          <w:sz w:val="28"/>
          <w:szCs w:val="28"/>
          <w:highlight w:val="none"/>
        </w:rPr>
        <w:t xml:space="preserve">地址：北京市通州区北皇木厂北街3号院1号楼13层1308室(门牌号1708室) </w:t>
      </w:r>
    </w:p>
    <w:p>
      <w:pPr>
        <w:autoSpaceDE w:val="0"/>
        <w:autoSpaceDN w:val="0"/>
        <w:adjustRightInd w:val="0"/>
        <w:snapToGrid w:val="0"/>
        <w:spacing w:line="336" w:lineRule="auto"/>
        <w:ind w:firstLine="562" w:firstLineChars="200"/>
        <w:rPr>
          <w:rFonts w:ascii="方正仿宋" w:hAnsi="宋体" w:eastAsia="方正仿宋"/>
          <w:b/>
          <w:sz w:val="28"/>
          <w:szCs w:val="28"/>
          <w:highlight w:val="none"/>
        </w:rPr>
      </w:pPr>
      <w:r>
        <w:rPr>
          <w:rFonts w:hint="eastAsia" w:ascii="方正仿宋" w:hAnsi="宋体" w:eastAsia="方正仿宋"/>
          <w:b/>
          <w:sz w:val="28"/>
          <w:szCs w:val="28"/>
          <w:highlight w:val="none"/>
        </w:rPr>
        <w:t>法定代表人：</w:t>
      </w:r>
      <w:bookmarkStart w:id="3" w:name="Text5"/>
      <w:r>
        <w:rPr>
          <w:rFonts w:hint="eastAsia" w:ascii="方正仿宋" w:hAnsi="宋体" w:eastAsia="方正仿宋"/>
          <w:b/>
          <w:sz w:val="28"/>
          <w:szCs w:val="28"/>
          <w:highlight w:val="none"/>
        </w:rPr>
        <w:t>步艳红</w:t>
      </w:r>
      <w:bookmarkEnd w:id="3"/>
    </w:p>
    <w:p>
      <w:pPr>
        <w:autoSpaceDE w:val="0"/>
        <w:autoSpaceDN w:val="0"/>
        <w:adjustRightInd w:val="0"/>
        <w:snapToGrid w:val="0"/>
        <w:spacing w:line="336" w:lineRule="auto"/>
        <w:ind w:firstLine="562" w:firstLineChars="200"/>
        <w:rPr>
          <w:rFonts w:ascii="方正仿宋" w:hAnsi="宋体" w:eastAsia="方正仿宋"/>
          <w:b/>
          <w:sz w:val="28"/>
          <w:szCs w:val="28"/>
          <w:highlight w:val="none"/>
        </w:rPr>
      </w:pPr>
      <w:r>
        <w:rPr>
          <w:rFonts w:ascii="方正仿宋" w:hAnsi="宋体" w:eastAsia="方正仿宋"/>
          <w:b/>
          <w:sz w:val="28"/>
          <w:szCs w:val="28"/>
          <w:highlight w:val="none"/>
        </w:rPr>
        <w:t xml:space="preserve"> </w:t>
      </w:r>
    </w:p>
    <w:p>
      <w:pPr>
        <w:autoSpaceDE w:val="0"/>
        <w:autoSpaceDN w:val="0"/>
        <w:adjustRightInd w:val="0"/>
        <w:snapToGrid w:val="0"/>
        <w:spacing w:line="336" w:lineRule="auto"/>
        <w:ind w:firstLine="562" w:firstLineChars="200"/>
        <w:rPr>
          <w:rFonts w:ascii="方正仿宋" w:hAnsi="宋体" w:eastAsia="方正仿宋"/>
          <w:b/>
          <w:sz w:val="28"/>
          <w:szCs w:val="28"/>
          <w:highlight w:val="none"/>
        </w:rPr>
      </w:pPr>
      <w:r>
        <w:rPr>
          <w:rFonts w:hint="eastAsia" w:ascii="方正仿宋" w:hAnsi="宋体" w:eastAsia="方正仿宋"/>
          <w:b/>
          <w:sz w:val="28"/>
          <w:szCs w:val="28"/>
          <w:highlight w:val="none"/>
        </w:rPr>
        <w:t>托管人（以下简称乙方）</w:t>
      </w:r>
    </w:p>
    <w:p>
      <w:pPr>
        <w:autoSpaceDE w:val="0"/>
        <w:autoSpaceDN w:val="0"/>
        <w:adjustRightInd w:val="0"/>
        <w:snapToGrid w:val="0"/>
        <w:spacing w:line="336" w:lineRule="auto"/>
        <w:ind w:firstLine="562" w:firstLineChars="200"/>
        <w:rPr>
          <w:rFonts w:hint="eastAsia" w:ascii="方正仿宋" w:hAnsi="宋体" w:eastAsia="方正仿宋"/>
          <w:b/>
          <w:sz w:val="28"/>
          <w:szCs w:val="28"/>
          <w:highlight w:val="none"/>
        </w:rPr>
      </w:pPr>
      <w:r>
        <w:rPr>
          <w:rFonts w:hint="eastAsia" w:ascii="方正仿宋" w:hAnsi="宋体" w:eastAsia="方正仿宋"/>
          <w:b/>
          <w:sz w:val="28"/>
          <w:szCs w:val="28"/>
          <w:highlight w:val="none"/>
        </w:rPr>
        <w:t>名称：</w:t>
      </w:r>
      <w:bookmarkStart w:id="4" w:name="Text6"/>
      <w:r>
        <w:rPr>
          <w:rFonts w:hint="eastAsia" w:ascii="方正仿宋" w:hAnsi="宋体" w:eastAsia="方正仿宋"/>
          <w:b/>
          <w:sz w:val="28"/>
          <w:szCs w:val="28"/>
          <w:highlight w:val="none"/>
          <w:lang w:eastAsia="zh-CN"/>
        </w:rPr>
        <w:t>中国民生银行股份有限公司</w:t>
      </w:r>
      <w:bookmarkEnd w:id="4"/>
    </w:p>
    <w:p>
      <w:pPr>
        <w:autoSpaceDE w:val="0"/>
        <w:autoSpaceDN w:val="0"/>
        <w:adjustRightInd w:val="0"/>
        <w:snapToGrid w:val="0"/>
        <w:spacing w:line="336" w:lineRule="auto"/>
        <w:ind w:firstLine="562" w:firstLineChars="200"/>
        <w:rPr>
          <w:rFonts w:hint="default" w:ascii="方正仿宋" w:hAnsi="宋体" w:eastAsia="方正仿宋"/>
          <w:b/>
          <w:sz w:val="28"/>
          <w:szCs w:val="28"/>
          <w:highlight w:val="none"/>
          <w:lang w:val="en-US" w:eastAsia="zh-CN"/>
        </w:rPr>
      </w:pPr>
      <w:r>
        <w:rPr>
          <w:rFonts w:hint="eastAsia" w:ascii="方正仿宋" w:hAnsi="宋体" w:eastAsia="方正仿宋"/>
          <w:b/>
          <w:sz w:val="28"/>
          <w:szCs w:val="28"/>
          <w:highlight w:val="none"/>
        </w:rPr>
        <w:t>地址：</w:t>
      </w:r>
      <w:r>
        <w:rPr>
          <w:rFonts w:hint="eastAsia" w:ascii="方正仿宋" w:hAnsi="宋体" w:eastAsia="方正仿宋"/>
          <w:b/>
          <w:sz w:val="28"/>
          <w:szCs w:val="28"/>
          <w:highlight w:val="none"/>
          <w:lang w:eastAsia="zh-CN"/>
        </w:rPr>
        <w:t>北京市西城区复兴门内大街</w:t>
      </w:r>
      <w:r>
        <w:rPr>
          <w:rFonts w:hint="eastAsia" w:ascii="方正仿宋" w:hAnsi="宋体" w:eastAsia="方正仿宋"/>
          <w:b/>
          <w:sz w:val="28"/>
          <w:szCs w:val="28"/>
          <w:highlight w:val="none"/>
          <w:lang w:val="en-US" w:eastAsia="zh-CN"/>
        </w:rPr>
        <w:t>2号</w:t>
      </w:r>
    </w:p>
    <w:p>
      <w:pPr>
        <w:autoSpaceDE w:val="0"/>
        <w:autoSpaceDN w:val="0"/>
        <w:adjustRightInd w:val="0"/>
        <w:snapToGrid w:val="0"/>
        <w:spacing w:line="336" w:lineRule="auto"/>
        <w:ind w:firstLine="562" w:firstLineChars="200"/>
        <w:rPr>
          <w:rFonts w:hint="eastAsia" w:ascii="方正仿宋" w:hAnsi="宋体" w:eastAsia="方正仿宋"/>
          <w:b/>
          <w:sz w:val="28"/>
          <w:szCs w:val="28"/>
          <w:highlight w:val="none"/>
          <w:lang w:val="en-US" w:eastAsia="zh-CN"/>
        </w:rPr>
      </w:pPr>
      <w:r>
        <w:rPr>
          <w:rFonts w:hint="eastAsia" w:ascii="方正仿宋" w:hAnsi="宋体" w:eastAsia="方正仿宋"/>
          <w:b/>
          <w:sz w:val="28"/>
          <w:szCs w:val="28"/>
          <w:highlight w:val="none"/>
        </w:rPr>
        <w:t>法定代表人或负责人：</w:t>
      </w:r>
      <w:r>
        <w:rPr>
          <w:rFonts w:hint="eastAsia" w:ascii="方正仿宋" w:hAnsi="宋体" w:eastAsia="方正仿宋"/>
          <w:b/>
          <w:sz w:val="28"/>
          <w:szCs w:val="28"/>
          <w:highlight w:val="none"/>
          <w:lang w:eastAsia="zh-CN"/>
        </w:rPr>
        <w:t>高迎欣</w:t>
      </w:r>
    </w:p>
    <w:p>
      <w:pPr>
        <w:autoSpaceDE w:val="0"/>
        <w:autoSpaceDN w:val="0"/>
        <w:adjustRightInd w:val="0"/>
        <w:snapToGrid w:val="0"/>
        <w:spacing w:line="336" w:lineRule="auto"/>
        <w:ind w:firstLine="562" w:firstLineChars="200"/>
        <w:rPr>
          <w:rFonts w:ascii="方正仿宋" w:hAnsi="宋体" w:eastAsia="方正仿宋"/>
          <w:b/>
          <w:sz w:val="28"/>
          <w:szCs w:val="28"/>
          <w:highlight w:val="none"/>
        </w:rPr>
      </w:pPr>
    </w:p>
    <w:p>
      <w:pPr>
        <w:autoSpaceDE w:val="0"/>
        <w:autoSpaceDN w:val="0"/>
        <w:adjustRightInd w:val="0"/>
        <w:snapToGrid w:val="0"/>
        <w:spacing w:line="336" w:lineRule="auto"/>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鉴于：</w:t>
      </w:r>
      <w:r>
        <w:rPr>
          <w:rFonts w:ascii="方正仿宋" w:hAnsi="宋体" w:eastAsia="方正仿宋"/>
          <w:kern w:val="0"/>
          <w:sz w:val="28"/>
          <w:szCs w:val="28"/>
          <w:highlight w:val="none"/>
        </w:rPr>
        <w:t xml:space="preserve"> </w:t>
      </w:r>
    </w:p>
    <w:p>
      <w:pPr>
        <w:autoSpaceDE w:val="0"/>
        <w:autoSpaceDN w:val="0"/>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甲方是获国家金融监督管理总局（原中国银行保险监督管理委员会）批准，在中国境内开展个人理财业务的法定金融机构，享有充分的授权和法定权利开展个人理财业务；乙方为合法成立并有效存续的商业银行</w:t>
      </w:r>
      <w:r>
        <w:rPr>
          <w:rFonts w:ascii="方正仿宋" w:hAnsi="宋体" w:eastAsia="方正仿宋"/>
          <w:sz w:val="28"/>
          <w:szCs w:val="28"/>
          <w:highlight w:val="none"/>
        </w:rPr>
        <w:t>,经</w:t>
      </w:r>
      <w:r>
        <w:rPr>
          <w:rFonts w:hint="eastAsia" w:ascii="方正仿宋" w:hAnsi="宋体" w:eastAsia="方正仿宋"/>
          <w:sz w:val="28"/>
          <w:szCs w:val="28"/>
          <w:highlight w:val="none"/>
        </w:rPr>
        <w:t>国家金融监督管理总局批准，享有充分的授权和法定权利开展托管业务。</w:t>
      </w:r>
    </w:p>
    <w:p>
      <w:pPr>
        <w:autoSpaceDE w:val="0"/>
        <w:autoSpaceDN w:val="0"/>
        <w:adjustRightInd w:val="0"/>
        <w:snapToGrid w:val="0"/>
        <w:spacing w:line="360"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甲方拟发行</w:t>
      </w:r>
      <w:r>
        <w:rPr>
          <w:rFonts w:ascii="方正仿宋" w:hAnsi="宋体" w:eastAsia="方正仿宋"/>
          <w:sz w:val="28"/>
          <w:szCs w:val="28"/>
          <w:highlight w:val="none"/>
        </w:rPr>
        <w:t>理财产品（以下简称理财产品），</w:t>
      </w:r>
      <w:r>
        <w:rPr>
          <w:rFonts w:hint="eastAsia" w:ascii="方正仿宋" w:hAnsi="宋体" w:eastAsia="方正仿宋"/>
          <w:sz w:val="28"/>
          <w:szCs w:val="28"/>
          <w:highlight w:val="none"/>
        </w:rPr>
        <w:t>并</w:t>
      </w:r>
      <w:r>
        <w:rPr>
          <w:rFonts w:ascii="方正仿宋" w:hAnsi="宋体" w:eastAsia="方正仿宋"/>
          <w:sz w:val="28"/>
          <w:szCs w:val="28"/>
          <w:highlight w:val="none"/>
        </w:rPr>
        <w:t>委托乙方</w:t>
      </w:r>
      <w:r>
        <w:rPr>
          <w:rFonts w:hint="eastAsia" w:ascii="方正仿宋" w:hAnsi="宋体" w:eastAsia="方正仿宋"/>
          <w:sz w:val="28"/>
          <w:szCs w:val="28"/>
          <w:highlight w:val="none"/>
        </w:rPr>
        <w:t>担任</w:t>
      </w:r>
      <w:r>
        <w:rPr>
          <w:rFonts w:ascii="方正仿宋" w:hAnsi="宋体" w:eastAsia="方正仿宋"/>
          <w:sz w:val="28"/>
          <w:szCs w:val="28"/>
          <w:highlight w:val="none"/>
        </w:rPr>
        <w:t>该理财产品的</w:t>
      </w:r>
      <w:r>
        <w:rPr>
          <w:rFonts w:hint="eastAsia" w:ascii="方正仿宋" w:hAnsi="宋体" w:eastAsia="方正仿宋"/>
          <w:sz w:val="28"/>
          <w:szCs w:val="28"/>
          <w:highlight w:val="none"/>
        </w:rPr>
        <w:t>托管人</w:t>
      </w:r>
      <w:r>
        <w:rPr>
          <w:rFonts w:ascii="方正仿宋" w:hAnsi="宋体" w:eastAsia="方正仿宋"/>
          <w:sz w:val="28"/>
          <w:szCs w:val="28"/>
          <w:highlight w:val="none"/>
        </w:rPr>
        <w:t>。本</w:t>
      </w:r>
      <w:r>
        <w:rPr>
          <w:rFonts w:hint="eastAsia" w:ascii="方正仿宋" w:hAnsi="宋体" w:eastAsia="方正仿宋"/>
          <w:sz w:val="28"/>
          <w:szCs w:val="28"/>
          <w:highlight w:val="none"/>
          <w:lang w:eastAsia="zh-CN"/>
        </w:rPr>
        <w:t>合同涉及的</w:t>
      </w:r>
      <w:r>
        <w:rPr>
          <w:rFonts w:ascii="方正仿宋" w:hAnsi="宋体" w:eastAsia="方正仿宋"/>
          <w:sz w:val="28"/>
          <w:szCs w:val="28"/>
          <w:highlight w:val="none"/>
        </w:rPr>
        <w:t>产品为</w:t>
      </w:r>
      <w:r>
        <w:rPr>
          <w:rFonts w:ascii="方正仿宋" w:hAnsi="宋体" w:eastAsia="方正仿宋"/>
          <w:sz w:val="28"/>
          <w:szCs w:val="28"/>
          <w:highlight w:val="none"/>
        </w:rPr>
        <w:fldChar w:fldCharType="begin">
          <w:ffData>
            <w:name w:val="Text9"/>
            <w:enabled/>
            <w:calcOnExit w:val="0"/>
            <w:textInput>
              <w:default w:val="净值型理财产品（不含QDII理财产品）"/>
            </w:textInput>
          </w:ffData>
        </w:fldChar>
      </w:r>
      <w:r>
        <w:rPr>
          <w:rFonts w:ascii="方正仿宋" w:hAnsi="宋体" w:eastAsia="方正仿宋"/>
          <w:sz w:val="28"/>
          <w:szCs w:val="28"/>
          <w:highlight w:val="none"/>
        </w:rPr>
        <w:instrText xml:space="preserve">FORMTEXT</w:instrText>
      </w:r>
      <w:r>
        <w:rPr>
          <w:rFonts w:ascii="方正仿宋" w:hAnsi="宋体" w:eastAsia="方正仿宋"/>
          <w:sz w:val="28"/>
          <w:szCs w:val="28"/>
          <w:highlight w:val="none"/>
        </w:rPr>
        <w:fldChar w:fldCharType="separate"/>
      </w:r>
      <w:r>
        <w:rPr>
          <w:rFonts w:ascii="方正仿宋" w:hAnsi="宋体" w:eastAsia="方正仿宋"/>
          <w:sz w:val="28"/>
          <w:szCs w:val="28"/>
          <w:highlight w:val="none"/>
        </w:rPr>
        <w:t>净值型理财产品（不含QDII理财产品）</w:t>
      </w:r>
      <w:r>
        <w:rPr>
          <w:rFonts w:ascii="方正仿宋" w:hAnsi="宋体" w:eastAsia="方正仿宋"/>
          <w:sz w:val="28"/>
          <w:szCs w:val="28"/>
          <w:highlight w:val="none"/>
        </w:rPr>
        <w:fldChar w:fldCharType="end"/>
      </w:r>
      <w:r>
        <w:rPr>
          <w:rFonts w:hint="eastAsia" w:ascii="方正仿宋" w:hAnsi="宋体" w:eastAsia="方正仿宋"/>
          <w:sz w:val="28"/>
          <w:szCs w:val="28"/>
          <w:highlight w:val="none"/>
        </w:rPr>
        <w:t>。为明确双方在理财资金及其所投资资产托管中的权利、义务及职责，确保理财资金及其所投资资产的安全，保护投资者的合法权益，依据《中华人民共和国民法典》、《中华人民共和国商业银行法》、《关于规范金融机构资产管理业务的指导意见》</w:t>
      </w:r>
      <w:r>
        <w:rPr>
          <w:rFonts w:hint="eastAsia" w:ascii="方正仿宋" w:hAnsi="宋体" w:eastAsia="方正仿宋"/>
          <w:sz w:val="28"/>
          <w:szCs w:val="28"/>
          <w:highlight w:val="none"/>
          <w:lang w:eastAsia="zh-CN"/>
        </w:rPr>
        <w:t>、</w:t>
      </w:r>
      <w:r>
        <w:rPr>
          <w:rFonts w:hint="eastAsia" w:ascii="方正仿宋" w:hAnsi="宋体" w:eastAsia="方正仿宋"/>
          <w:sz w:val="28"/>
          <w:szCs w:val="28"/>
          <w:highlight w:val="none"/>
        </w:rPr>
        <w:t>《商业银行理财业务监督管理办法》</w:t>
      </w:r>
      <w:r>
        <w:rPr>
          <w:rFonts w:hint="eastAsia" w:ascii="方正仿宋" w:hAnsi="宋体" w:eastAsia="方正仿宋"/>
          <w:sz w:val="28"/>
          <w:szCs w:val="28"/>
          <w:highlight w:val="none"/>
          <w:lang w:eastAsia="zh-CN"/>
        </w:rPr>
        <w:t>、</w:t>
      </w:r>
      <w:r>
        <w:rPr>
          <w:rFonts w:hint="eastAsia" w:ascii="方正仿宋" w:hAnsi="宋体" w:eastAsia="方正仿宋"/>
          <w:sz w:val="28"/>
          <w:szCs w:val="28"/>
          <w:highlight w:val="none"/>
        </w:rPr>
        <w:t>《中国银保监会、中国人民银行关于规范现金管理类理财产品管理有关事项的通知》（银保监发〔2021〕20</w:t>
      </w:r>
      <w:bookmarkStart w:id="165" w:name="_GoBack"/>
      <w:bookmarkEnd w:id="165"/>
      <w:r>
        <w:rPr>
          <w:rFonts w:hint="eastAsia" w:ascii="方正仿宋" w:hAnsi="宋体" w:eastAsia="方正仿宋"/>
          <w:sz w:val="28"/>
          <w:szCs w:val="28"/>
          <w:highlight w:val="none"/>
        </w:rPr>
        <w:t>号）</w:t>
      </w:r>
      <w:r>
        <w:rPr>
          <w:rFonts w:hint="eastAsia" w:ascii="方正仿宋" w:hAnsi="宋体" w:eastAsia="方正仿宋"/>
          <w:sz w:val="28"/>
          <w:szCs w:val="28"/>
          <w:highlight w:val="none"/>
          <w:lang w:eastAsia="zh-CN"/>
        </w:rPr>
        <w:t>、</w:t>
      </w:r>
      <w:r>
        <w:rPr>
          <w:rFonts w:hint="eastAsia" w:ascii="方正仿宋" w:hAnsi="宋体" w:eastAsia="方正仿宋"/>
          <w:sz w:val="28"/>
          <w:szCs w:val="28"/>
          <w:highlight w:val="none"/>
        </w:rPr>
        <w:t>《理财公司内部控制管理办</w:t>
      </w:r>
      <w:r>
        <w:rPr>
          <w:rFonts w:hint="eastAsia" w:ascii="方正仿宋" w:hAnsi="宋体" w:eastAsia="方正仿宋"/>
          <w:sz w:val="28"/>
          <w:szCs w:val="28"/>
          <w:highlight w:val="none"/>
          <w:lang w:val="en-US" w:eastAsia="zh-CN"/>
        </w:rPr>
        <w:t>法</w:t>
      </w:r>
      <w:r>
        <w:rPr>
          <w:rFonts w:hint="eastAsia" w:ascii="方正仿宋" w:hAnsi="宋体" w:eastAsia="方正仿宋"/>
          <w:sz w:val="28"/>
          <w:szCs w:val="28"/>
          <w:highlight w:val="none"/>
        </w:rPr>
        <w:t>》</w:t>
      </w:r>
      <w:r>
        <w:rPr>
          <w:rFonts w:hint="eastAsia" w:ascii="方正仿宋" w:hAnsi="宋体" w:eastAsia="方正仿宋"/>
          <w:sz w:val="28"/>
          <w:szCs w:val="28"/>
          <w:highlight w:val="none"/>
          <w:lang w:eastAsia="zh-CN"/>
        </w:rPr>
        <w:t>、</w:t>
      </w:r>
      <w:r>
        <w:rPr>
          <w:rFonts w:hint="eastAsia" w:ascii="方正仿宋" w:hAnsi="宋体" w:eastAsia="方正仿宋"/>
          <w:sz w:val="28"/>
          <w:szCs w:val="28"/>
          <w:highlight w:val="none"/>
        </w:rPr>
        <w:t>《商业银行理财子公司管理办法》等法律法规以及相关规定，特签订本合同。本合同项下，乙方接受甲方委托，在甲方委托及法律法规规定的范围内，办理甲方交付的理财产品财产的托管事宜。就该等托管事宜中双方当事人的权利、义务，乙方处理的委托事项及相关职责，双方协商一致，在本合同中作出约定。</w:t>
      </w:r>
    </w:p>
    <w:p>
      <w:pPr>
        <w:autoSpaceDE w:val="0"/>
        <w:autoSpaceDN w:val="0"/>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当双方签署本合同，本合同适用于甲方委托乙方托管的所有</w:t>
      </w:r>
      <w:r>
        <w:rPr>
          <w:rFonts w:hint="eastAsia" w:ascii="方正仿宋" w:hAnsi="宋体" w:eastAsia="方正仿宋"/>
          <w:sz w:val="28"/>
          <w:szCs w:val="28"/>
          <w:highlight w:val="none"/>
          <w:lang w:eastAsia="zh-CN"/>
        </w:rPr>
        <w:t>净值型</w:t>
      </w:r>
      <w:r>
        <w:rPr>
          <w:rFonts w:hint="eastAsia" w:ascii="方正仿宋" w:hAnsi="宋体" w:eastAsia="方正仿宋"/>
          <w:sz w:val="28"/>
          <w:szCs w:val="28"/>
          <w:highlight w:val="none"/>
        </w:rPr>
        <w:t>理财产品</w:t>
      </w:r>
      <w:bookmarkStart w:id="5" w:name="Text9"/>
      <w:r>
        <w:rPr>
          <w:rFonts w:hint="default" w:ascii="方正仿宋" w:hAnsi="宋体" w:eastAsia="方正仿宋"/>
          <w:sz w:val="28"/>
          <w:szCs w:val="28"/>
          <w:highlight w:val="none"/>
        </w:rPr>
        <w:fldChar w:fldCharType="begin">
          <w:ffData>
            <w:name w:val="Text9"/>
            <w:enabled/>
            <w:calcOnExit w:val="0"/>
            <w:textInput>
              <w:default w:val="（不含QDII理财产品）"/>
            </w:textInput>
          </w:ffData>
        </w:fldChar>
      </w:r>
      <w:r>
        <w:rPr>
          <w:rFonts w:hint="default" w:ascii="方正仿宋" w:hAnsi="宋体" w:eastAsia="方正仿宋"/>
          <w:sz w:val="28"/>
          <w:szCs w:val="28"/>
          <w:highlight w:val="none"/>
        </w:rPr>
        <w:instrText xml:space="preserve">FORMTEXT</w:instrText>
      </w:r>
      <w:r>
        <w:rPr>
          <w:rFonts w:hint="default" w:ascii="方正仿宋" w:hAnsi="宋体" w:eastAsia="方正仿宋"/>
          <w:sz w:val="28"/>
          <w:szCs w:val="28"/>
          <w:highlight w:val="none"/>
        </w:rPr>
        <w:fldChar w:fldCharType="separate"/>
      </w:r>
      <w:r>
        <w:rPr>
          <w:rFonts w:hint="default" w:ascii="方正仿宋" w:hAnsi="宋体" w:eastAsia="方正仿宋"/>
          <w:sz w:val="28"/>
          <w:szCs w:val="28"/>
          <w:highlight w:val="none"/>
        </w:rPr>
        <w:t>（不含QDII理财产品）</w:t>
      </w:r>
      <w:r>
        <w:rPr>
          <w:rFonts w:hint="default" w:ascii="方正仿宋" w:hAnsi="宋体" w:eastAsia="方正仿宋"/>
          <w:sz w:val="28"/>
          <w:szCs w:val="28"/>
          <w:highlight w:val="none"/>
        </w:rPr>
        <w:fldChar w:fldCharType="end"/>
      </w:r>
      <w:bookmarkEnd w:id="5"/>
      <w:r>
        <w:rPr>
          <w:rFonts w:hint="eastAsia" w:ascii="方正仿宋" w:hAnsi="宋体" w:eastAsia="方正仿宋"/>
          <w:sz w:val="28"/>
          <w:szCs w:val="28"/>
          <w:highlight w:val="none"/>
        </w:rPr>
        <w:t>，双方不再就甲方发行的单只理财产品委托乙方托管事宜另行签署托管合同，如有本合同未约定事项或单只理财产品有其他特殊要求，双方就本合同未约定事项或单只理财产品另行签署备忘录进行约定。乙方受托托管单只理财产品后，双方就该理财产品托管中的权利义务关系受本合同及针对该理财产品另行签署的备忘录（如有）的约束。甲方保证理财产品合法合规、具备可操作性。</w:t>
      </w:r>
    </w:p>
    <w:p>
      <w:pPr>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本托管合同的签订，并不表明乙方对理财产品的价值和收益作出实质性判断或保证</w:t>
      </w:r>
      <w:r>
        <w:rPr>
          <w:rFonts w:ascii="方正仿宋" w:hAnsi="宋体" w:eastAsia="方正仿宋"/>
          <w:sz w:val="28"/>
          <w:szCs w:val="28"/>
          <w:highlight w:val="none"/>
        </w:rPr>
        <w:t>或其他形式的担保</w:t>
      </w:r>
      <w:r>
        <w:rPr>
          <w:rFonts w:hint="eastAsia" w:ascii="方正仿宋" w:hAnsi="宋体" w:eastAsia="方正仿宋"/>
          <w:sz w:val="28"/>
          <w:szCs w:val="28"/>
          <w:highlight w:val="none"/>
        </w:rPr>
        <w:t>，也不表明投资于理财产品没有风险。</w:t>
      </w:r>
    </w:p>
    <w:p>
      <w:pPr>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甲方应确保甲方理财产品在客户选择、报备手续等方面符合《关于规范金融机构资产管理业务的指导意见》、《商业银行理财业务监督管理办法》等法律法规的规定，履行了相关的手续，保证资金来源及产品的合法合规性，并对本理财产品的合法合规性负责。乙方对本理财产品的合法合规性不承担任何责任。</w:t>
      </w:r>
    </w:p>
    <w:p>
      <w:pPr>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甲方应确保在管理理财产品的过程中，在投资和信息披露方面符合《关于规范金融机构资产管理业务的指导意见》、《商业银行理财业务监督管理办法》等法律法规的要求，不得将理财产品资金用于相关法律法规禁止</w:t>
      </w:r>
      <w:r>
        <w:rPr>
          <w:rFonts w:ascii="方正仿宋" w:hAnsi="宋体" w:eastAsia="方正仿宋"/>
          <w:sz w:val="28"/>
          <w:szCs w:val="28"/>
          <w:highlight w:val="none"/>
        </w:rPr>
        <w:t>的用途</w:t>
      </w:r>
      <w:r>
        <w:rPr>
          <w:rFonts w:hint="eastAsia" w:ascii="方正仿宋" w:hAnsi="宋体" w:eastAsia="方正仿宋"/>
          <w:sz w:val="28"/>
          <w:szCs w:val="28"/>
          <w:highlight w:val="none"/>
        </w:rPr>
        <w:t>。</w:t>
      </w:r>
    </w:p>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w:t>
      </w:r>
      <w:r>
        <w:rPr>
          <w:rFonts w:hint="eastAsia" w:ascii="方正仿宋" w:hAnsi="宋体" w:eastAsia="方正仿宋"/>
          <w:b w:val="0"/>
          <w:bCs w:val="0"/>
          <w:sz w:val="28"/>
          <w:szCs w:val="28"/>
          <w:highlight w:val="none"/>
        </w:rPr>
        <w:t>一</w:t>
      </w:r>
      <w:r>
        <w:rPr>
          <w:rFonts w:hint="eastAsia" w:ascii="方正仿宋" w:hAnsi="宋体" w:eastAsia="方正仿宋"/>
          <w:sz w:val="28"/>
          <w:szCs w:val="28"/>
          <w:highlight w:val="none"/>
        </w:rPr>
        <w:t>条</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甲方的权利与义务</w:t>
      </w:r>
    </w:p>
    <w:p>
      <w:pPr>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（一）甲方的权利</w:t>
      </w:r>
    </w:p>
    <w:p>
      <w:pPr>
        <w:adjustRightInd w:val="0"/>
        <w:snapToGrid w:val="0"/>
        <w:spacing w:line="336" w:lineRule="auto"/>
        <w:ind w:firstLine="560" w:firstLineChars="200"/>
        <w:rPr>
          <w:rFonts w:hint="eastAsia" w:ascii="方正仿宋" w:hAnsi="宋体" w:eastAsia="方正仿宋"/>
          <w:sz w:val="28"/>
          <w:szCs w:val="28"/>
          <w:highlight w:val="none"/>
          <w:lang w:eastAsia="zh-CN"/>
        </w:rPr>
      </w:pPr>
      <w:r>
        <w:rPr>
          <w:rFonts w:ascii="方正仿宋" w:hAnsi="宋体" w:eastAsia="方正仿宋"/>
          <w:sz w:val="28"/>
          <w:szCs w:val="28"/>
          <w:highlight w:val="none"/>
        </w:rPr>
        <w:t>1.</w:t>
      </w:r>
      <w:r>
        <w:rPr>
          <w:rFonts w:ascii="方正仿宋" w:hAnsi="宋体" w:eastAsia="方正仿宋"/>
          <w:kern w:val="0"/>
          <w:sz w:val="28"/>
          <w:szCs w:val="28"/>
          <w:highlight w:val="none"/>
        </w:rPr>
        <w:t>按照法律法规、监管规定及理财产品</w:t>
      </w:r>
      <w:r>
        <w:rPr>
          <w:rFonts w:hint="eastAsia" w:ascii="方正仿宋" w:hAnsi="宋体" w:eastAsia="方正仿宋"/>
          <w:kern w:val="0"/>
          <w:sz w:val="28"/>
          <w:szCs w:val="28"/>
          <w:highlight w:val="none"/>
        </w:rPr>
        <w:t>销售</w:t>
      </w:r>
      <w:r>
        <w:rPr>
          <w:rFonts w:ascii="方正仿宋" w:hAnsi="宋体" w:eastAsia="方正仿宋"/>
          <w:kern w:val="0"/>
          <w:sz w:val="28"/>
          <w:szCs w:val="28"/>
          <w:highlight w:val="none"/>
        </w:rPr>
        <w:t>文件的</w:t>
      </w:r>
      <w:r>
        <w:rPr>
          <w:rFonts w:ascii="方正仿宋" w:hAnsi="宋体" w:eastAsia="方正仿宋"/>
          <w:sz w:val="28"/>
          <w:szCs w:val="28"/>
          <w:highlight w:val="none"/>
        </w:rPr>
        <w:t>约定管理、运</w:t>
      </w:r>
      <w:r>
        <w:rPr>
          <w:rFonts w:hint="eastAsia" w:ascii="方正仿宋" w:hAnsi="宋体" w:eastAsia="方正仿宋"/>
          <w:sz w:val="28"/>
          <w:szCs w:val="28"/>
          <w:highlight w:val="none"/>
        </w:rPr>
        <w:t>作</w:t>
      </w:r>
      <w:r>
        <w:rPr>
          <w:rFonts w:ascii="方正仿宋" w:hAnsi="宋体" w:eastAsia="方正仿宋"/>
          <w:sz w:val="28"/>
          <w:szCs w:val="28"/>
          <w:highlight w:val="none"/>
        </w:rPr>
        <w:t>理财产品</w:t>
      </w:r>
      <w:r>
        <w:rPr>
          <w:rFonts w:hint="eastAsia" w:ascii="方正仿宋" w:hAnsi="宋体" w:eastAsia="方正仿宋"/>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ascii="方正仿宋" w:hAnsi="宋体" w:eastAsia="方正仿宋"/>
          <w:kern w:val="0"/>
          <w:sz w:val="28"/>
          <w:szCs w:val="28"/>
          <w:highlight w:val="none"/>
        </w:rPr>
        <w:t>2</w:t>
      </w:r>
      <w:r>
        <w:rPr>
          <w:rFonts w:ascii="方正仿宋" w:hAnsi="宋体" w:eastAsia="方正仿宋"/>
          <w:sz w:val="28"/>
          <w:szCs w:val="28"/>
          <w:highlight w:val="none"/>
        </w:rPr>
        <w:t>.按照理财产品相关法律文件的约定，从理财产品中收取管理费和超额业绩报酬（如有）</w:t>
      </w:r>
      <w:r>
        <w:rPr>
          <w:rFonts w:hint="eastAsia" w:ascii="方正仿宋" w:hAnsi="宋体" w:eastAsia="方正仿宋"/>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ascii="方正仿宋" w:hAnsi="宋体" w:eastAsia="方正仿宋"/>
          <w:kern w:val="0"/>
          <w:sz w:val="28"/>
          <w:szCs w:val="28"/>
          <w:highlight w:val="none"/>
        </w:rPr>
        <w:t>3.</w:t>
      </w:r>
      <w:r>
        <w:rPr>
          <w:rFonts w:hint="eastAsia" w:ascii="方正仿宋" w:hAnsi="宋体" w:eastAsia="方正仿宋"/>
          <w:kern w:val="0"/>
          <w:sz w:val="28"/>
          <w:szCs w:val="28"/>
          <w:highlight w:val="none"/>
        </w:rPr>
        <w:t>根据本合同约定获取乙方对理财产品资金头寸、资产账目、资产净值、认申购和赎回价格等数据的核对结果</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sz w:val="28"/>
          <w:szCs w:val="28"/>
          <w:highlight w:val="none"/>
          <w:lang w:eastAsia="zh-CN"/>
        </w:rPr>
      </w:pPr>
      <w:r>
        <w:rPr>
          <w:rFonts w:hint="eastAsia" w:ascii="方正仿宋" w:hAnsi="宋体" w:eastAsia="方正仿宋"/>
          <w:kern w:val="0"/>
          <w:sz w:val="28"/>
          <w:szCs w:val="28"/>
          <w:highlight w:val="none"/>
        </w:rPr>
        <w:t>4</w:t>
      </w:r>
      <w:r>
        <w:rPr>
          <w:rFonts w:ascii="方正仿宋" w:hAnsi="宋体" w:eastAsia="方正仿宋"/>
          <w:kern w:val="0"/>
          <w:sz w:val="28"/>
          <w:szCs w:val="28"/>
          <w:highlight w:val="none"/>
        </w:rPr>
        <w:t>.有权监督乙方</w:t>
      </w:r>
      <w:r>
        <w:rPr>
          <w:rFonts w:hint="eastAsia" w:ascii="方正仿宋" w:hAnsi="宋体" w:eastAsia="方正仿宋"/>
          <w:kern w:val="0"/>
          <w:sz w:val="28"/>
          <w:szCs w:val="28"/>
          <w:highlight w:val="none"/>
        </w:rPr>
        <w:t>在</w:t>
      </w:r>
      <w:r>
        <w:rPr>
          <w:rFonts w:ascii="方正仿宋" w:hAnsi="宋体" w:eastAsia="方正仿宋"/>
          <w:kern w:val="0"/>
          <w:sz w:val="28"/>
          <w:szCs w:val="28"/>
          <w:highlight w:val="none"/>
        </w:rPr>
        <w:t>本</w:t>
      </w:r>
      <w:r>
        <w:rPr>
          <w:rFonts w:hint="eastAsia" w:ascii="方正仿宋" w:hAnsi="宋体" w:eastAsia="方正仿宋"/>
          <w:kern w:val="0"/>
          <w:sz w:val="28"/>
          <w:szCs w:val="28"/>
          <w:highlight w:val="none"/>
        </w:rPr>
        <w:t>合同</w:t>
      </w:r>
      <w:r>
        <w:rPr>
          <w:rFonts w:ascii="方正仿宋" w:hAnsi="宋体" w:eastAsia="方正仿宋"/>
          <w:kern w:val="0"/>
          <w:sz w:val="28"/>
          <w:szCs w:val="28"/>
          <w:highlight w:val="none"/>
        </w:rPr>
        <w:t>项下的托管行为</w:t>
      </w:r>
      <w:r>
        <w:rPr>
          <w:rFonts w:hint="eastAsia" w:ascii="方正仿宋" w:hAnsi="宋体" w:eastAsia="方正仿宋"/>
          <w:kern w:val="0"/>
          <w:sz w:val="28"/>
          <w:szCs w:val="28"/>
          <w:highlight w:val="none"/>
        </w:rPr>
        <w:t>，并有权向监管机构报告</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5</w:t>
      </w:r>
      <w:r>
        <w:rPr>
          <w:rFonts w:ascii="方正仿宋" w:hAnsi="宋体" w:eastAsia="方正仿宋"/>
          <w:sz w:val="28"/>
          <w:szCs w:val="28"/>
          <w:highlight w:val="none"/>
        </w:rPr>
        <w:t>.</w:t>
      </w:r>
      <w:r>
        <w:rPr>
          <w:rFonts w:hint="eastAsia" w:ascii="方正仿宋" w:hAnsi="宋体" w:eastAsia="方正仿宋"/>
          <w:kern w:val="0"/>
          <w:sz w:val="28"/>
          <w:szCs w:val="28"/>
          <w:highlight w:val="none"/>
        </w:rPr>
        <w:t>根据本合同约定向乙方发出管理运用理财资金的指令</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36" w:lineRule="auto"/>
        <w:ind w:firstLine="560" w:firstLineChars="200"/>
        <w:rPr>
          <w:rFonts w:hint="eastAsia" w:ascii="方正仿宋" w:hAnsi="宋体" w:eastAsia="方正仿宋"/>
          <w:sz w:val="28"/>
          <w:szCs w:val="28"/>
          <w:highlight w:val="none"/>
          <w:lang w:eastAsia="zh-CN"/>
        </w:rPr>
      </w:pPr>
      <w:r>
        <w:rPr>
          <w:rFonts w:hint="eastAsia" w:ascii="方正仿宋" w:hAnsi="宋体" w:eastAsia="方正仿宋"/>
          <w:kern w:val="0"/>
          <w:sz w:val="28"/>
          <w:szCs w:val="28"/>
          <w:highlight w:val="none"/>
        </w:rPr>
        <w:t>6</w:t>
      </w:r>
      <w:r>
        <w:rPr>
          <w:rFonts w:ascii="方正仿宋" w:hAnsi="宋体" w:eastAsia="方正仿宋"/>
          <w:sz w:val="28"/>
          <w:szCs w:val="28"/>
          <w:highlight w:val="none"/>
        </w:rPr>
        <w:t>.</w:t>
      </w:r>
      <w:r>
        <w:rPr>
          <w:rFonts w:hint="eastAsia" w:ascii="方正仿宋" w:hAnsi="宋体" w:eastAsia="方正仿宋"/>
          <w:sz w:val="28"/>
          <w:szCs w:val="28"/>
          <w:highlight w:val="none"/>
        </w:rPr>
        <w:t>要求乙方对因为其违约或过失给理财产品资产或甲方造成的直接损失进行赔偿</w:t>
      </w:r>
      <w:r>
        <w:rPr>
          <w:rFonts w:hint="eastAsia" w:ascii="方正仿宋" w:hAnsi="宋体" w:eastAsia="方正仿宋"/>
          <w:sz w:val="28"/>
          <w:szCs w:val="28"/>
          <w:highlight w:val="none"/>
          <w:lang w:eastAsia="zh-CN"/>
        </w:rPr>
        <w:t>；</w:t>
      </w:r>
    </w:p>
    <w:p>
      <w:pPr>
        <w:autoSpaceDE w:val="0"/>
        <w:autoSpaceDN w:val="0"/>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sz w:val="28"/>
          <w:szCs w:val="28"/>
          <w:highlight w:val="none"/>
        </w:rPr>
        <w:t>7.在符合本合同约定的情况下终止及/或单方解除本合同</w:t>
      </w:r>
      <w:r>
        <w:rPr>
          <w:rFonts w:hint="eastAsia" w:ascii="方正仿宋" w:hAnsi="宋体" w:eastAsia="方正仿宋"/>
          <w:sz w:val="28"/>
          <w:szCs w:val="28"/>
          <w:highlight w:val="none"/>
          <w:lang w:eastAsia="zh-CN"/>
        </w:rPr>
        <w:t>；</w:t>
      </w:r>
    </w:p>
    <w:p>
      <w:pPr>
        <w:autoSpaceDE w:val="0"/>
        <w:autoSpaceDN w:val="0"/>
        <w:adjustRightInd w:val="0"/>
        <w:snapToGrid w:val="0"/>
        <w:spacing w:line="336" w:lineRule="auto"/>
        <w:rPr>
          <w:rFonts w:ascii="方正仿宋" w:hAnsi="宋体" w:eastAsia="方正仿宋"/>
          <w:kern w:val="0"/>
          <w:sz w:val="28"/>
          <w:szCs w:val="28"/>
          <w:highlight w:val="none"/>
        </w:rPr>
      </w:pPr>
      <w:r>
        <w:rPr>
          <w:rFonts w:ascii="方正仿宋" w:hAnsi="宋体" w:eastAsia="方正仿宋"/>
          <w:kern w:val="0"/>
          <w:sz w:val="28"/>
          <w:szCs w:val="28"/>
          <w:highlight w:val="none"/>
        </w:rPr>
        <w:t xml:space="preserve">    </w:t>
      </w:r>
      <w:r>
        <w:rPr>
          <w:rFonts w:hint="eastAsia" w:ascii="方正仿宋" w:hAnsi="宋体" w:eastAsia="方正仿宋"/>
          <w:kern w:val="0"/>
          <w:sz w:val="28"/>
          <w:szCs w:val="28"/>
          <w:highlight w:val="none"/>
        </w:rPr>
        <w:t>8</w:t>
      </w:r>
      <w:r>
        <w:rPr>
          <w:rFonts w:ascii="方正仿宋" w:hAnsi="宋体" w:eastAsia="方正仿宋"/>
          <w:sz w:val="28"/>
          <w:szCs w:val="28"/>
          <w:highlight w:val="none"/>
        </w:rPr>
        <w:t>.法律、法规、监管机构有关规定及本合同约定的其他权利。</w:t>
      </w:r>
    </w:p>
    <w:p>
      <w:pPr>
        <w:autoSpaceDE w:val="0"/>
        <w:autoSpaceDN w:val="0"/>
        <w:adjustRightInd w:val="0"/>
        <w:snapToGrid w:val="0"/>
        <w:spacing w:line="336" w:lineRule="auto"/>
        <w:ind w:firstLine="560" w:firstLineChars="200"/>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（二）甲方的义务</w:t>
      </w:r>
    </w:p>
    <w:p>
      <w:pPr>
        <w:adjustRightInd w:val="0"/>
        <w:snapToGrid w:val="0"/>
        <w:spacing w:line="336" w:lineRule="auto"/>
        <w:ind w:firstLine="560" w:firstLineChars="200"/>
        <w:rPr>
          <w:rFonts w:ascii="方正仿宋" w:hAnsi="宋体" w:eastAsia="方正仿宋"/>
          <w:kern w:val="0"/>
          <w:sz w:val="28"/>
          <w:szCs w:val="28"/>
          <w:highlight w:val="none"/>
        </w:rPr>
      </w:pPr>
      <w:r>
        <w:rPr>
          <w:rFonts w:ascii="方正仿宋" w:hAnsi="宋体" w:eastAsia="方正仿宋"/>
          <w:kern w:val="0"/>
          <w:sz w:val="28"/>
          <w:szCs w:val="28"/>
          <w:highlight w:val="none"/>
        </w:rPr>
        <w:t>1</w:t>
      </w:r>
      <w:r>
        <w:rPr>
          <w:rFonts w:ascii="方正仿宋" w:hAnsi="宋体" w:eastAsia="方正仿宋"/>
          <w:sz w:val="28"/>
          <w:szCs w:val="28"/>
          <w:highlight w:val="none"/>
        </w:rPr>
        <w:t>.</w:t>
      </w:r>
      <w:r>
        <w:rPr>
          <w:rFonts w:hint="eastAsia" w:ascii="方正仿宋" w:hAnsi="宋体" w:eastAsia="方正仿宋"/>
          <w:kern w:val="0"/>
          <w:sz w:val="28"/>
          <w:szCs w:val="28"/>
          <w:highlight w:val="none"/>
        </w:rPr>
        <w:t>办理本理财产品每只产品的销售、登记、备案事宜；</w:t>
      </w:r>
    </w:p>
    <w:p>
      <w:pPr>
        <w:adjustRightInd w:val="0"/>
        <w:snapToGrid w:val="0"/>
        <w:spacing w:line="336" w:lineRule="auto"/>
        <w:ind w:firstLine="560" w:firstLineChars="200"/>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2.对所管理的每只理财产品单独管理、单独建账和单独核算；</w:t>
      </w:r>
    </w:p>
    <w:p>
      <w:pPr>
        <w:adjustRightInd w:val="0"/>
        <w:snapToGrid w:val="0"/>
        <w:spacing w:line="336" w:lineRule="auto"/>
        <w:ind w:firstLine="560" w:firstLineChars="200"/>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3</w:t>
      </w:r>
      <w:r>
        <w:rPr>
          <w:rFonts w:ascii="方正仿宋" w:hAnsi="宋体" w:eastAsia="方正仿宋"/>
          <w:kern w:val="0"/>
          <w:sz w:val="28"/>
          <w:szCs w:val="28"/>
          <w:highlight w:val="none"/>
        </w:rPr>
        <w:t>.</w:t>
      </w:r>
      <w:r>
        <w:rPr>
          <w:rFonts w:hint="eastAsia" w:ascii="方正仿宋" w:hAnsi="宋体" w:eastAsia="方正仿宋"/>
          <w:kern w:val="0"/>
          <w:sz w:val="28"/>
          <w:szCs w:val="28"/>
          <w:highlight w:val="none"/>
        </w:rPr>
        <w:t>按照本合同约定向乙方交付理财资金；</w:t>
      </w:r>
    </w:p>
    <w:p>
      <w:pPr>
        <w:adjustRightInd w:val="0"/>
        <w:snapToGrid w:val="0"/>
        <w:spacing w:line="336" w:lineRule="auto"/>
        <w:ind w:firstLine="560" w:firstLineChars="200"/>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4</w:t>
      </w:r>
      <w:r>
        <w:rPr>
          <w:rFonts w:ascii="方正仿宋" w:hAnsi="宋体" w:eastAsia="方正仿宋"/>
          <w:kern w:val="0"/>
          <w:sz w:val="28"/>
          <w:szCs w:val="28"/>
          <w:highlight w:val="none"/>
        </w:rPr>
        <w:t>.真实、完整、准确地向乙方提供与</w:t>
      </w:r>
      <w:r>
        <w:rPr>
          <w:rFonts w:hint="eastAsia" w:ascii="方正仿宋" w:hAnsi="宋体" w:eastAsia="方正仿宋"/>
          <w:kern w:val="0"/>
          <w:sz w:val="28"/>
          <w:szCs w:val="28"/>
          <w:highlight w:val="none"/>
        </w:rPr>
        <w:t>进行</w:t>
      </w:r>
      <w:r>
        <w:rPr>
          <w:rFonts w:ascii="方正仿宋" w:hAnsi="宋体" w:eastAsia="方正仿宋"/>
          <w:kern w:val="0"/>
          <w:sz w:val="28"/>
          <w:szCs w:val="28"/>
          <w:highlight w:val="none"/>
        </w:rPr>
        <w:t>理财产品</w:t>
      </w:r>
      <w:r>
        <w:rPr>
          <w:rFonts w:hint="eastAsia" w:ascii="方正仿宋" w:hAnsi="宋体" w:eastAsia="方正仿宋"/>
          <w:kern w:val="0"/>
          <w:sz w:val="28"/>
          <w:szCs w:val="28"/>
          <w:highlight w:val="none"/>
        </w:rPr>
        <w:t>托管业务</w:t>
      </w:r>
      <w:r>
        <w:rPr>
          <w:rFonts w:ascii="方正仿宋" w:hAnsi="宋体" w:eastAsia="方正仿宋"/>
          <w:kern w:val="0"/>
          <w:sz w:val="28"/>
          <w:szCs w:val="28"/>
          <w:highlight w:val="none"/>
        </w:rPr>
        <w:t>有关的成立及投资信息</w:t>
      </w:r>
      <w:r>
        <w:rPr>
          <w:rFonts w:hint="eastAsia" w:ascii="方正仿宋" w:hAnsi="宋体" w:eastAsia="方正仿宋"/>
          <w:kern w:val="0"/>
          <w:sz w:val="28"/>
          <w:szCs w:val="28"/>
          <w:highlight w:val="none"/>
        </w:rPr>
        <w:t>；</w:t>
      </w:r>
    </w:p>
    <w:p>
      <w:pPr>
        <w:adjustRightInd w:val="0"/>
        <w:snapToGrid w:val="0"/>
        <w:spacing w:line="336" w:lineRule="auto"/>
        <w:ind w:firstLine="560" w:firstLineChars="200"/>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5</w:t>
      </w:r>
      <w:r>
        <w:rPr>
          <w:rFonts w:ascii="方正仿宋" w:hAnsi="宋体" w:eastAsia="方正仿宋"/>
          <w:kern w:val="0"/>
          <w:sz w:val="28"/>
          <w:szCs w:val="28"/>
          <w:highlight w:val="none"/>
        </w:rPr>
        <w:t>.</w:t>
      </w:r>
      <w:r>
        <w:rPr>
          <w:rFonts w:hint="eastAsia" w:ascii="方正仿宋" w:hAnsi="宋体" w:eastAsia="方正仿宋"/>
          <w:kern w:val="0"/>
          <w:sz w:val="28"/>
          <w:szCs w:val="28"/>
          <w:highlight w:val="none"/>
        </w:rPr>
        <w:t>按照本合同约定向乙方提供每只理财产品管理运用的相关指令、文件，并对上述材料的真实性、准确性、完整性和有效性负责；</w:t>
      </w:r>
    </w:p>
    <w:p>
      <w:pPr>
        <w:adjustRightInd w:val="0"/>
        <w:snapToGrid w:val="0"/>
        <w:spacing w:line="336" w:lineRule="auto"/>
        <w:ind w:firstLine="560" w:firstLineChars="200"/>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6.对本合同项下理财产品按照法律法规规定及行业惯例进行会计核算并编制财务会计报告,与乙方建立对账机制，就理财产品的会计核算、报表编制等进行定期核对；</w:t>
      </w:r>
    </w:p>
    <w:p>
      <w:pPr>
        <w:adjustRightInd w:val="0"/>
        <w:snapToGrid w:val="0"/>
        <w:spacing w:line="336"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7.办理与理财业务活动相关的信息披露事项；</w:t>
      </w:r>
    </w:p>
    <w:p>
      <w:pPr>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8.在合法合规的前提下，对乙方开展托管业务提供必需的协助</w:t>
      </w:r>
      <w:r>
        <w:rPr>
          <w:rFonts w:hint="eastAsia" w:ascii="方正仿宋" w:hAnsi="宋体" w:eastAsia="方正仿宋"/>
          <w:kern w:val="0"/>
          <w:sz w:val="28"/>
          <w:szCs w:val="28"/>
          <w:highlight w:val="none"/>
          <w:lang w:eastAsia="zh-CN"/>
        </w:rPr>
        <w:t>；</w:t>
      </w:r>
    </w:p>
    <w:p>
      <w:pPr>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9.根据有关法律法规和本托管合同的约定，接受乙方的监督</w:t>
      </w:r>
      <w:r>
        <w:rPr>
          <w:rFonts w:hint="eastAsia" w:ascii="方正仿宋" w:hAnsi="宋体" w:eastAsia="方正仿宋"/>
          <w:kern w:val="0"/>
          <w:sz w:val="28"/>
          <w:szCs w:val="28"/>
          <w:highlight w:val="none"/>
          <w:lang w:eastAsia="zh-CN"/>
        </w:rPr>
        <w:t>；</w:t>
      </w:r>
    </w:p>
    <w:p>
      <w:pPr>
        <w:adjustRightInd w:val="0"/>
        <w:snapToGrid w:val="0"/>
        <w:spacing w:line="336"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10.保存银行理财业务活动记录、账册等相关资料</w:t>
      </w:r>
      <w:r>
        <w:rPr>
          <w:rFonts w:hint="eastAsia" w:ascii="方正仿宋" w:hAnsi="宋体" w:eastAsia="方正仿宋" w:cs="Times New Roman"/>
          <w:kern w:val="0"/>
          <w:sz w:val="28"/>
          <w:szCs w:val="28"/>
          <w:highlight w:val="none"/>
          <w:lang w:val="en-US" w:eastAsia="zh-CN" w:bidi="ar-SA"/>
        </w:rPr>
        <w:t>15</w:t>
      </w:r>
      <w:r>
        <w:rPr>
          <w:rFonts w:hint="eastAsia" w:ascii="方正仿宋" w:hAnsi="宋体" w:eastAsia="方正仿宋"/>
          <w:kern w:val="0"/>
          <w:sz w:val="28"/>
          <w:szCs w:val="28"/>
          <w:highlight w:val="none"/>
        </w:rPr>
        <w:t>年以上；</w:t>
      </w:r>
    </w:p>
    <w:p>
      <w:pPr>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11.按照本合同约定支付乙方托管费</w:t>
      </w:r>
      <w:r>
        <w:rPr>
          <w:rFonts w:hint="eastAsia" w:ascii="方正仿宋" w:hAnsi="宋体" w:eastAsia="方正仿宋"/>
          <w:kern w:val="0"/>
          <w:sz w:val="28"/>
          <w:szCs w:val="28"/>
          <w:highlight w:val="none"/>
          <w:lang w:eastAsia="zh-CN"/>
        </w:rPr>
        <w:t>；</w:t>
      </w:r>
    </w:p>
    <w:p>
      <w:pPr>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12.除本合同另有约定外，未经乙方书面同意不得擅自单方解除本合同，否则应承担因此给理财产品财产和乙方造成的经济损失</w:t>
      </w:r>
      <w:r>
        <w:rPr>
          <w:rFonts w:hint="eastAsia" w:ascii="方正仿宋" w:hAnsi="宋体" w:eastAsia="方正仿宋"/>
          <w:kern w:val="0"/>
          <w:sz w:val="28"/>
          <w:szCs w:val="28"/>
          <w:highlight w:val="none"/>
          <w:lang w:eastAsia="zh-CN"/>
        </w:rPr>
        <w:t>；</w:t>
      </w:r>
    </w:p>
    <w:p>
      <w:pPr>
        <w:numPr>
          <w:ilvl w:val="-1"/>
          <w:numId w:val="0"/>
        </w:numPr>
        <w:spacing w:line="590" w:lineRule="exact"/>
        <w:ind w:firstLine="560" w:firstLineChars="200"/>
        <w:rPr>
          <w:rFonts w:hint="eastAsia" w:ascii="仿宋_GB2312" w:hAnsi="仿宋_GB2312" w:eastAsia="仿宋_GB2312" w:cs="仿宋_GB2312"/>
          <w:color w:val="auto"/>
          <w:spacing w:val="6"/>
          <w:sz w:val="32"/>
          <w:szCs w:val="32"/>
          <w:highlight w:val="none"/>
        </w:rPr>
      </w:pPr>
      <w:r>
        <w:rPr>
          <w:rFonts w:hint="eastAsia" w:ascii="方正仿宋" w:hAnsi="宋体" w:eastAsia="方正仿宋"/>
          <w:kern w:val="0"/>
          <w:sz w:val="28"/>
          <w:szCs w:val="28"/>
          <w:highlight w:val="none"/>
        </w:rPr>
        <w:t>13．甲方应按照反洗钱、反恐怖融资相关法律法规与监管规定要求履行相应的反洗钱义务，建立健全反洗钱内部控制机制，</w:t>
      </w:r>
      <w:r>
        <w:rPr>
          <w:rFonts w:hint="eastAsia" w:ascii="方正仿宋" w:hAnsi="宋体" w:eastAsia="方正仿宋" w:cs="Times New Roman"/>
          <w:spacing w:val="0"/>
          <w:kern w:val="0"/>
          <w:sz w:val="28"/>
          <w:szCs w:val="28"/>
          <w:highlight w:val="none"/>
        </w:rPr>
        <w:t>落实客户身份资料和交易记录保存、可疑交易报告等反洗钱义务</w:t>
      </w:r>
      <w:r>
        <w:rPr>
          <w:rFonts w:hint="eastAsia" w:ascii="方正仿宋" w:hAnsi="宋体" w:eastAsia="方正仿宋"/>
          <w:kern w:val="0"/>
          <w:sz w:val="28"/>
          <w:szCs w:val="28"/>
          <w:highlight w:val="none"/>
        </w:rPr>
        <w:t>并为乙方履行其反洗钱义务提供必要的协助</w:t>
      </w:r>
      <w:r>
        <w:rPr>
          <w:rFonts w:hint="eastAsia" w:ascii="方正仿宋" w:hAnsi="宋体" w:eastAsia="方正仿宋"/>
          <w:kern w:val="0"/>
          <w:sz w:val="28"/>
          <w:szCs w:val="28"/>
          <w:highlight w:val="none"/>
          <w:lang w:eastAsia="zh-CN"/>
        </w:rPr>
        <w:t>，</w:t>
      </w:r>
      <w:r>
        <w:rPr>
          <w:rFonts w:hint="eastAsia" w:ascii="方正仿宋" w:hAnsi="宋体" w:eastAsia="方正仿宋" w:cs="Times New Roman"/>
          <w:color w:val="auto"/>
          <w:spacing w:val="0"/>
          <w:kern w:val="0"/>
          <w:sz w:val="28"/>
          <w:szCs w:val="28"/>
          <w:highlight w:val="none"/>
        </w:rPr>
        <w:t>配合</w:t>
      </w:r>
      <w:r>
        <w:rPr>
          <w:rFonts w:hint="eastAsia" w:ascii="方正仿宋" w:hAnsi="宋体" w:eastAsia="方正仿宋" w:cs="Times New Roman"/>
          <w:color w:val="auto"/>
          <w:spacing w:val="0"/>
          <w:kern w:val="0"/>
          <w:sz w:val="28"/>
          <w:szCs w:val="28"/>
          <w:highlight w:val="none"/>
          <w:lang w:val="en-US" w:eastAsia="zh-CN"/>
        </w:rPr>
        <w:t>乙方</w:t>
      </w:r>
      <w:r>
        <w:rPr>
          <w:rFonts w:hint="eastAsia" w:ascii="方正仿宋" w:hAnsi="宋体" w:eastAsia="方正仿宋" w:cs="Times New Roman"/>
          <w:color w:val="auto"/>
          <w:spacing w:val="0"/>
          <w:kern w:val="0"/>
          <w:sz w:val="28"/>
          <w:szCs w:val="28"/>
          <w:highlight w:val="none"/>
        </w:rPr>
        <w:t>开展反洗钱工作，提供相关</w:t>
      </w:r>
      <w:r>
        <w:rPr>
          <w:rFonts w:hint="eastAsia" w:ascii="方正仿宋" w:hAnsi="宋体" w:eastAsia="方正仿宋" w:cs="Times New Roman"/>
          <w:color w:val="auto"/>
          <w:spacing w:val="0"/>
          <w:kern w:val="0"/>
          <w:sz w:val="28"/>
          <w:szCs w:val="28"/>
          <w:highlight w:val="none"/>
          <w:lang w:val="en-US" w:eastAsia="zh-CN"/>
        </w:rPr>
        <w:t>必要</w:t>
      </w:r>
      <w:r>
        <w:rPr>
          <w:rFonts w:hint="eastAsia" w:ascii="方正仿宋" w:hAnsi="宋体" w:eastAsia="方正仿宋" w:cs="Times New Roman"/>
          <w:color w:val="auto"/>
          <w:spacing w:val="0"/>
          <w:kern w:val="0"/>
          <w:sz w:val="28"/>
          <w:szCs w:val="28"/>
          <w:highlight w:val="none"/>
        </w:rPr>
        <w:t>材料；</w:t>
      </w:r>
    </w:p>
    <w:p>
      <w:pPr>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w:t>
      </w:r>
      <w:r>
        <w:rPr>
          <w:rFonts w:hint="eastAsia" w:ascii="方正仿宋" w:hAnsi="宋体" w:eastAsia="方正仿宋"/>
          <w:kern w:val="0"/>
          <w:sz w:val="28"/>
          <w:szCs w:val="28"/>
          <w:highlight w:val="none"/>
          <w:lang w:val="en-US" w:eastAsia="zh-CN"/>
        </w:rPr>
        <w:t>4</w:t>
      </w:r>
      <w:r>
        <w:rPr>
          <w:rFonts w:hint="eastAsia" w:ascii="方正仿宋" w:hAnsi="宋体" w:eastAsia="方正仿宋"/>
          <w:kern w:val="0"/>
          <w:sz w:val="28"/>
          <w:szCs w:val="28"/>
          <w:highlight w:val="none"/>
        </w:rPr>
        <w:t>.甲方不得借助乙方品牌、声誉开展营销宣传</w:t>
      </w:r>
      <w:r>
        <w:rPr>
          <w:rFonts w:hint="eastAsia" w:ascii="方正仿宋" w:hAnsi="宋体" w:eastAsia="方正仿宋"/>
          <w:kern w:val="0"/>
          <w:sz w:val="28"/>
          <w:szCs w:val="28"/>
          <w:highlight w:val="none"/>
          <w:lang w:eastAsia="zh-CN"/>
        </w:rPr>
        <w:t>；</w:t>
      </w:r>
    </w:p>
    <w:p>
      <w:pPr>
        <w:adjustRightInd w:val="0"/>
        <w:snapToGrid w:val="0"/>
        <w:spacing w:line="336"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w:t>
      </w:r>
      <w:r>
        <w:rPr>
          <w:rFonts w:hint="eastAsia" w:ascii="方正仿宋" w:hAnsi="宋体" w:eastAsia="方正仿宋"/>
          <w:kern w:val="0"/>
          <w:sz w:val="28"/>
          <w:szCs w:val="28"/>
          <w:highlight w:val="none"/>
          <w:lang w:val="en-US" w:eastAsia="zh-CN"/>
        </w:rPr>
        <w:t>5</w:t>
      </w:r>
      <w:r>
        <w:rPr>
          <w:rFonts w:hint="eastAsia" w:ascii="方正仿宋" w:hAnsi="宋体" w:eastAsia="方正仿宋"/>
          <w:kern w:val="0"/>
          <w:sz w:val="28"/>
          <w:szCs w:val="28"/>
          <w:highlight w:val="none"/>
        </w:rPr>
        <w:t>.按照合同约定管理理财产品的投资运作，确保该产品不存在结构化问题（包括发行和交易环节）、非法代持、利益输送等情况</w:t>
      </w:r>
      <w:r>
        <w:rPr>
          <w:rFonts w:hint="eastAsia" w:ascii="方正仿宋" w:hAnsi="宋体" w:eastAsia="方正仿宋"/>
          <w:kern w:val="0"/>
          <w:sz w:val="28"/>
          <w:szCs w:val="28"/>
          <w:highlight w:val="none"/>
          <w:lang w:eastAsia="zh-CN"/>
        </w:rPr>
        <w:t>；</w:t>
      </w:r>
    </w:p>
    <w:p>
      <w:pPr>
        <w:adjustRightInd w:val="0"/>
        <w:snapToGrid w:val="0"/>
        <w:spacing w:line="336"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1</w:t>
      </w:r>
      <w:r>
        <w:rPr>
          <w:rFonts w:hint="eastAsia" w:ascii="方正仿宋" w:hAnsi="宋体" w:eastAsia="方正仿宋"/>
          <w:kern w:val="0"/>
          <w:sz w:val="28"/>
          <w:szCs w:val="28"/>
          <w:highlight w:val="none"/>
          <w:lang w:val="en-US" w:eastAsia="zh-CN"/>
        </w:rPr>
        <w:t>6</w:t>
      </w:r>
      <w:r>
        <w:rPr>
          <w:rFonts w:hint="eastAsia" w:ascii="方正仿宋" w:hAnsi="宋体" w:eastAsia="方正仿宋"/>
          <w:kern w:val="0"/>
          <w:sz w:val="28"/>
          <w:szCs w:val="28"/>
          <w:highlight w:val="none"/>
        </w:rPr>
        <w:t>.法律、法规、监管机构有关规定及本合同约定的其他义务。</w:t>
      </w:r>
    </w:p>
    <w:p>
      <w:pPr>
        <w:pStyle w:val="3"/>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第</w:t>
      </w:r>
      <w:r>
        <w:rPr>
          <w:rFonts w:hint="eastAsia" w:ascii="方正仿宋" w:hAnsi="宋体" w:eastAsia="方正仿宋"/>
          <w:b w:val="0"/>
          <w:bCs w:val="0"/>
          <w:kern w:val="0"/>
          <w:sz w:val="28"/>
          <w:szCs w:val="28"/>
          <w:highlight w:val="none"/>
        </w:rPr>
        <w:t>二</w:t>
      </w:r>
      <w:r>
        <w:rPr>
          <w:rFonts w:hint="eastAsia" w:ascii="方正仿宋" w:hAnsi="宋体" w:eastAsia="方正仿宋"/>
          <w:kern w:val="0"/>
          <w:sz w:val="28"/>
          <w:szCs w:val="28"/>
          <w:highlight w:val="none"/>
        </w:rPr>
        <w:t>条</w:t>
      </w:r>
      <w:r>
        <w:rPr>
          <w:rFonts w:ascii="方正仿宋" w:hAnsi="宋体" w:eastAsia="方正仿宋"/>
          <w:kern w:val="0"/>
          <w:sz w:val="28"/>
          <w:szCs w:val="28"/>
          <w:highlight w:val="none"/>
        </w:rPr>
        <w:t xml:space="preserve">  </w:t>
      </w:r>
      <w:r>
        <w:rPr>
          <w:rFonts w:hint="eastAsia" w:ascii="方正仿宋" w:hAnsi="宋体" w:eastAsia="方正仿宋"/>
          <w:kern w:val="0"/>
          <w:sz w:val="28"/>
          <w:szCs w:val="28"/>
          <w:highlight w:val="none"/>
        </w:rPr>
        <w:t>乙方的权利与义务</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（一）乙方的权利</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1.根据本合同及法律法规规定对甲方的投资运作进行监督</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2.向甲方查询理财产品的经营运作情况，从甲方及时获得本理财产品相关的数据和文件</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3.按照本合同的约定收取托管费</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4.法律、法规、监管机构有关规定及本合同约定的其他权利。</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（二）乙方的义务</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1.安全保管托管账户内的理财产品财产，乙方应以诚实信用、勤勉尽责的原则安全保管理财产品财产，并保证所托管的理财产品财产和乙方自有资产及所托管的其它资产之间相互独立，不从事有损理财产品财产及理财产品其他当事人利益的活动，未获取甲方发送的符合本合同约定的指令，乙方不得自行运用、处分、分配任何理财产品财产，但法律法规及有权机关另有要求的除外；</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2.在托管关系存续期间，持续保持担任理财产品财产的托管资格和能力，具有符合要求的营业场所，配备足够的、合格的熟悉托管业务的专职人员，负责理财产品托管事宜</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3.代理或协助甲方为每只理财产品开立、管理、变更、撤销托管账户、专用存款账户、银行间债券账户等账户并保管相关业务资料，不同托管账户中的资产应当相互独立；</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4.按照甲方符合国家法律法规和本合同约定的理财资金管理运用指令，及时办理理财产品的清算、交割事宜；</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5.对托管资产进行估值和会计核算，每只理财产品单独建账、单独核算，对理财产品的资产、负债等会计要素进行确认、计量，与甲方建立对账机制，复核、审查理财产品资金头寸、资产账目、资产净值、认购和赎回价格等数据，及时核查认购、赎回以及投资资金的支付和到账情况；</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6.按照本合同及各理财产品《投资监督事项表》的约定监督理财产品投资运作，发现甲方违反法律、行政法规、规章等相关规定或本合同约定进行投资的，应当拒绝执行，及时通知甲方并根据监管要求向银行业监督管理机构报告；</w:t>
      </w:r>
    </w:p>
    <w:p>
      <w:pPr>
        <w:numPr>
          <w:ilvl w:val="0"/>
          <w:numId w:val="0"/>
        </w:numPr>
        <w:autoSpaceDE/>
        <w:autoSpaceDN/>
        <w:adjustRightInd/>
        <w:snapToGrid/>
        <w:spacing w:line="590" w:lineRule="exact"/>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7.根据法律法规及监管规定要求办理与理财产品托管业务活动相关的信息披露事项，包括披露理财产品托管合同、对理财产品信息披露文件中的理财产品财务会计报告等信息及时进行复核审查并出具意见，以及在公募理财产品半年度和年度报告中出具理财托管机构报告等；</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8.理财托管业务活动的记录、账册等相关资料保存</w:t>
      </w:r>
      <w:r>
        <w:rPr>
          <w:rFonts w:hint="eastAsia" w:ascii="方正仿宋" w:hAnsi="宋体" w:eastAsia="方正仿宋" w:cs="Times New Roman"/>
          <w:kern w:val="0"/>
          <w:sz w:val="28"/>
          <w:szCs w:val="28"/>
          <w:highlight w:val="none"/>
          <w:lang w:val="en-US" w:eastAsia="zh-CN" w:bidi="ar-SA"/>
        </w:rPr>
        <w:t>15</w:t>
      </w:r>
      <w:r>
        <w:rPr>
          <w:rFonts w:hint="eastAsia" w:ascii="方正仿宋" w:hAnsi="宋体" w:eastAsia="方正仿宋"/>
          <w:kern w:val="0"/>
          <w:sz w:val="28"/>
          <w:szCs w:val="28"/>
          <w:highlight w:val="none"/>
        </w:rPr>
        <w:t>年以上；</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9.对理财产品投资信息和相关资料承担保密责任，除法律、行政法规、规章规定、审计要求或者本合同约定外，不得向任何机构或者个人提供相关信息和资料</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10.根据有关法律法规和本合同的约定，接受甲方的监督</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11.除本合同另有约定外，未经甲方书面同意不得擅自单方解除本合同，否则应承担因此给理财产品财产和甲方造成的经济损失</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12.乙方应按照反洗钱、反恐怖融资相关法律法规与监管规定要求履行相应的反洗钱义务，建立健全反洗钱内部控制机制，并为甲方履行其反洗钱义务提供必要的协助</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4513580</wp:posOffset>
                </wp:positionH>
                <wp:positionV relativeFrom="paragraph">
                  <wp:posOffset>1811020</wp:posOffset>
                </wp:positionV>
                <wp:extent cx="635" cy="635"/>
                <wp:effectExtent l="0" t="0" r="0" b="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1" name="墨迹 1"/>
                            <w14:cNvContentPartPr/>
                          </w14:nvContentPartPr>
                          <w14:xfrm>
                            <a:off x="5656580" y="10041890"/>
                            <a:ext cx="635" cy="635"/>
                          </w14:xfrm>
                        </w14:contentPart>
                      </mc:Choice>
                    </mc:AlternateContent>
                  </a:graphicData>
                </a:graphic>
              </wp:anchor>
            </w:drawing>
          </mc:Choice>
          <mc:Fallback>
            <w:pict>
              <v:shape id="_x0000_s1026" o:spid="_x0000_s1026" o:spt="75" style="position:absolute;left:0pt;margin-left:355.4pt;margin-top:142.6pt;height:0.05pt;width:0.05pt;z-index:251659264;mso-width-relative:page;mso-height-relative:page;" coordsize="21600,21600" o:gfxdata="UEsDBAoAAAAAAIdO4kAAAAAAAAAAAAAAAAAEAAAAZHJzL1BLAwQUAAAACACHTuJAKYqHqtkAAAAL&#10;AQAADwAAAGRycy9kb3ducmV2LnhtbE2Py0oDMRSG94LvEI7gziYzXtqOkykitAsRirUI7tLJMRnM&#10;ZZik7ejTe+pGl/+F/3ynXozesQMOqYtBQjERwDC0UXfBSNi+Lq9mwFJWQSsXA0r4wgSL5vysVpWO&#10;x/CCh002jEZCqpQEm3NfcZ5ai16lSewxUPYRB68yycFwPagjjXvHSyHuuFddoAtW9fhosf3c7L2E&#10;Z/M+X38P49tKWfFwszJuvXxyUl5eFOIeWMYx/5XhhE/o0BDTLu6DTsxJmBaC0LOEcnZbAqMGOXNg&#10;u1/nGnhT8/8/ND9QSwMEFAAAAAgAh07iQLRFlnyNAQAAdwMAAA4AAABkcnMvZTJvRG9jLnhtbK1T&#10;3U7CMBi9N/Edmt7LNgSCCxsXEhMuRC70AWrXssa1Xb4WBq/jla/glU9j4mP4bQMBjQkxZknT7nTn&#10;5zvZaLzWBVkJcMqahEadkBJhuM2UWST04f7mYkiJ88xkrLBGJHQjHB2n52ejqoxF1+a2yAQQJDEu&#10;rsqE5t6XcRA4ngvNXMeWwiAoLWjm8QiLIANWIbsugm4YDoLKQlaC5cI5fDtpQbplhFMIrZSKi4nl&#10;Sy2Mb1lBFMxjJJer0tG0cSul4P5OSic8KRKKSX2zogjuH+s1SEcsXgArc8W3FtgpFr5l0kwZFP2i&#10;mjDPyBLUDyqtOFhnpe9wq4M2SDMRTBGF32YzNU91kqjHlxBzazymnTPwu+k3wF8kdIHxq1ubYb+8&#10;gH8ePoFYZQmFaRbt7ZvV9T7AHPaxZqs5kPp+RIlhGh29P798vL2SqC5nF352/DkiwRb6jXgtQdeN&#10;4IzJOqH9AT5DrH2DSmHYi4ZX2/bF2hOONwaXfUo4wvXmQKAl2skd1IAejgo/PNf+Dv6X9BNQSwME&#10;CgAAAAAAh07iQAAAAAAAAAAAAAAAAAgAAABkcnMvaW5rL1BLAwQUAAAACACHTuJAQrV8aaUBAADh&#10;AwAAEAAAAGRycy9pbmsvaW5rMS54bWydU09rgzAUvw/2HUJ66GXVGG1Rqe2tMNhgbB1sR6tpDdWk&#10;JLG2334xalpYt0NBRN/L+/1572W+PFUlOBIhKWcJ9BwEAWEZzynbJfBzvZqEEEiVsjwtOSMJPBMJ&#10;l4vHhzll+6qM9RtoBCbbr6pMYKHUIXbdpmmcxne42LkYId99ZvvXF7joq3KypYwqTSmHUMaZIifV&#10;gsU0T2CmTsie19gfvBYZsek2IrLLCSXSjKy4qFJlEYuUMVICllZa9xcE6nzQH1Tz7IiAoNYKpCaq&#10;oHu75Pv/Etc4jv9mfhP8QISi5GKyk9QnziDr/o26TqYgkpd12xkIjmlZa8E4dPxgFkxnswhHnh9Y&#10;5Z57Q/tvbG3jfuzeZC/02lGfsaMZeqhoRfTCVAc7KyX1UrXhDyXMWmGEgwmKJjhYe9NYPz5uZzBw&#10;dZsw4G1ELQuLtRGXmZuM9dt5bGiuCts65KApjrDt2HW/blUXhO4KdXd5xkuuF6uf22gbohlCV84M&#10;pfV54xKYXQL9VXgn2wSOzD0AprILmA5EXuQBzwtD7D+N0RgNvTMAlkHPZ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APBwAAW0Nv&#10;bnRlbnRfVHlwZXNdLnhtbFBLAQIUAAoAAAAAAIdO4kAAAAAAAAAAAAAAAAAGAAAAAAAAAAAAEAAA&#10;ANoEAABfcmVscy9QSwECFAAUAAAACACHTuJAihRmPNEAAACUAQAACwAAAAAAAAABACAAAAD+BAAA&#10;X3JlbHMvLnJlbHNQSwECFAAKAAAAAACHTuJAAAAAAAAAAAAAAAAABAAAAAAAAAAAABAAAAAAAAAA&#10;ZHJzL1BLAQIUAAoAAAAAAIdO4kAAAAAAAAAAAAAAAAAKAAAAAAAAAAAAEAAAAPgFAABkcnMvX3Jl&#10;bHMvUEsBAhQAFAAAAAgAh07iQHkYvJ24AAAAIQEAABkAAAAAAAAAAQAgAAAAIAYAAGRycy9fcmVs&#10;cy9lMm9Eb2MueG1sLnJlbHNQSwECFAAUAAAACACHTuJAKYqHqtkAAAALAQAADwAAAAAAAAABACAA&#10;AAAiAAAAZHJzL2Rvd25yZXYueG1sUEsBAhQAFAAAAAgAh07iQLRFlnyNAQAAdwMAAA4AAAAAAAAA&#10;AQAgAAAAKAEAAGRycy9lMm9Eb2MueG1sUEsBAhQACgAAAAAAh07iQAAAAAAAAAAAAAAAAAgAAAAA&#10;AAAAAAAQAAAA4QIAAGRycy9pbmsvUEsBAhQAFAAAAAgAh07iQEK1fGmlAQAA4QMAABAAAAAAAAAA&#10;AQAgAAAABwMAAGRycy9pbmsvaW5rMS54bWxQSwUGAAAAAAoACgBMAgAARQgAAAAA&#10;">
                <v:imagedata r:id="rId5" o:title=""/>
                <o:lock v:ext="edit"/>
              </v:shape>
            </w:pict>
          </mc:Fallback>
        </mc:AlternateContent>
      </w:r>
      <w:r>
        <w:rPr>
          <w:rFonts w:hint="eastAsia" w:ascii="方正仿宋" w:hAnsi="宋体" w:eastAsia="方正仿宋"/>
          <w:kern w:val="0"/>
          <w:sz w:val="28"/>
          <w:szCs w:val="28"/>
          <w:highlight w:val="none"/>
        </w:rPr>
        <w:t>13.乙方不得有以下行为：（一）混同托管资产与乙方自有财产；（二）混同不同的托管资产；（三）侵占、挪用托管资产；（四）进行不正当竞争；（五）非法利用内部信息谋取不正当利益；（六）参与托管资产的投资决策；（七）从事法律法规禁止的其他行为；（八）从事本合同未约定的其他行为</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eastAsia="zh-CN"/>
        </w:rPr>
      </w:pPr>
      <w:r>
        <w:rPr>
          <w:rFonts w:hint="eastAsia" w:ascii="方正仿宋" w:hAnsi="宋体" w:eastAsia="方正仿宋"/>
          <w:kern w:val="0"/>
          <w:sz w:val="28"/>
          <w:szCs w:val="28"/>
          <w:highlight w:val="none"/>
        </w:rPr>
        <w:t>14.未经甲方书面同意，乙方不得将托管业务转委托给第三方</w:t>
      </w:r>
      <w:r>
        <w:rPr>
          <w:rFonts w:hint="eastAsia" w:ascii="方正仿宋" w:hAnsi="宋体" w:eastAsia="方正仿宋"/>
          <w:kern w:val="0"/>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15.法律法规规定或本合同约定的其他义务。</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（三）乙方承担的托管职责仅限于法律法规规定和本合同约定，对实际管控的托管资金账户及账户内资产承担保管职责。乙方的托管职责不包含以下内容，法律法规另有规定或本合同另有约定的除外。</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lang w:val="en-US" w:eastAsia="zh-CN"/>
        </w:rPr>
        <w:t>1.</w:t>
      </w:r>
      <w:r>
        <w:rPr>
          <w:rFonts w:hint="eastAsia" w:ascii="方正仿宋" w:hAnsi="宋体" w:eastAsia="方正仿宋"/>
          <w:kern w:val="0"/>
          <w:sz w:val="28"/>
          <w:szCs w:val="28"/>
          <w:highlight w:val="none"/>
        </w:rPr>
        <w:t>投资者的适当性管理；</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2.</w:t>
      </w:r>
      <w:r>
        <w:rPr>
          <w:rFonts w:hint="eastAsia" w:ascii="方正仿宋" w:hAnsi="宋体" w:eastAsia="方正仿宋"/>
          <w:kern w:val="0"/>
          <w:sz w:val="28"/>
          <w:szCs w:val="28"/>
          <w:highlight w:val="none"/>
        </w:rPr>
        <w:t>审核项目及交易信息真实性；</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3.</w:t>
      </w:r>
      <w:r>
        <w:rPr>
          <w:rFonts w:hint="eastAsia" w:ascii="方正仿宋" w:hAnsi="宋体" w:eastAsia="方正仿宋"/>
          <w:kern w:val="0"/>
          <w:sz w:val="28"/>
          <w:szCs w:val="28"/>
          <w:highlight w:val="none"/>
        </w:rPr>
        <w:t>审查托管产品以及托管产品资金来源的合法合规性；</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4.</w:t>
      </w:r>
      <w:r>
        <w:rPr>
          <w:rFonts w:hint="eastAsia" w:ascii="方正仿宋" w:hAnsi="宋体" w:eastAsia="方正仿宋"/>
          <w:kern w:val="0"/>
          <w:sz w:val="28"/>
          <w:szCs w:val="28"/>
          <w:highlight w:val="none"/>
        </w:rPr>
        <w:t>对托管产品本金及收益提供保证或承诺；</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5.</w:t>
      </w:r>
      <w:r>
        <w:rPr>
          <w:rFonts w:hint="eastAsia" w:ascii="方正仿宋" w:hAnsi="宋体" w:eastAsia="方正仿宋"/>
          <w:kern w:val="0"/>
          <w:sz w:val="28"/>
          <w:szCs w:val="28"/>
          <w:highlight w:val="none"/>
        </w:rPr>
        <w:t>对已划出托管账户以及处于乙方实际控制之外的资产的保管责任；</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6.</w:t>
      </w:r>
      <w:r>
        <w:rPr>
          <w:rFonts w:hint="eastAsia" w:ascii="方正仿宋" w:hAnsi="宋体" w:eastAsia="方正仿宋"/>
          <w:kern w:val="0"/>
          <w:sz w:val="28"/>
          <w:szCs w:val="28"/>
          <w:highlight w:val="none"/>
        </w:rPr>
        <w:t>对未兑付托管产品后续资金的追偿；</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7.</w:t>
      </w:r>
      <w:r>
        <w:rPr>
          <w:rFonts w:hint="eastAsia" w:ascii="方正仿宋" w:hAnsi="宋体" w:eastAsia="方正仿宋"/>
          <w:kern w:val="0"/>
          <w:sz w:val="28"/>
          <w:szCs w:val="28"/>
          <w:highlight w:val="none"/>
        </w:rPr>
        <w:t>主会计方未接受乙方的复核意见进行信息披露产生的相应责任；</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8.</w:t>
      </w:r>
      <w:r>
        <w:rPr>
          <w:rFonts w:hint="eastAsia" w:ascii="方正仿宋" w:hAnsi="宋体" w:eastAsia="方正仿宋"/>
          <w:kern w:val="0"/>
          <w:sz w:val="28"/>
          <w:szCs w:val="28"/>
          <w:highlight w:val="none"/>
        </w:rPr>
        <w:t>因不可抗力，以及由于第三方（包括但不限于证券交易所、期货交易所、中国证券登记结算公司、中国期货市场监控中心等）发送或提供的数据错误及合理信赖上述信息操作给托管资产造成的损失；</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lang w:val="en-US" w:eastAsia="zh-CN"/>
        </w:rPr>
        <w:t>9.</w:t>
      </w:r>
      <w:r>
        <w:rPr>
          <w:rFonts w:hint="eastAsia" w:ascii="方正仿宋" w:hAnsi="宋体" w:eastAsia="方正仿宋"/>
          <w:kern w:val="0"/>
          <w:sz w:val="28"/>
          <w:szCs w:val="28"/>
          <w:highlight w:val="none"/>
        </w:rPr>
        <w:t>负责未兑付理财产品的后续管理，包括资金追偿、财产保全、诉讼仲裁、债务重组和破产程序等</w:t>
      </w:r>
      <w:r>
        <w:rPr>
          <w:rFonts w:hint="eastAsia" w:ascii="方正仿宋" w:hAnsi="宋体" w:eastAsia="方正仿宋"/>
          <w:kern w:val="0"/>
          <w:sz w:val="28"/>
          <w:szCs w:val="28"/>
          <w:highlight w:val="none"/>
          <w:lang w:eastAsia="zh-CN"/>
        </w:rPr>
        <w:t>；</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10.</w:t>
      </w:r>
      <w:r>
        <w:rPr>
          <w:rFonts w:hint="eastAsia" w:ascii="方正仿宋" w:hAnsi="宋体" w:eastAsia="方正仿宋"/>
          <w:kern w:val="0"/>
          <w:sz w:val="28"/>
          <w:szCs w:val="28"/>
          <w:highlight w:val="none"/>
        </w:rPr>
        <w:t>提供保证或其他形式的担保；</w:t>
      </w:r>
      <w:r>
        <w:rPr>
          <w:rFonts w:hint="eastAsia" w:ascii="方正仿宋" w:hAnsi="宋体" w:eastAsia="方正仿宋"/>
          <w:kern w:val="0"/>
          <w:sz w:val="28"/>
          <w:szCs w:val="28"/>
          <w:highlight w:val="none"/>
        </w:rPr>
        <w:br w:type="textWrapping"/>
      </w:r>
      <w:r>
        <w:rPr>
          <w:rFonts w:hint="eastAsia" w:ascii="方正仿宋" w:hAnsi="宋体" w:eastAsia="方正仿宋"/>
          <w:kern w:val="0"/>
          <w:sz w:val="28"/>
          <w:szCs w:val="28"/>
          <w:highlight w:val="none"/>
        </w:rPr>
        <w:t>　　</w:t>
      </w:r>
      <w:r>
        <w:rPr>
          <w:rFonts w:hint="eastAsia" w:ascii="方正仿宋" w:hAnsi="宋体" w:eastAsia="方正仿宋"/>
          <w:kern w:val="0"/>
          <w:sz w:val="28"/>
          <w:szCs w:val="28"/>
          <w:highlight w:val="none"/>
          <w:lang w:val="en-US" w:eastAsia="zh-CN"/>
        </w:rPr>
        <w:t>11.</w:t>
      </w:r>
      <w:r>
        <w:rPr>
          <w:rFonts w:hint="eastAsia" w:ascii="方正仿宋" w:hAnsi="宋体" w:eastAsia="方正仿宋"/>
          <w:kern w:val="0"/>
          <w:sz w:val="28"/>
          <w:szCs w:val="28"/>
          <w:highlight w:val="none"/>
        </w:rPr>
        <w:t>自身应尽职责之外的连带责任。</w:t>
      </w:r>
    </w:p>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第三条</w:t>
      </w:r>
      <w:r>
        <w:rPr>
          <w:rFonts w:ascii="方正仿宋" w:hAnsi="宋体" w:eastAsia="方正仿宋"/>
          <w:sz w:val="28"/>
          <w:szCs w:val="28"/>
          <w:highlight w:val="none"/>
        </w:rPr>
        <w:t xml:space="preserve">  </w:t>
      </w:r>
      <w:r>
        <w:rPr>
          <w:rFonts w:hint="eastAsia" w:ascii="方正仿宋" w:hAnsi="宋体" w:eastAsia="方正仿宋"/>
          <w:kern w:val="0"/>
          <w:sz w:val="28"/>
          <w:szCs w:val="28"/>
          <w:highlight w:val="none"/>
        </w:rPr>
        <w:t>托管资产交付和保管</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（一）本合同所称托管资产是指每只理财产品项下所募集或申购并且按照本合同交由乙方托管的现金类资产。</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（二）甲方在每只理财产品成立前至少</w:t>
      </w:r>
      <w:r>
        <w:rPr>
          <w:rFonts w:hint="eastAsia" w:ascii="方正仿宋" w:hAnsi="宋体" w:eastAsia="方正仿宋" w:cs="Times New Roman"/>
          <w:kern w:val="0"/>
          <w:sz w:val="28"/>
          <w:szCs w:val="28"/>
          <w:highlight w:val="none"/>
          <w:lang w:val="en-US" w:eastAsia="zh-CN" w:bidi="ar-SA"/>
        </w:rPr>
        <w:t>3</w:t>
      </w:r>
      <w:r>
        <w:rPr>
          <w:rFonts w:hint="eastAsia" w:ascii="方正仿宋" w:hAnsi="宋体" w:eastAsia="方正仿宋"/>
          <w:kern w:val="0"/>
          <w:sz w:val="28"/>
          <w:szCs w:val="28"/>
          <w:highlight w:val="none"/>
        </w:rPr>
        <w:t>个工作日向乙方提交书面《理财产品成立要素函》（附件一），乙方为每只理财产品单独开立托管账户。</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（三）甲方在每只理财产品成立当日或申购确认日将理财产品项下全部理财资金（如有）转入本合同项下为该只理财产品开立的托管账户（以下简称“托管账户”）。</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（四）理财产品通过认、申购资金清算专用账户将理财产品初始募集资金、成立后的申购资金划入托管账户，理财产品成立后的赎回、分红及兑付资金通过托管账户划至赎回、分红资金清算专用账户。</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人民币产品：</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认、申购资金清算专用账户信息如下：</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账户名：</w:t>
      </w:r>
      <w:bookmarkStart w:id="6" w:name="Text11"/>
      <w:r>
        <w:rPr>
          <w:rFonts w:hint="eastAsia" w:ascii="方正仿宋" w:hAnsi="宋体" w:eastAsia="方正仿宋" w:cs="Times New Roman"/>
          <w:kern w:val="0"/>
          <w:sz w:val="28"/>
          <w:szCs w:val="28"/>
          <w:highlight w:val="none"/>
          <w:lang w:val="en-US" w:eastAsia="zh-CN" w:bidi="ar-SA"/>
        </w:rPr>
        <w:fldChar w:fldCharType="begin">
          <w:ffData>
            <w:name w:val="Text11"/>
            <w:enabled/>
            <w:calcOnExit w:val="0"/>
            <w:textInput>
              <w:default w:val="北银理财有限责任公司"/>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北银理财有限责任公司</w:t>
      </w:r>
      <w:r>
        <w:rPr>
          <w:rFonts w:hint="eastAsia" w:ascii="方正仿宋" w:hAnsi="宋体" w:eastAsia="方正仿宋" w:cs="Times New Roman"/>
          <w:kern w:val="0"/>
          <w:sz w:val="28"/>
          <w:szCs w:val="28"/>
          <w:highlight w:val="none"/>
          <w:lang w:val="en-US" w:eastAsia="zh-CN" w:bidi="ar-SA"/>
        </w:rPr>
        <w:fldChar w:fldCharType="end"/>
      </w:r>
      <w:bookmarkEnd w:id="6"/>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账号：</w:t>
      </w:r>
      <w:bookmarkStart w:id="7" w:name="Text12"/>
      <w:r>
        <w:rPr>
          <w:rFonts w:hint="eastAsia" w:ascii="方正仿宋" w:hAnsi="宋体" w:eastAsia="方正仿宋"/>
          <w:sz w:val="28"/>
          <w:szCs w:val="28"/>
          <w:highlight w:val="none"/>
        </w:rPr>
        <w:t>20000062834000108333051</w:t>
      </w:r>
      <w:bookmarkEnd w:id="7"/>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开户行全称：北京银行股份有限公司总行营业部</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赎回、分红资金清算专用账户信息如下：</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账户名：</w:t>
      </w:r>
      <w:bookmarkStart w:id="8" w:name="Text13"/>
      <w:r>
        <w:rPr>
          <w:rFonts w:hint="eastAsia" w:ascii="方正仿宋" w:hAnsi="宋体" w:eastAsia="方正仿宋" w:cs="Times New Roman"/>
          <w:kern w:val="0"/>
          <w:sz w:val="28"/>
          <w:szCs w:val="28"/>
          <w:highlight w:val="none"/>
          <w:lang w:val="en-US" w:eastAsia="zh-CN" w:bidi="ar-SA"/>
        </w:rPr>
        <w:fldChar w:fldCharType="begin">
          <w:ffData>
            <w:name w:val="Text13"/>
            <w:enabled/>
            <w:calcOnExit w:val="0"/>
            <w:textInput>
              <w:default w:val="北银理财有限责任公司"/>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北银理财有限责任公司</w:t>
      </w:r>
      <w:r>
        <w:rPr>
          <w:rFonts w:hint="eastAsia" w:ascii="方正仿宋" w:hAnsi="宋体" w:eastAsia="方正仿宋" w:cs="Times New Roman"/>
          <w:kern w:val="0"/>
          <w:sz w:val="28"/>
          <w:szCs w:val="28"/>
          <w:highlight w:val="none"/>
          <w:lang w:val="en-US" w:eastAsia="zh-CN" w:bidi="ar-SA"/>
        </w:rPr>
        <w:fldChar w:fldCharType="end"/>
      </w:r>
      <w:bookmarkEnd w:id="8"/>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账号：</w:t>
      </w:r>
      <w:bookmarkStart w:id="9" w:name="Text14"/>
      <w:r>
        <w:rPr>
          <w:rFonts w:hint="eastAsia" w:ascii="方正仿宋" w:hAnsi="宋体" w:eastAsia="方正仿宋"/>
          <w:sz w:val="28"/>
          <w:szCs w:val="28"/>
          <w:highlight w:val="none"/>
        </w:rPr>
        <w:t>20000062834000108333660</w:t>
      </w:r>
      <w:bookmarkEnd w:id="9"/>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开户行全称：北京银行股份有限公司总行营业部</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美元产品：</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认、申购资金清算专用账户信息如下：</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账户名：</w:t>
      </w:r>
      <w:bookmarkStart w:id="10" w:name="Text15"/>
      <w:r>
        <w:rPr>
          <w:rFonts w:hint="eastAsia" w:ascii="方正仿宋" w:hAnsi="宋体" w:eastAsia="方正仿宋" w:cs="Times New Roman"/>
          <w:kern w:val="0"/>
          <w:sz w:val="28"/>
          <w:szCs w:val="28"/>
          <w:highlight w:val="none"/>
          <w:lang w:val="en-US" w:eastAsia="zh-CN" w:bidi="ar-SA"/>
        </w:rPr>
        <w:fldChar w:fldCharType="begin">
          <w:ffData>
            <w:name w:val="Text15"/>
            <w:enabled/>
            <w:calcOnExit w:val="0"/>
            <w:textInput>
              <w:default w:val="北银理财有限责任公司"/>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北银理财有限责任公司</w:t>
      </w:r>
      <w:r>
        <w:rPr>
          <w:rFonts w:hint="eastAsia" w:ascii="方正仿宋" w:hAnsi="宋体" w:eastAsia="方正仿宋" w:cs="Times New Roman"/>
          <w:kern w:val="0"/>
          <w:sz w:val="28"/>
          <w:szCs w:val="28"/>
          <w:highlight w:val="none"/>
          <w:lang w:val="en-US" w:eastAsia="zh-CN" w:bidi="ar-SA"/>
        </w:rPr>
        <w:fldChar w:fldCharType="end"/>
      </w:r>
      <w:bookmarkEnd w:id="10"/>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账号：</w:t>
      </w:r>
      <w:bookmarkStart w:id="11" w:name="Text16"/>
      <w:r>
        <w:rPr>
          <w:rFonts w:hint="eastAsia" w:ascii="方正仿宋" w:hAnsi="宋体" w:eastAsia="方正仿宋"/>
          <w:sz w:val="28"/>
          <w:szCs w:val="28"/>
          <w:highlight w:val="none"/>
        </w:rPr>
        <w:t>20000062834000121208818</w:t>
      </w:r>
      <w:bookmarkEnd w:id="11"/>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开户行全称：北京银行总行营业部</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rPr>
        <w:t>赎回、分红资金</w:t>
      </w:r>
      <w:r>
        <w:rPr>
          <w:rFonts w:hint="eastAsia" w:ascii="方正仿宋" w:hAnsi="宋体" w:eastAsia="方正仿宋"/>
          <w:kern w:val="0"/>
          <w:sz w:val="28"/>
          <w:szCs w:val="28"/>
          <w:highlight w:val="none"/>
          <w:lang w:val="en-US" w:eastAsia="zh-CN"/>
        </w:rPr>
        <w:t>清算专用账户信息如下：</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账户名：</w:t>
      </w:r>
      <w:bookmarkStart w:id="12" w:name="Text17"/>
      <w:r>
        <w:rPr>
          <w:rFonts w:hint="eastAsia" w:ascii="方正仿宋" w:hAnsi="宋体" w:eastAsia="方正仿宋" w:cs="Times New Roman"/>
          <w:kern w:val="0"/>
          <w:sz w:val="28"/>
          <w:szCs w:val="28"/>
          <w:highlight w:val="none"/>
          <w:lang w:val="en-US" w:eastAsia="zh-CN" w:bidi="ar-SA"/>
        </w:rPr>
        <w:fldChar w:fldCharType="begin">
          <w:ffData>
            <w:name w:val="Text17"/>
            <w:enabled/>
            <w:calcOnExit w:val="0"/>
            <w:textInput>
              <w:default w:val="北银理财有限责任公司"/>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北银理财有限责任公司</w:t>
      </w:r>
      <w:r>
        <w:rPr>
          <w:rFonts w:hint="eastAsia" w:ascii="方正仿宋" w:hAnsi="宋体" w:eastAsia="方正仿宋" w:cs="Times New Roman"/>
          <w:kern w:val="0"/>
          <w:sz w:val="28"/>
          <w:szCs w:val="28"/>
          <w:highlight w:val="none"/>
          <w:lang w:val="en-US" w:eastAsia="zh-CN" w:bidi="ar-SA"/>
        </w:rPr>
        <w:fldChar w:fldCharType="end"/>
      </w:r>
      <w:bookmarkEnd w:id="12"/>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账号：</w:t>
      </w:r>
      <w:bookmarkStart w:id="13" w:name="Text18"/>
      <w:r>
        <w:rPr>
          <w:rFonts w:hint="eastAsia" w:ascii="方正仿宋" w:hAnsi="宋体" w:eastAsia="方正仿宋"/>
          <w:sz w:val="28"/>
          <w:szCs w:val="28"/>
          <w:highlight w:val="none"/>
        </w:rPr>
        <w:t>20000062834000121211596</w:t>
      </w:r>
      <w:bookmarkEnd w:id="13"/>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kern w:val="0"/>
          <w:sz w:val="28"/>
          <w:szCs w:val="28"/>
          <w:highlight w:val="none"/>
          <w:lang w:val="en-US" w:eastAsia="zh-CN"/>
        </w:rPr>
        <w:t>开户行全称：北京银行总行营业部</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rPr>
      </w:pPr>
      <w:r>
        <w:rPr>
          <w:rFonts w:hint="eastAsia" w:ascii="方正仿宋" w:hAnsi="宋体" w:eastAsia="方正仿宋"/>
          <w:kern w:val="0"/>
          <w:sz w:val="28"/>
          <w:szCs w:val="28"/>
          <w:highlight w:val="none"/>
        </w:rPr>
        <w:t>未经乙方书面同意，甲方不得变更上述资金清算专用账户。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五</w:t>
      </w:r>
      <w:r>
        <w:rPr>
          <w:rFonts w:hint="eastAsia" w:ascii="方正仿宋" w:hAnsi="宋体" w:eastAsia="方正仿宋" w:cs="Times New Roman"/>
          <w:kern w:val="0"/>
          <w:sz w:val="28"/>
          <w:szCs w:val="28"/>
          <w:highlight w:val="none"/>
        </w:rPr>
        <w:t>）甲方在理财产品成立当日向乙方提交理财产品相关文件，包括但不限于《理财产品说明书》等。甲方对向乙方提供的本理财产品文件的完整性、真实性、合法性和准确性负责，因甲方提供的理财产品文件不实导致的所有后果均由甲方承担。</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六</w:t>
      </w:r>
      <w:r>
        <w:rPr>
          <w:rFonts w:hint="eastAsia" w:ascii="方正仿宋" w:hAnsi="宋体" w:eastAsia="方正仿宋" w:cs="Times New Roman"/>
          <w:kern w:val="0"/>
          <w:sz w:val="28"/>
          <w:szCs w:val="28"/>
          <w:highlight w:val="none"/>
        </w:rPr>
        <w:t>）乙方在收到理财产品成立的相关文件资料，并经确认托管账户内初始委托财产全部到账后，根据本合同的约定履行托管职责。理财产品运作结束并完成托管账户销户之日为乙方的保管期限的终止日。</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eastAsia="zh-CN"/>
        </w:rPr>
        <w:t>七</w:t>
      </w:r>
      <w:r>
        <w:rPr>
          <w:rFonts w:hint="eastAsia" w:ascii="方正仿宋" w:hAnsi="宋体" w:eastAsia="方正仿宋" w:cs="Times New Roman"/>
          <w:kern w:val="0"/>
          <w:sz w:val="28"/>
          <w:szCs w:val="28"/>
          <w:highlight w:val="none"/>
        </w:rPr>
        <w:t>）理财产品托管原则</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1.理财产品财产应独立于甲方和乙方的固有财产。</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2.乙方应安全保管托管账户内的托管资产，确保本合同项下托管资产与乙方自有资金及其他托管资产之间相互独立。</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3.除本合同另有约定外，乙方仅依据经乙方按照本合同约定审核无误的甲方所送达的划款指令、投资指令进行款项划付，除此之外，乙方不得擅自动用或处分、分配托管资产。</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4.乙方对本合同项下每只理财产品的托管资产单独设置托管账户，实行严格的分账管理，确保不同托管账户中的托管资产的相互独立。</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5.乙方就具体每只理财产品项下的托管资产的托管职责始于该只理财产品项下托管资产确认到账之日，终于该只理财产品运作结束并完成托管账户销户之日。</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6.乙方需妥善保管与理财产品有关的材料，包括但不限于以理财产品名义开立的单位定期存款开户证实书等。</w:t>
      </w:r>
    </w:p>
    <w:p>
      <w:pPr>
        <w:pStyle w:val="3"/>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第四条</w:t>
      </w:r>
      <w:r>
        <w:rPr>
          <w:rFonts w:ascii="方正仿宋" w:hAnsi="宋体" w:eastAsia="方正仿宋"/>
          <w:kern w:val="0"/>
          <w:sz w:val="28"/>
          <w:szCs w:val="28"/>
          <w:highlight w:val="none"/>
        </w:rPr>
        <w:t xml:space="preserve">  账户的开立与管理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（一）托管账户的开立和管理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1.甲方应在乙方营业机构为每只理财产品分别开立托管账户。</w:t>
      </w:r>
      <w:r>
        <w:rPr>
          <w:rFonts w:hint="eastAsia" w:ascii="方正仿宋" w:hAnsi="宋体" w:eastAsia="方正仿宋" w:cs="Times New Roman"/>
          <w:kern w:val="0"/>
          <w:sz w:val="28"/>
          <w:szCs w:val="28"/>
          <w:highlight w:val="none"/>
          <w:lang w:val="en-US" w:eastAsia="zh-CN"/>
        </w:rPr>
        <w:t>营业机构为中国民生银行股份有限公司北京分行。</w:t>
      </w:r>
      <w:r>
        <w:rPr>
          <w:rFonts w:hint="eastAsia" w:ascii="方正仿宋" w:hAnsi="宋体" w:eastAsia="方正仿宋" w:cs="Times New Roman"/>
          <w:kern w:val="0"/>
          <w:sz w:val="28"/>
          <w:szCs w:val="28"/>
          <w:highlight w:val="none"/>
        </w:rPr>
        <w:t>理财产品的一切货币收支活动均通过托管账户进行。托管账户可出款日期以开户行执行中国人民银行《人民币银行结算账户管理办法》的具体要求为准。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bookmarkStart w:id="14" w:name="OLE_LINK1"/>
      <w:r>
        <w:rPr>
          <w:rFonts w:hint="eastAsia" w:ascii="方正仿宋" w:hAnsi="宋体" w:eastAsia="方正仿宋" w:cs="Times New Roman"/>
          <w:kern w:val="0"/>
          <w:sz w:val="28"/>
          <w:szCs w:val="28"/>
          <w:highlight w:val="none"/>
        </w:rPr>
        <w:t>2.托管账户</w:t>
      </w:r>
      <w:r>
        <w:rPr>
          <w:rFonts w:hint="eastAsia" w:ascii="方正仿宋" w:hAnsi="宋体" w:eastAsia="方正仿宋" w:cs="Times New Roman"/>
          <w:color w:val="auto"/>
          <w:kern w:val="0"/>
          <w:sz w:val="28"/>
          <w:szCs w:val="28"/>
          <w:highlight w:val="none"/>
          <w:u w:val="none"/>
          <w:shd w:val="clear" w:color="auto" w:fill="auto"/>
        </w:rPr>
        <w:t>以</w:t>
      </w:r>
      <w:r>
        <w:rPr>
          <w:rFonts w:hint="eastAsia" w:ascii="方正仿宋" w:hAnsi="宋体" w:eastAsia="方正仿宋" w:cs="Times New Roman"/>
          <w:color w:val="auto"/>
          <w:kern w:val="0"/>
          <w:sz w:val="28"/>
          <w:szCs w:val="28"/>
          <w:highlight w:val="none"/>
          <w:u w:val="none"/>
          <w:shd w:val="clear" w:color="auto" w:fill="auto"/>
          <w:lang w:val="en-US" w:eastAsia="zh-CN"/>
        </w:rPr>
        <w:t>甲方</w:t>
      </w:r>
      <w:r>
        <w:rPr>
          <w:rFonts w:hint="eastAsia" w:ascii="方正仿宋" w:hAnsi="宋体" w:eastAsia="方正仿宋" w:cs="Times New Roman"/>
          <w:color w:val="auto"/>
          <w:kern w:val="0"/>
          <w:sz w:val="28"/>
          <w:szCs w:val="28"/>
          <w:highlight w:val="none"/>
          <w:u w:val="none"/>
          <w:shd w:val="clear" w:color="auto" w:fill="auto"/>
        </w:rPr>
        <w:t>出具的开户授权文件描述为准，</w:t>
      </w:r>
      <w:r>
        <w:rPr>
          <w:rFonts w:hint="eastAsia" w:ascii="方正仿宋" w:hAnsi="宋体" w:eastAsia="方正仿宋" w:cs="Times New Roman"/>
          <w:kern w:val="0"/>
          <w:sz w:val="28"/>
          <w:szCs w:val="28"/>
          <w:highlight w:val="none"/>
          <w:u w:val="none"/>
          <w:shd w:val="clear"/>
          <w:lang w:val="en-US" w:eastAsia="zh-CN"/>
        </w:rPr>
        <w:t>托管账户的开立符合乙方账户管理要求，乙方应保证托管账户内财产安全。</w:t>
      </w:r>
      <w:r>
        <w:rPr>
          <w:rFonts w:hint="eastAsia" w:ascii="方正仿宋" w:hAnsi="宋体" w:eastAsia="方正仿宋" w:cs="Times New Roman"/>
          <w:kern w:val="0"/>
          <w:sz w:val="28"/>
          <w:szCs w:val="28"/>
          <w:highlight w:val="none"/>
        </w:rPr>
        <w:t>甲方应当在开户过程中给予必要的配合，并提供乙方所要求的开户资料。甲方保证所提供的托管账户开户材料的真实性、准确性、完整性和有效性，且在相关资料变更后应及时将变更的资料提供给乙方。</w:t>
      </w:r>
      <w:r>
        <w:rPr>
          <w:rFonts w:hint="eastAsia" w:ascii="方正仿宋" w:hAnsi="宋体" w:eastAsia="方正仿宋" w:cs="Times New Roman"/>
          <w:kern w:val="0"/>
          <w:sz w:val="28"/>
          <w:szCs w:val="28"/>
          <w:highlight w:val="none"/>
          <w:lang w:eastAsia="zh-CN"/>
        </w:rPr>
        <w:t>甲方</w:t>
      </w:r>
      <w:r>
        <w:rPr>
          <w:rFonts w:hint="eastAsia" w:ascii="方正仿宋" w:hAnsi="宋体" w:eastAsia="方正仿宋" w:cs="Times New Roman"/>
          <w:kern w:val="0"/>
          <w:sz w:val="28"/>
          <w:szCs w:val="28"/>
          <w:highlight w:val="none"/>
        </w:rPr>
        <w:t>应依法履行受益所有人识别义务。在开立托管账户时按照开户银行要求，就相关信息的提供、核实等提供必要的协助，并确保所提供信息以及证明材料的真实性、准确性。</w:t>
      </w:r>
    </w:p>
    <w:bookmarkEnd w:id="14"/>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3.托管账户的开立和管理应符合法律法规的有关规定。</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4.托管账户在理财产品存续期内不可撤销，作为理财资金保管、管理和运用的专用账户，乙方有权拒绝甲方在理财产品存续期内的账户变更、销户申请。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（二）证券账户的开立和管理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委托乙方按照法律法规和开户机构相关业务规则，办理本理财产品专用证券账户开立、使用、注销和转换等事宜。甲方和乙方在办理上述事宜过程中相互配合，并提供所需资料且对各自提供的资料的真实性、准确性、完整性及合法性负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乙方应及时为甲方办妥开户手续，并将专用证券账户开通信息通知甲方。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专用证券账户仅供本理财产品使用，并且只能由甲方使用，不得通过转托管或转指定等方式提供给他人使用，中国证监会另有规定的除外。</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在本理财产品到期结束前，甲方不得将专用证券账户以出租、出借、转让或者其他方式提供给他人使用，不得注销、挂失该账户。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专用证券账户的开立和使用仅限于满足开展本理财产品投资的需要。甲方不得使用本理财产品的任何账户进行本理财产品投资以外的活动。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在账户开立过程中产生的股卡费用，原则上由理财产品的托管资产出资缴纳，由甲方向乙方发送划款指令，通知乙方从理财产品中支付。如遇理财产品成立前缴费情况，甲方可根据公司管理要求由甲方公司垫付相关费用，后期由理财产品依据缴费凭证完成还款。</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（三）证券资金账户的开立和管理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证券资金账户在证券经纪机构开立，并与乙方营业机构开立的银行托管账户建立第三方存管关系。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本理财产品运作期间，甲方进行的所有交易所场内投资，均需通过证券资金账户进行资金的交收。</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四</w:t>
      </w:r>
      <w:r>
        <w:rPr>
          <w:rFonts w:hint="eastAsia" w:ascii="方正仿宋" w:hAnsi="宋体" w:eastAsia="方正仿宋" w:cs="Times New Roman"/>
          <w:kern w:val="0"/>
          <w:sz w:val="28"/>
          <w:szCs w:val="28"/>
          <w:highlight w:val="none"/>
        </w:rPr>
        <w:t>）基金账户和基金交易账户的开立和管理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基金账户由甲方根据投资需要按照开户机构相关规定开立，甲方应保证本理财产品基金投资的回款账户为本理财产品银行托管账户。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本理财产品可通过第三方基金销售机构投资证券投资基金，甲方负责选择销售机构，并根据投资需要按照开户机构相关规定开立基金交易账户，甲方应确保在销售机构预留的备案回款账户为银行托管账户。乙方对于通过第三方基金销售机构投资开放式基金不承担任何风险。</w:t>
      </w:r>
    </w:p>
    <w:p>
      <w:pPr>
        <w:autoSpaceDE w:val="0"/>
        <w:autoSpaceDN w:val="0"/>
        <w:adjustRightInd w:val="0"/>
        <w:snapToGrid w:val="0"/>
        <w:spacing w:line="360" w:lineRule="auto"/>
        <w:ind w:firstLine="560" w:firstLineChars="200"/>
        <w:rPr>
          <w:rFonts w:hint="default"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rPr>
        <w:t>由于通过第三方销售平台购买，可能会存在认（申）购、赎回（现金分红）基金时资金被挪用的风险；第三方销售平台对基金账户管理不当造成投资者持有基金份额不准确的风险；认（申）购款未能用于购买指定基金的风险；以及第三方基金销售平台无基金销售资质的风险</w:t>
      </w:r>
      <w:r>
        <w:rPr>
          <w:rFonts w:hint="eastAsia" w:ascii="方正仿宋" w:hAnsi="宋体" w:eastAsia="方正仿宋" w:cs="Times New Roman"/>
          <w:kern w:val="0"/>
          <w:sz w:val="28"/>
          <w:szCs w:val="28"/>
          <w:highlight w:val="none"/>
          <w:lang w:val="en-US" w:eastAsia="zh-CN"/>
        </w:rPr>
        <w:t>等</w:t>
      </w: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甲方应审慎选择销售机构，乙方对上述可能存在的风险不承担责任。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本理财产品基金账户和基金交易账户的开立和使用限于满足开展业务的需要。甲方不得出借和转让本理财产品的任何基金账户或基金交易账户，亦不得使用本理财产品的任何基金账户或基金交易账户进行本理财产品业务以外的活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五</w:t>
      </w:r>
      <w:r>
        <w:rPr>
          <w:rFonts w:hint="eastAsia" w:ascii="方正仿宋" w:hAnsi="宋体" w:eastAsia="方正仿宋" w:cs="Times New Roman"/>
          <w:kern w:val="0"/>
          <w:sz w:val="28"/>
          <w:szCs w:val="28"/>
          <w:highlight w:val="none"/>
        </w:rPr>
        <w:t>）中证机构间报价系统受托资金账户的开立和管理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本理财产品在中证机构间私募产品报价系统的受托产品账户和受托资金账户，由甲方</w:t>
      </w:r>
      <w:r>
        <w:rPr>
          <w:rFonts w:hint="eastAsia" w:ascii="方正仿宋" w:hAnsi="宋体" w:eastAsia="方正仿宋" w:cs="Times New Roman"/>
          <w:kern w:val="0"/>
          <w:sz w:val="28"/>
          <w:szCs w:val="28"/>
          <w:highlight w:val="none"/>
          <w:lang w:val="en-US" w:eastAsia="zh-CN"/>
        </w:rPr>
        <w:t>负责</w:t>
      </w:r>
      <w:r>
        <w:rPr>
          <w:rFonts w:hint="eastAsia" w:ascii="方正仿宋" w:hAnsi="宋体" w:eastAsia="方正仿宋" w:cs="Times New Roman"/>
          <w:kern w:val="0"/>
          <w:sz w:val="28"/>
          <w:szCs w:val="28"/>
          <w:highlight w:val="none"/>
        </w:rPr>
        <w:t>在该系统发起申请</w:t>
      </w:r>
      <w:r>
        <w:rPr>
          <w:rFonts w:hint="eastAsia" w:ascii="方正仿宋" w:hAnsi="宋体" w:eastAsia="方正仿宋" w:cs="Times New Roman"/>
          <w:kern w:val="0"/>
          <w:sz w:val="28"/>
          <w:szCs w:val="28"/>
          <w:highlight w:val="none"/>
          <w:lang w:val="en-US" w:eastAsia="zh-CN"/>
        </w:rPr>
        <w:t>办理</w:t>
      </w:r>
      <w:r>
        <w:rPr>
          <w:rFonts w:hint="eastAsia" w:ascii="方正仿宋" w:hAnsi="宋体" w:eastAsia="方正仿宋" w:cs="Times New Roman"/>
          <w:kern w:val="0"/>
          <w:sz w:val="28"/>
          <w:szCs w:val="28"/>
          <w:highlight w:val="none"/>
        </w:rPr>
        <w:t>，乙方</w:t>
      </w:r>
      <w:r>
        <w:rPr>
          <w:rFonts w:hint="eastAsia" w:ascii="方正仿宋" w:hAnsi="宋体" w:eastAsia="方正仿宋" w:cs="Times New Roman"/>
          <w:kern w:val="0"/>
          <w:sz w:val="28"/>
          <w:szCs w:val="28"/>
          <w:highlight w:val="none"/>
          <w:lang w:val="en-US" w:eastAsia="zh-CN"/>
        </w:rPr>
        <w:t>协助确认托管账户信息</w:t>
      </w:r>
      <w:r>
        <w:rPr>
          <w:rFonts w:hint="eastAsia" w:ascii="方正仿宋" w:hAnsi="宋体" w:eastAsia="方正仿宋" w:cs="Times New Roman"/>
          <w:kern w:val="0"/>
          <w:sz w:val="28"/>
          <w:szCs w:val="28"/>
          <w:highlight w:val="none"/>
        </w:rPr>
        <w:t>。具体事宜以甲方与乙方协商为准。</w:t>
      </w:r>
    </w:p>
    <w:p>
      <w:pPr>
        <w:autoSpaceDE w:val="0"/>
        <w:autoSpaceDN w:val="0"/>
        <w:adjustRightInd w:val="0"/>
        <w:snapToGrid w:val="0"/>
        <w:spacing w:line="360" w:lineRule="auto"/>
        <w:ind w:firstLine="560" w:firstLineChars="200"/>
        <w:rPr>
          <w:rFonts w:hint="default" w:eastAsia="宋体"/>
          <w:highlight w:val="none"/>
          <w:lang w:val="en-US" w:eastAsia="zh-CN"/>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六</w:t>
      </w:r>
      <w:r>
        <w:rPr>
          <w:rFonts w:hint="eastAsia" w:ascii="方正仿宋" w:hAnsi="宋体" w:eastAsia="方正仿宋" w:cs="Times New Roman"/>
          <w:kern w:val="0"/>
          <w:sz w:val="28"/>
          <w:szCs w:val="28"/>
          <w:highlight w:val="none"/>
        </w:rPr>
        <w:t>）活期存款账户的开立和管理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w:t>
      </w:r>
      <w:r>
        <w:rPr>
          <w:rFonts w:hint="eastAsia" w:ascii="方正仿宋" w:hAnsi="宋体" w:eastAsia="方正仿宋" w:cs="Times New Roman"/>
          <w:kern w:val="0"/>
          <w:sz w:val="28"/>
          <w:szCs w:val="28"/>
          <w:highlight w:val="none"/>
          <w:lang w:val="en-US" w:eastAsia="zh-CN"/>
        </w:rPr>
        <w:t>.</w:t>
      </w:r>
      <w:r>
        <w:rPr>
          <w:rFonts w:hint="eastAsia" w:ascii="方正仿宋" w:hAnsi="宋体" w:eastAsia="方正仿宋" w:cs="Times New Roman"/>
          <w:kern w:val="0"/>
          <w:sz w:val="28"/>
          <w:szCs w:val="28"/>
          <w:highlight w:val="none"/>
        </w:rPr>
        <w:t>预留印鉴须加盖乙方印鉴，未经乙方书面同意不得变更。</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w:t>
      </w:r>
      <w:r>
        <w:rPr>
          <w:rFonts w:hint="eastAsia" w:ascii="方正仿宋" w:hAnsi="宋体" w:eastAsia="方正仿宋" w:cs="Times New Roman"/>
          <w:kern w:val="0"/>
          <w:sz w:val="28"/>
          <w:szCs w:val="28"/>
          <w:highlight w:val="none"/>
          <w:lang w:val="en-US" w:eastAsia="zh-CN"/>
        </w:rPr>
        <w:t>.</w:t>
      </w:r>
      <w:r>
        <w:rPr>
          <w:rFonts w:hint="eastAsia" w:ascii="方正仿宋" w:hAnsi="宋体" w:eastAsia="方正仿宋" w:cs="Times New Roman"/>
          <w:kern w:val="0"/>
          <w:sz w:val="28"/>
          <w:szCs w:val="28"/>
          <w:highlight w:val="none"/>
        </w:rPr>
        <w:t>他行银行活期结算账户主要用于在他行理财产品投资的结算账户</w:t>
      </w:r>
      <w:r>
        <w:rPr>
          <w:rFonts w:hint="eastAsia" w:ascii="方正仿宋" w:hAnsi="宋体" w:eastAsia="方正仿宋" w:cs="Times New Roman"/>
          <w:kern w:val="0"/>
          <w:sz w:val="28"/>
          <w:szCs w:val="28"/>
          <w:highlight w:val="none"/>
          <w:lang w:eastAsia="zh-CN"/>
        </w:rPr>
        <w:t>，</w:t>
      </w:r>
      <w:r>
        <w:rPr>
          <w:rFonts w:hint="eastAsia" w:ascii="方正仿宋" w:hAnsi="宋体" w:eastAsia="方正仿宋" w:cs="Times New Roman"/>
          <w:kern w:val="0"/>
          <w:sz w:val="28"/>
          <w:szCs w:val="28"/>
          <w:highlight w:val="none"/>
        </w:rPr>
        <w:t>往来账户只能是产品开在乙方的托管资产专用银行账户，未经乙方书面同意不得变更。</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kern w:val="0"/>
          <w:sz w:val="28"/>
          <w:szCs w:val="28"/>
          <w:highlight w:val="none"/>
          <w:lang w:val="en-US" w:eastAsia="zh-CN"/>
        </w:rPr>
        <w:t>3.</w:t>
      </w:r>
      <w:r>
        <w:rPr>
          <w:rFonts w:hint="eastAsia" w:ascii="方正仿宋" w:hAnsi="宋体" w:eastAsia="方正仿宋" w:cs="Times New Roman"/>
          <w:kern w:val="0"/>
          <w:sz w:val="28"/>
          <w:szCs w:val="28"/>
          <w:highlight w:val="none"/>
        </w:rPr>
        <w:t>活期存款账户户名原则上应与托管账户户名保持一致，如遇有特殊规定的应</w:t>
      </w:r>
      <w:r>
        <w:rPr>
          <w:rFonts w:hint="eastAsia" w:ascii="方正仿宋" w:hAnsi="宋体" w:eastAsia="方正仿宋" w:cs="Times New Roman"/>
          <w:kern w:val="0"/>
          <w:sz w:val="28"/>
          <w:szCs w:val="28"/>
          <w:highlight w:val="none"/>
          <w:lang w:val="en-US" w:eastAsia="zh-CN"/>
        </w:rPr>
        <w:t>向托管行出具</w:t>
      </w:r>
      <w:r>
        <w:rPr>
          <w:rFonts w:hint="eastAsia" w:ascii="方正仿宋" w:hAnsi="宋体" w:eastAsia="方正仿宋" w:cs="Times New Roman"/>
          <w:kern w:val="0"/>
          <w:sz w:val="28"/>
          <w:szCs w:val="28"/>
          <w:highlight w:val="none"/>
        </w:rPr>
        <w:t>说明</w:t>
      </w:r>
      <w:r>
        <w:rPr>
          <w:rFonts w:hint="eastAsia" w:ascii="方正仿宋" w:hAnsi="宋体" w:eastAsia="方正仿宋" w:cs="Times New Roman"/>
          <w:kern w:val="0"/>
          <w:sz w:val="28"/>
          <w:szCs w:val="28"/>
          <w:highlight w:val="none"/>
          <w:lang w:val="en-US" w:eastAsia="zh-CN"/>
        </w:rPr>
        <w:t>文件</w:t>
      </w:r>
      <w:r>
        <w:rPr>
          <w:rFonts w:hint="eastAsia" w:ascii="方正仿宋" w:hAnsi="宋体" w:eastAsia="方正仿宋" w:cs="Times New Roman"/>
          <w:kern w:val="0"/>
          <w:sz w:val="28"/>
          <w:szCs w:val="28"/>
          <w:highlight w:val="none"/>
        </w:rPr>
        <w:t xml:space="preserve">。 </w:t>
      </w:r>
    </w:p>
    <w:p>
      <w:pPr>
        <w:autoSpaceDE w:val="0"/>
        <w:autoSpaceDN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方正仿宋" w:hAnsi="宋体" w:eastAsia="方正仿宋"/>
          <w:kern w:val="0"/>
          <w:sz w:val="28"/>
          <w:szCs w:val="28"/>
          <w:highlight w:val="none"/>
          <w:lang w:val="en-US" w:eastAsia="zh-CN"/>
        </w:rPr>
        <w:t>4</w:t>
      </w:r>
      <w:r>
        <w:rPr>
          <w:rFonts w:hint="eastAsia" w:ascii="方正仿宋" w:hAnsi="宋体" w:eastAsia="方正仿宋" w:cs="Times New Roman"/>
          <w:kern w:val="0"/>
          <w:sz w:val="28"/>
          <w:szCs w:val="28"/>
          <w:highlight w:val="none"/>
        </w:rPr>
        <w:t>.甲方应要求存款行对存款账户禁止出售支票、禁止取现。甲方如确须办理柜面转账的，经甲方与乙方协商一致后开立功能；乙方应尽力配合柜面转账事宜，乙方不对因柜面转账造成的损失承担责任</w:t>
      </w:r>
      <w:r>
        <w:rPr>
          <w:rFonts w:hint="eastAsia" w:ascii="方正仿宋" w:hAnsi="宋体" w:eastAsia="方正仿宋" w:cs="Times New Roman"/>
          <w:kern w:val="0"/>
          <w:sz w:val="28"/>
          <w:szCs w:val="28"/>
          <w:highlight w:val="none"/>
          <w:lang w:eastAsia="zh-CN"/>
        </w:rPr>
        <w:t>。</w:t>
      </w:r>
      <w:r>
        <w:rPr>
          <w:rFonts w:hint="eastAsia" w:ascii="方正仿宋" w:hAnsi="宋体" w:eastAsia="方正仿宋" w:cs="Times New Roman"/>
          <w:kern w:val="0"/>
          <w:sz w:val="28"/>
          <w:szCs w:val="28"/>
          <w:highlight w:val="none"/>
          <w:lang w:val="en-US" w:eastAsia="zh-CN"/>
        </w:rPr>
        <w:t>甲方应要求</w:t>
      </w:r>
      <w:r>
        <w:rPr>
          <w:rFonts w:hint="eastAsia" w:ascii="仿宋" w:hAnsi="仿宋" w:eastAsia="仿宋" w:cs="仿宋"/>
          <w:sz w:val="28"/>
          <w:szCs w:val="28"/>
          <w:highlight w:val="none"/>
        </w:rPr>
        <w:t>存款行</w:t>
      </w:r>
      <w:r>
        <w:rPr>
          <w:rFonts w:hint="eastAsia" w:ascii="仿宋" w:hAnsi="仿宋" w:eastAsia="仿宋" w:cs="仿宋"/>
          <w:sz w:val="28"/>
          <w:szCs w:val="28"/>
          <w:highlight w:val="none"/>
          <w:lang w:val="en-US" w:eastAsia="zh-CN"/>
        </w:rPr>
        <w:t>将活期存款账户</w:t>
      </w:r>
      <w:r>
        <w:rPr>
          <w:rFonts w:hint="eastAsia" w:ascii="仿宋" w:hAnsi="仿宋" w:eastAsia="仿宋" w:cs="仿宋"/>
          <w:sz w:val="28"/>
          <w:szCs w:val="28"/>
          <w:highlight w:val="none"/>
        </w:rPr>
        <w:t>利率以及计息方式</w:t>
      </w:r>
      <w:r>
        <w:rPr>
          <w:rFonts w:hint="eastAsia" w:ascii="仿宋" w:hAnsi="仿宋" w:eastAsia="仿宋" w:cs="仿宋"/>
          <w:sz w:val="28"/>
          <w:szCs w:val="28"/>
          <w:highlight w:val="none"/>
          <w:lang w:val="en-US" w:eastAsia="zh-CN"/>
        </w:rPr>
        <w:t>告知甲乙双方，当活期存款账户</w:t>
      </w:r>
      <w:r>
        <w:rPr>
          <w:rFonts w:hint="eastAsia" w:ascii="仿宋" w:hAnsi="仿宋" w:eastAsia="仿宋" w:cs="仿宋"/>
          <w:sz w:val="28"/>
          <w:szCs w:val="28"/>
          <w:highlight w:val="none"/>
        </w:rPr>
        <w:t>利率变更时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存款行应及时</w:t>
      </w:r>
      <w:r>
        <w:rPr>
          <w:rFonts w:hint="eastAsia" w:ascii="仿宋" w:hAnsi="仿宋" w:eastAsia="仿宋" w:cs="仿宋"/>
          <w:sz w:val="28"/>
          <w:szCs w:val="28"/>
          <w:highlight w:val="none"/>
        </w:rPr>
        <w:t>需将变更后利率及计息方式告知</w:t>
      </w:r>
      <w:r>
        <w:rPr>
          <w:rFonts w:hint="eastAsia" w:ascii="仿宋" w:hAnsi="仿宋" w:eastAsia="仿宋" w:cs="仿宋"/>
          <w:sz w:val="28"/>
          <w:szCs w:val="28"/>
          <w:highlight w:val="none"/>
          <w:lang w:val="en-US" w:eastAsia="zh-CN"/>
        </w:rPr>
        <w:t>甲乙双方</w:t>
      </w:r>
      <w:r>
        <w:rPr>
          <w:rFonts w:hint="eastAsia" w:ascii="仿宋" w:hAnsi="仿宋" w:eastAsia="仿宋" w:cs="仿宋"/>
          <w:sz w:val="28"/>
          <w:szCs w:val="28"/>
          <w:highlight w:val="none"/>
        </w:rPr>
        <w:t>。</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lang w:val="en-US" w:eastAsia="zh-CN"/>
        </w:rPr>
        <w:t>5.</w:t>
      </w:r>
      <w:r>
        <w:rPr>
          <w:rFonts w:hint="eastAsia" w:ascii="方正仿宋" w:hAnsi="宋体" w:eastAsia="方正仿宋" w:cs="Times New Roman"/>
          <w:kern w:val="0"/>
          <w:sz w:val="28"/>
          <w:szCs w:val="28"/>
          <w:highlight w:val="none"/>
        </w:rPr>
        <w:t>甲方要求存款行</w:t>
      </w:r>
      <w:r>
        <w:rPr>
          <w:rFonts w:hint="eastAsia" w:ascii="方正仿宋" w:hAnsi="宋体" w:eastAsia="方正仿宋" w:cs="Times New Roman"/>
          <w:kern w:val="0"/>
          <w:sz w:val="28"/>
          <w:szCs w:val="28"/>
          <w:highlight w:val="none"/>
          <w:lang w:val="en-US" w:eastAsia="zh-CN"/>
        </w:rPr>
        <w:t>定期</w:t>
      </w:r>
      <w:r>
        <w:rPr>
          <w:rFonts w:hint="eastAsia" w:ascii="方正仿宋" w:hAnsi="宋体" w:eastAsia="方正仿宋" w:cs="Times New Roman"/>
          <w:kern w:val="0"/>
          <w:sz w:val="28"/>
          <w:szCs w:val="28"/>
          <w:highlight w:val="none"/>
        </w:rPr>
        <w:t>向乙方发送对账单。</w:t>
      </w:r>
    </w:p>
    <w:p>
      <w:pPr>
        <w:autoSpaceDE w:val="0"/>
        <w:autoSpaceDN w:val="0"/>
        <w:adjustRightInd w:val="0"/>
        <w:snapToGrid w:val="0"/>
        <w:spacing w:line="360" w:lineRule="auto"/>
        <w:ind w:firstLine="560" w:firstLineChars="200"/>
        <w:rPr>
          <w:rFonts w:hint="eastAsia" w:ascii="方正仿宋" w:hAnsi="宋体" w:eastAsia="方正仿宋" w:cs="Times New Roman"/>
          <w:b w:val="0"/>
          <w:bCs w:val="0"/>
          <w:kern w:val="0"/>
          <w:sz w:val="28"/>
          <w:szCs w:val="28"/>
          <w:highlight w:val="none"/>
        </w:rPr>
      </w:pPr>
      <w:r>
        <w:rPr>
          <w:rFonts w:hint="eastAsia" w:ascii="方正仿宋" w:hAnsi="宋体" w:eastAsia="方正仿宋" w:cs="Times New Roman"/>
          <w:b w:val="0"/>
          <w:bCs w:val="0"/>
          <w:kern w:val="0"/>
          <w:sz w:val="28"/>
          <w:szCs w:val="28"/>
          <w:highlight w:val="none"/>
          <w:lang w:val="en-US" w:eastAsia="zh-CN"/>
        </w:rPr>
        <w:t>6.</w:t>
      </w:r>
      <w:r>
        <w:rPr>
          <w:rFonts w:hint="eastAsia" w:ascii="方正仿宋" w:hAnsi="宋体" w:eastAsia="方正仿宋" w:cs="Times New Roman"/>
          <w:b w:val="0"/>
          <w:bCs w:val="0"/>
          <w:kern w:val="0"/>
          <w:sz w:val="28"/>
          <w:szCs w:val="28"/>
          <w:highlight w:val="none"/>
        </w:rPr>
        <w:t>办理他行活期存款时，</w:t>
      </w:r>
      <w:r>
        <w:rPr>
          <w:rFonts w:hint="eastAsia" w:ascii="方正仿宋" w:hAnsi="宋体" w:eastAsia="方正仿宋" w:cs="Times New Roman"/>
          <w:b w:val="0"/>
          <w:bCs w:val="0"/>
          <w:kern w:val="0"/>
          <w:sz w:val="28"/>
          <w:szCs w:val="28"/>
          <w:highlight w:val="none"/>
          <w:lang w:val="en-US" w:eastAsia="zh-CN"/>
        </w:rPr>
        <w:t>乙方可</w:t>
      </w:r>
      <w:r>
        <w:rPr>
          <w:rFonts w:hint="eastAsia" w:ascii="方正仿宋" w:hAnsi="宋体" w:eastAsia="方正仿宋" w:cs="Times New Roman"/>
          <w:b w:val="0"/>
          <w:bCs w:val="0"/>
          <w:kern w:val="0"/>
          <w:sz w:val="28"/>
          <w:szCs w:val="28"/>
          <w:highlight w:val="none"/>
        </w:rPr>
        <w:t>配合</w:t>
      </w:r>
      <w:r>
        <w:rPr>
          <w:rFonts w:hint="eastAsia" w:ascii="方正仿宋" w:hAnsi="宋体" w:eastAsia="方正仿宋" w:cs="Times New Roman"/>
          <w:b w:val="0"/>
          <w:bCs w:val="0"/>
          <w:kern w:val="0"/>
          <w:sz w:val="28"/>
          <w:szCs w:val="28"/>
          <w:highlight w:val="none"/>
          <w:lang w:val="en-US" w:eastAsia="zh-CN"/>
        </w:rPr>
        <w:t>甲方</w:t>
      </w:r>
      <w:r>
        <w:rPr>
          <w:rFonts w:hint="eastAsia" w:ascii="方正仿宋" w:hAnsi="宋体" w:eastAsia="方正仿宋" w:cs="Times New Roman"/>
          <w:b w:val="0"/>
          <w:bCs w:val="0"/>
          <w:kern w:val="0"/>
          <w:sz w:val="28"/>
          <w:szCs w:val="28"/>
          <w:highlight w:val="none"/>
        </w:rPr>
        <w:t>对每笔活期账户向存款行发起查询查复，内容包括开户银行、大额支付号、开户时间、账户名称、账号等。</w:t>
      </w:r>
    </w:p>
    <w:p>
      <w:pPr>
        <w:autoSpaceDE w:val="0"/>
        <w:autoSpaceDN w:val="0"/>
        <w:adjustRightInd w:val="0"/>
        <w:snapToGrid w:val="0"/>
        <w:spacing w:line="360" w:lineRule="auto"/>
        <w:ind w:firstLine="560" w:firstLineChars="200"/>
        <w:rPr>
          <w:rFonts w:hint="eastAsia" w:ascii="方正仿宋" w:hAnsi="宋体" w:eastAsia="方正仿宋"/>
          <w:kern w:val="0"/>
          <w:sz w:val="28"/>
          <w:szCs w:val="28"/>
          <w:highlight w:val="none"/>
          <w:lang w:val="en-US" w:eastAsia="zh-CN"/>
        </w:rPr>
      </w:pPr>
      <w:r>
        <w:rPr>
          <w:rFonts w:hint="eastAsia" w:ascii="方正仿宋" w:hAnsi="宋体" w:eastAsia="方正仿宋" w:cs="Times New Roman"/>
          <w:b w:val="0"/>
          <w:bCs w:val="0"/>
          <w:kern w:val="0"/>
          <w:sz w:val="28"/>
          <w:szCs w:val="28"/>
          <w:highlight w:val="none"/>
          <w:lang w:val="en-US" w:eastAsia="zh-CN"/>
        </w:rPr>
        <w:t>7.其他具体事宜以甲乙双方另行签署的相关协议为准。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lang w:val="en-US" w:eastAsia="zh-CN"/>
        </w:rPr>
        <w:t>8.</w:t>
      </w:r>
      <w:r>
        <w:rPr>
          <w:rFonts w:hint="eastAsia" w:ascii="方正仿宋" w:hAnsi="宋体" w:eastAsia="方正仿宋" w:cs="Times New Roman"/>
          <w:kern w:val="0"/>
          <w:sz w:val="28"/>
          <w:szCs w:val="28"/>
          <w:highlight w:val="none"/>
        </w:rPr>
        <w:t>甲方如未遵守以上协议约定，应承担由此导致的</w:t>
      </w:r>
      <w:r>
        <w:rPr>
          <w:rFonts w:hint="eastAsia" w:ascii="方正仿宋" w:hAnsi="宋体" w:eastAsia="方正仿宋" w:cs="Times New Roman"/>
          <w:kern w:val="0"/>
          <w:sz w:val="28"/>
          <w:szCs w:val="28"/>
          <w:highlight w:val="none"/>
          <w:lang w:val="en-US"/>
        </w:rPr>
        <w:t>一切</w:t>
      </w:r>
      <w:r>
        <w:rPr>
          <w:rFonts w:hint="eastAsia" w:ascii="方正仿宋" w:hAnsi="宋体" w:eastAsia="方正仿宋" w:cs="Times New Roman"/>
          <w:kern w:val="0"/>
          <w:sz w:val="28"/>
          <w:szCs w:val="28"/>
          <w:highlight w:val="none"/>
        </w:rPr>
        <w:t>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七</w:t>
      </w:r>
      <w:r>
        <w:rPr>
          <w:rFonts w:hint="eastAsia" w:ascii="方正仿宋" w:hAnsi="宋体" w:eastAsia="方正仿宋" w:cs="Times New Roman"/>
          <w:kern w:val="0"/>
          <w:sz w:val="28"/>
          <w:szCs w:val="28"/>
          <w:highlight w:val="none"/>
        </w:rPr>
        <w:t>）其他账户的开立和管理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与本理财产品投资有关的其他账户，由甲方与乙方协商一致后办理。</w:t>
      </w:r>
    </w:p>
    <w:p>
      <w:pPr>
        <w:numPr>
          <w:ilvl w:val="-1"/>
          <w:numId w:val="0"/>
        </w:num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lang w:eastAsia="zh-CN"/>
        </w:rPr>
        <w:t>（八）</w:t>
      </w:r>
      <w:r>
        <w:rPr>
          <w:rFonts w:hint="eastAsia" w:ascii="方正仿宋" w:hAnsi="宋体" w:eastAsia="方正仿宋" w:cs="Times New Roman"/>
          <w:kern w:val="0"/>
          <w:sz w:val="28"/>
          <w:szCs w:val="28"/>
          <w:highlight w:val="none"/>
        </w:rPr>
        <w:t>除开户机构另有规定外，投资账户户名与本银行理财托管账户户名一致，理财产品投资本金及收益回款账户应指定为理财产品的银行托管账户。</w:t>
      </w:r>
    </w:p>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第五条</w:t>
      </w:r>
      <w:r>
        <w:rPr>
          <w:rFonts w:ascii="方正仿宋" w:hAnsi="宋体" w:eastAsia="方正仿宋"/>
          <w:sz w:val="28"/>
          <w:szCs w:val="28"/>
          <w:highlight w:val="none"/>
        </w:rPr>
        <w:t xml:space="preserve"> </w:t>
      </w:r>
      <w:r>
        <w:rPr>
          <w:rFonts w:hint="eastAsia" w:ascii="方正仿宋" w:hAnsi="宋体" w:eastAsia="方正仿宋"/>
          <w:kern w:val="0"/>
          <w:sz w:val="28"/>
          <w:szCs w:val="28"/>
          <w:highlight w:val="none"/>
        </w:rPr>
        <w:t>清算交割</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（一）数据传输和接收</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甲方负责选择代理本理财产品证券买卖的证券经营机构，并与其签订相关协议。</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责成证券经营机构与乙方共同签署经纪服务协议，在协议中约定各方权利义务、数据传输、理财产品所对应的证券交易所的交易单元号、交易品种的费率、佣金收取标准等，并确认已建立第三方存管关系、开通银证转账功能。</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在本合同有效期间若上述交易单元号、交易会员号、交易编码、或涉及的相关费率等变动，则甲方应在变动生效前</w:t>
      </w:r>
      <w:bookmarkStart w:id="15" w:name="Text22"/>
      <w:r>
        <w:rPr>
          <w:rFonts w:hint="eastAsia" w:ascii="方正仿宋" w:hAnsi="宋体" w:eastAsia="方正仿宋" w:cs="Times New Roman"/>
          <w:kern w:val="0"/>
          <w:sz w:val="28"/>
          <w:szCs w:val="28"/>
          <w:highlight w:val="none"/>
          <w:lang w:val="en-US" w:eastAsia="zh-CN" w:bidi="ar-SA"/>
        </w:rPr>
        <w:fldChar w:fldCharType="begin">
          <w:ffData>
            <w:name w:val="Text22"/>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15"/>
      <w:r>
        <w:rPr>
          <w:rFonts w:hint="eastAsia" w:ascii="方正仿宋" w:hAnsi="宋体" w:eastAsia="方正仿宋" w:cs="Times New Roman"/>
          <w:kern w:val="0"/>
          <w:sz w:val="28"/>
          <w:szCs w:val="28"/>
          <w:highlight w:val="none"/>
        </w:rPr>
        <w:t>个工作日书面告知乙方，否则应由甲方自行承担因此产生的一切后果。</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甲方应责成其选择的证券经营机构通过深证通向乙方传送</w:t>
      </w:r>
      <w:r>
        <w:rPr>
          <w:rFonts w:hint="eastAsia" w:ascii="方正仿宋" w:hAnsi="宋体" w:eastAsia="方正仿宋" w:cs="Times New Roman"/>
          <w:kern w:val="0"/>
          <w:sz w:val="28"/>
          <w:szCs w:val="28"/>
          <w:highlight w:val="none"/>
        </w:rPr>
        <w:fldChar w:fldCharType="begin"/>
      </w:r>
      <w:r>
        <w:rPr>
          <w:rFonts w:hint="eastAsia" w:ascii="方正仿宋" w:hAnsi="宋体" w:eastAsia="方正仿宋" w:cs="Times New Roman"/>
          <w:kern w:val="0"/>
          <w:sz w:val="28"/>
          <w:szCs w:val="28"/>
          <w:highlight w:val="none"/>
        </w:rPr>
        <w:instrText xml:space="preserve"> HYPERLINK "http://www.baidu.com/link?url=b94KHAaxJCoyFm_7ftjRMfjbPd4q-tizCHQqs-6OYhkMa6gFQNUdrYuKEH8ZnmWh" \t "_blank" </w:instrText>
      </w:r>
      <w:r>
        <w:rPr>
          <w:rFonts w:hint="eastAsia" w:ascii="方正仿宋" w:hAnsi="宋体" w:eastAsia="方正仿宋" w:cs="Times New Roman"/>
          <w:kern w:val="0"/>
          <w:sz w:val="28"/>
          <w:szCs w:val="28"/>
          <w:highlight w:val="none"/>
        </w:rPr>
        <w:fldChar w:fldCharType="separate"/>
      </w:r>
      <w:r>
        <w:rPr>
          <w:rFonts w:hint="eastAsia" w:ascii="方正仿宋" w:hAnsi="宋体" w:eastAsia="方正仿宋" w:cs="Times New Roman"/>
          <w:kern w:val="0"/>
          <w:sz w:val="28"/>
          <w:szCs w:val="28"/>
          <w:highlight w:val="none"/>
        </w:rPr>
        <w:t>中国证券登记结算有限公司</w:t>
      </w:r>
      <w:r>
        <w:rPr>
          <w:rFonts w:hint="eastAsia" w:ascii="方正仿宋" w:hAnsi="宋体" w:eastAsia="方正仿宋" w:cs="Times New Roman"/>
          <w:kern w:val="0"/>
          <w:sz w:val="28"/>
          <w:szCs w:val="28"/>
          <w:highlight w:val="none"/>
        </w:rPr>
        <w:fldChar w:fldCharType="end"/>
      </w:r>
      <w:r>
        <w:rPr>
          <w:rFonts w:hint="eastAsia" w:ascii="方正仿宋" w:hAnsi="宋体" w:eastAsia="方正仿宋" w:cs="Times New Roman"/>
          <w:kern w:val="0"/>
          <w:sz w:val="28"/>
          <w:szCs w:val="28"/>
          <w:highlight w:val="none"/>
        </w:rPr>
        <w:t>的登记及结算数据、交易所的交易清算数据。甲方应责成其选择的证券经营机构保证提供给乙方的交易及结算数据的准确性、完整性、真实性，如相应数据不准确、不完整或不真实，由甲方承担全部责任。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证券经营机构所提供的数据均需按</w:t>
      </w:r>
      <w:r>
        <w:rPr>
          <w:rFonts w:hint="eastAsia" w:ascii="方正仿宋" w:hAnsi="宋体" w:eastAsia="方正仿宋" w:cs="Times New Roman"/>
          <w:kern w:val="0"/>
          <w:sz w:val="28"/>
          <w:szCs w:val="28"/>
          <w:highlight w:val="none"/>
        </w:rPr>
        <w:fldChar w:fldCharType="begin"/>
      </w:r>
      <w:r>
        <w:rPr>
          <w:rFonts w:hint="eastAsia" w:ascii="方正仿宋" w:hAnsi="宋体" w:eastAsia="方正仿宋" w:cs="Times New Roman"/>
          <w:kern w:val="0"/>
          <w:sz w:val="28"/>
          <w:szCs w:val="28"/>
          <w:highlight w:val="none"/>
        </w:rPr>
        <w:instrText xml:space="preserve"> HYPERLINK "http://www.baidu.com/link?url=b94KHAaxJCoyFm_7ftjRMfjbPd4q-tizCHQqs-6OYhkMa6gFQNUdrYuKEH8ZnmWh" \t "_blank" </w:instrText>
      </w:r>
      <w:r>
        <w:rPr>
          <w:rFonts w:hint="eastAsia" w:ascii="方正仿宋" w:hAnsi="宋体" w:eastAsia="方正仿宋" w:cs="Times New Roman"/>
          <w:kern w:val="0"/>
          <w:sz w:val="28"/>
          <w:szCs w:val="28"/>
          <w:highlight w:val="none"/>
        </w:rPr>
        <w:fldChar w:fldCharType="separate"/>
      </w:r>
      <w:r>
        <w:rPr>
          <w:rFonts w:hint="eastAsia" w:ascii="方正仿宋" w:hAnsi="宋体" w:eastAsia="方正仿宋" w:cs="Times New Roman"/>
          <w:kern w:val="0"/>
          <w:sz w:val="28"/>
          <w:szCs w:val="28"/>
          <w:highlight w:val="none"/>
        </w:rPr>
        <w:t>中国证券登记结算有限公司</w:t>
      </w:r>
      <w:r>
        <w:rPr>
          <w:rFonts w:hint="eastAsia" w:ascii="方正仿宋" w:hAnsi="宋体" w:eastAsia="方正仿宋" w:cs="Times New Roman"/>
          <w:kern w:val="0"/>
          <w:sz w:val="28"/>
          <w:szCs w:val="28"/>
          <w:highlight w:val="none"/>
        </w:rPr>
        <w:fldChar w:fldCharType="end"/>
      </w:r>
      <w:r>
        <w:rPr>
          <w:rFonts w:hint="eastAsia" w:ascii="方正仿宋" w:hAnsi="宋体" w:eastAsia="方正仿宋" w:cs="Times New Roman"/>
          <w:kern w:val="0"/>
          <w:sz w:val="28"/>
          <w:szCs w:val="28"/>
          <w:highlight w:val="none"/>
        </w:rPr>
        <w:t>和交易所发布的最新数据接口规范进行填写，以便乙方能够完成会计核算、清算、监督职能。</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若数据传送不成功，甲方应责成证券经营机构重复或以其它应急方式传送，直到乙方成功接收，乙方对因证券经营机构提供的数据错误或不及时等过失造成的理财产品损失不承担责任。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甲方应责成证券经营机构于</w:t>
      </w:r>
      <w:bookmarkStart w:id="16" w:name="Text23"/>
      <w:r>
        <w:rPr>
          <w:rFonts w:hint="eastAsia" w:ascii="方正仿宋" w:hAnsi="宋体" w:eastAsia="方正仿宋" w:cs="Times New Roman"/>
          <w:kern w:val="0"/>
          <w:sz w:val="28"/>
          <w:szCs w:val="28"/>
          <w:highlight w:val="none"/>
          <w:lang w:val="en-US" w:eastAsia="zh-CN" w:bidi="ar-SA"/>
        </w:rPr>
        <w:fldChar w:fldCharType="begin">
          <w:ffData>
            <w:name w:val="Text23"/>
            <w:enabled/>
            <w:calcOnExit w:val="0"/>
            <w:textInput>
              <w:default w:val="T"/>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T</w:t>
      </w:r>
      <w:r>
        <w:rPr>
          <w:rFonts w:hint="eastAsia" w:ascii="方正仿宋" w:hAnsi="宋体" w:eastAsia="方正仿宋" w:cs="Times New Roman"/>
          <w:kern w:val="0"/>
          <w:sz w:val="28"/>
          <w:szCs w:val="28"/>
          <w:highlight w:val="none"/>
          <w:lang w:val="en-US" w:eastAsia="zh-CN" w:bidi="ar-SA"/>
        </w:rPr>
        <w:fldChar w:fldCharType="end"/>
      </w:r>
      <w:bookmarkEnd w:id="16"/>
      <w:r>
        <w:rPr>
          <w:rFonts w:hint="eastAsia" w:ascii="方正仿宋" w:hAnsi="宋体" w:eastAsia="方正仿宋" w:cs="Times New Roman"/>
          <w:kern w:val="0"/>
          <w:sz w:val="28"/>
          <w:szCs w:val="28"/>
          <w:highlight w:val="none"/>
        </w:rPr>
        <w:t>日</w:t>
      </w:r>
      <w:bookmarkStart w:id="17" w:name="Text24"/>
      <w:r>
        <w:rPr>
          <w:rFonts w:hint="eastAsia" w:ascii="方正仿宋" w:hAnsi="宋体" w:eastAsia="方正仿宋" w:cs="Times New Roman"/>
          <w:kern w:val="0"/>
          <w:sz w:val="28"/>
          <w:szCs w:val="28"/>
          <w:highlight w:val="none"/>
          <w:lang w:val="en-US" w:eastAsia="zh-CN"/>
        </w:rPr>
        <w:t>19:00</w:t>
      </w:r>
      <w:bookmarkEnd w:id="17"/>
      <w:r>
        <w:rPr>
          <w:rFonts w:hint="eastAsia" w:ascii="方正仿宋" w:hAnsi="宋体" w:eastAsia="方正仿宋" w:cs="Times New Roman"/>
          <w:kern w:val="0"/>
          <w:sz w:val="28"/>
          <w:szCs w:val="28"/>
          <w:highlight w:val="none"/>
        </w:rPr>
        <w:t>前将理财产品的当日场内交易数据及对账单通过深证通或电子邮件等方式发送至乙方，因证券交易所或</w:t>
      </w:r>
      <w:r>
        <w:rPr>
          <w:rFonts w:hint="eastAsia" w:ascii="方正仿宋" w:hAnsi="宋体" w:eastAsia="方正仿宋" w:cs="Times New Roman"/>
          <w:kern w:val="0"/>
          <w:sz w:val="28"/>
          <w:szCs w:val="28"/>
          <w:highlight w:val="none"/>
        </w:rPr>
        <w:fldChar w:fldCharType="begin"/>
      </w:r>
      <w:r>
        <w:rPr>
          <w:rFonts w:hint="eastAsia" w:ascii="方正仿宋" w:hAnsi="宋体" w:eastAsia="方正仿宋" w:cs="Times New Roman"/>
          <w:kern w:val="0"/>
          <w:sz w:val="28"/>
          <w:szCs w:val="28"/>
          <w:highlight w:val="none"/>
        </w:rPr>
        <w:instrText xml:space="preserve"> HYPERLINK "http://www.baidu.com/link?url=b94KHAaxJCoyFm_7ftjRMfjbPd4q-tizCHQqs-6OYhkMa6gFQNUdrYuKEH8ZnmWh" \t "_blank" </w:instrText>
      </w:r>
      <w:r>
        <w:rPr>
          <w:rFonts w:hint="eastAsia" w:ascii="方正仿宋" w:hAnsi="宋体" w:eastAsia="方正仿宋" w:cs="Times New Roman"/>
          <w:kern w:val="0"/>
          <w:sz w:val="28"/>
          <w:szCs w:val="28"/>
          <w:highlight w:val="none"/>
        </w:rPr>
        <w:fldChar w:fldCharType="separate"/>
      </w:r>
      <w:r>
        <w:rPr>
          <w:rFonts w:hint="eastAsia" w:ascii="方正仿宋" w:hAnsi="宋体" w:eastAsia="方正仿宋" w:cs="Times New Roman"/>
          <w:kern w:val="0"/>
          <w:sz w:val="28"/>
          <w:szCs w:val="28"/>
          <w:highlight w:val="none"/>
        </w:rPr>
        <w:t>中国证券登记结算有限公司</w:t>
      </w:r>
      <w:r>
        <w:rPr>
          <w:rFonts w:hint="eastAsia" w:ascii="方正仿宋" w:hAnsi="宋体" w:eastAsia="方正仿宋" w:cs="Times New Roman"/>
          <w:kern w:val="0"/>
          <w:sz w:val="28"/>
          <w:szCs w:val="28"/>
          <w:highlight w:val="none"/>
        </w:rPr>
        <w:fldChar w:fldCharType="end"/>
      </w:r>
      <w:r>
        <w:rPr>
          <w:rFonts w:hint="eastAsia" w:ascii="方正仿宋" w:hAnsi="宋体" w:eastAsia="方正仿宋" w:cs="Times New Roman"/>
          <w:kern w:val="0"/>
          <w:sz w:val="28"/>
          <w:szCs w:val="28"/>
          <w:highlight w:val="none"/>
        </w:rPr>
        <w:t>及甲方无法控制的其他原因而造成数据延迟发送的情况除外，如遇到特殊情况出现数据发送延迟等情况应及时书面通知乙方。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甲方应责成证券经营机构指定专人负责数据的传输和接收，确保数据的安全性和保密性。在数据传输人员发生变更时，须至少提前</w:t>
      </w:r>
      <w:bookmarkStart w:id="18" w:name="Text25"/>
      <w:r>
        <w:rPr>
          <w:rFonts w:hint="eastAsia" w:ascii="方正仿宋" w:hAnsi="宋体" w:eastAsia="方正仿宋" w:cs="Times New Roman"/>
          <w:kern w:val="0"/>
          <w:sz w:val="28"/>
          <w:szCs w:val="28"/>
          <w:highlight w:val="none"/>
          <w:lang w:val="en-US" w:eastAsia="zh-CN" w:bidi="ar-SA"/>
        </w:rPr>
        <w:fldChar w:fldCharType="begin">
          <w:ffData>
            <w:name w:val="Text25"/>
            <w:enabled/>
            <w:calcOnExit w:val="0"/>
            <w:textInput>
              <w:default w:val="1"/>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w:t>
      </w:r>
      <w:r>
        <w:rPr>
          <w:rFonts w:hint="eastAsia" w:ascii="方正仿宋" w:hAnsi="宋体" w:eastAsia="方正仿宋" w:cs="Times New Roman"/>
          <w:kern w:val="0"/>
          <w:sz w:val="28"/>
          <w:szCs w:val="28"/>
          <w:highlight w:val="none"/>
          <w:lang w:val="en-US" w:eastAsia="zh-CN" w:bidi="ar-SA"/>
        </w:rPr>
        <w:fldChar w:fldCharType="end"/>
      </w:r>
      <w:bookmarkEnd w:id="18"/>
      <w:r>
        <w:rPr>
          <w:rFonts w:hint="eastAsia" w:ascii="方正仿宋" w:hAnsi="宋体" w:eastAsia="方正仿宋" w:cs="Times New Roman"/>
          <w:kern w:val="0"/>
          <w:sz w:val="28"/>
          <w:szCs w:val="28"/>
          <w:highlight w:val="none"/>
        </w:rPr>
        <w:t>个工作日以书面方式通知乙方，且在乙方书面确认之后变更正式生效。变更通知书中必须说明变更时间、人员、事项等。</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甲方所选择的证券经营机构负责办理本理财产品的所有交易所场内交易（或代销的场外开放式基金）的清算交割,乙方负责办理理财产品的所有场外交易的清算交割。</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（二）认申购、赎回及分红业务处理的基本规定</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1.理财产品份额申购、赎回和分红的确认、清算由甲方或其委托的登记机构负责。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2.甲方应保证在确认日将开放日的申购、赎回和分红的数据通过深证通或其它双方约定的方式传送给乙方。甲方应对传递的申购、赎回和分红数据的真实性和准确性负责。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3.如甲方委托其他机构办理理财产品的注册登记业务，应保证上述相关事宜根据前述约定进行。否则，由甲方承担相应的责任。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4.关于资金清算专用账户的设立和管理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为满足申购、赎回资金汇划的需要，由甲方开立资金清算账户，该账户由注册登记机构管理。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5.对于理财产品申购产生的应收款，应由甲方负责与有关当事人确定到账日期并按照本合同的约定通知乙方，到账日应收款没有到达理财产品托管账户的，由此造成理财产品损失的，甲方应负责向有关当事人追偿理财产品的损失。</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（三）到期终止业务</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每只理财产品终止时，甲方应及时组织到期清算，清算期原则上不得超过</w:t>
      </w:r>
      <w:bookmarkStart w:id="19" w:name="Text26"/>
      <w:r>
        <w:rPr>
          <w:rFonts w:hint="eastAsia" w:ascii="方正仿宋" w:hAnsi="宋体" w:eastAsia="方正仿宋" w:cs="Times New Roman"/>
          <w:kern w:val="0"/>
          <w:sz w:val="28"/>
          <w:szCs w:val="28"/>
          <w:highlight w:val="none"/>
          <w:lang w:val="en-US" w:eastAsia="zh-CN" w:bidi="ar-SA"/>
        </w:rPr>
        <w:fldChar w:fldCharType="begin">
          <w:ffData>
            <w:name w:val="Text26"/>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19"/>
      <w:r>
        <w:rPr>
          <w:rFonts w:hint="eastAsia" w:ascii="方正仿宋" w:hAnsi="宋体" w:eastAsia="方正仿宋" w:cs="Times New Roman"/>
          <w:kern w:val="0"/>
          <w:sz w:val="28"/>
          <w:szCs w:val="28"/>
          <w:highlight w:val="none"/>
        </w:rPr>
        <w:t>个工作日。如清算期超过</w:t>
      </w:r>
      <w:bookmarkStart w:id="20" w:name="Text27"/>
      <w:r>
        <w:rPr>
          <w:rFonts w:hint="eastAsia" w:ascii="方正仿宋" w:hAnsi="宋体" w:eastAsia="方正仿宋" w:cs="Times New Roman"/>
          <w:kern w:val="0"/>
          <w:sz w:val="28"/>
          <w:szCs w:val="28"/>
          <w:highlight w:val="none"/>
          <w:lang w:val="en-US" w:eastAsia="zh-CN" w:bidi="ar-SA"/>
        </w:rPr>
        <w:fldChar w:fldCharType="begin">
          <w:ffData>
            <w:name w:val="Text27"/>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20"/>
      <w:r>
        <w:rPr>
          <w:rFonts w:hint="eastAsia" w:ascii="方正仿宋" w:hAnsi="宋体" w:eastAsia="方正仿宋" w:cs="Times New Roman"/>
          <w:kern w:val="0"/>
          <w:sz w:val="28"/>
          <w:szCs w:val="28"/>
          <w:highlight w:val="none"/>
        </w:rPr>
        <w:t>个工作日的，甲方应当经与乙方协商一致后，在理财产品终止前，根据与投资者的约定，在指定渠道向理财产品投资者进行披露。理财产品如提前终止，甲方应至少在理财产品终止前</w:t>
      </w:r>
      <w:bookmarkStart w:id="21" w:name="Text28"/>
      <w:r>
        <w:rPr>
          <w:rFonts w:hint="eastAsia" w:ascii="方正仿宋" w:hAnsi="宋体" w:eastAsia="方正仿宋" w:cs="Times New Roman"/>
          <w:kern w:val="0"/>
          <w:sz w:val="28"/>
          <w:szCs w:val="28"/>
          <w:highlight w:val="none"/>
          <w:lang w:val="en-US" w:eastAsia="zh-CN" w:bidi="ar-SA"/>
        </w:rPr>
        <w:fldChar w:fldCharType="begin">
          <w:ffData>
            <w:name w:val="Text28"/>
            <w:enabled/>
            <w:calcOnExit w:val="0"/>
            <w:textInput>
              <w:default w:val="1"/>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w:t>
      </w:r>
      <w:r>
        <w:rPr>
          <w:rFonts w:hint="eastAsia" w:ascii="方正仿宋" w:hAnsi="宋体" w:eastAsia="方正仿宋" w:cs="Times New Roman"/>
          <w:kern w:val="0"/>
          <w:sz w:val="28"/>
          <w:szCs w:val="28"/>
          <w:highlight w:val="none"/>
          <w:lang w:val="en-US" w:eastAsia="zh-CN" w:bidi="ar-SA"/>
        </w:rPr>
        <w:fldChar w:fldCharType="end"/>
      </w:r>
      <w:bookmarkEnd w:id="21"/>
      <w:r>
        <w:rPr>
          <w:rFonts w:hint="eastAsia" w:ascii="方正仿宋" w:hAnsi="宋体" w:eastAsia="方正仿宋" w:cs="Times New Roman"/>
          <w:kern w:val="0"/>
          <w:sz w:val="28"/>
          <w:szCs w:val="28"/>
          <w:highlight w:val="none"/>
        </w:rPr>
        <w:t>个工作日书面通知乙方。</w:t>
      </w:r>
    </w:p>
    <w:p>
      <w:pPr>
        <w:pStyle w:val="3"/>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第</w:t>
      </w:r>
      <w:r>
        <w:rPr>
          <w:rFonts w:hint="eastAsia" w:ascii="方正仿宋" w:hAnsi="宋体" w:eastAsia="方正仿宋"/>
          <w:bCs w:val="0"/>
          <w:kern w:val="0"/>
          <w:sz w:val="28"/>
          <w:szCs w:val="28"/>
          <w:highlight w:val="none"/>
        </w:rPr>
        <w:t>六</w:t>
      </w:r>
      <w:r>
        <w:rPr>
          <w:rFonts w:hint="eastAsia" w:ascii="方正仿宋" w:hAnsi="宋体" w:eastAsia="方正仿宋"/>
          <w:kern w:val="0"/>
          <w:sz w:val="28"/>
          <w:szCs w:val="28"/>
          <w:highlight w:val="none"/>
        </w:rPr>
        <w:t>条</w:t>
      </w:r>
      <w:r>
        <w:rPr>
          <w:rFonts w:ascii="方正仿宋" w:hAnsi="宋体" w:eastAsia="方正仿宋"/>
          <w:kern w:val="0"/>
          <w:sz w:val="28"/>
          <w:szCs w:val="28"/>
          <w:highlight w:val="none"/>
        </w:rPr>
        <w:t xml:space="preserve">  </w:t>
      </w:r>
      <w:r>
        <w:rPr>
          <w:rFonts w:hint="eastAsia" w:ascii="方正仿宋" w:hAnsi="宋体" w:eastAsia="方正仿宋"/>
          <w:kern w:val="0"/>
          <w:sz w:val="28"/>
          <w:szCs w:val="28"/>
          <w:highlight w:val="none"/>
        </w:rPr>
        <w:t>投资监督与核查</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乙方根据法律法规及本合同的规定，对甲方对托管资产的管理运用进行监督。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对甲方运用托管资产进行的投资仅进行形式审查，不做穿透监督，即乙方仅按照本合同约定对于乙方所托管的理财产品直接投资的资产是否符合本合同约定的投资范围、投资比例和限制进行监督，不穿透对理财产品所投资的最终底层资产是否符合本合同约定的投资范围、投资比例和限制进行监督。如因甲方所管理的理财产品穿透后实际的投资比例或限制违反本合同和法律法规而造成本理财产品损失的,乙方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在理财产品成立前给予乙方经双方盖章确认的《投资监督事项表》（附件四），作为乙方实施投资监督的依据。乙方按照《投资监督事项表》约定对理财产品的投资进行监督。乙方发现甲方的投资运作、划款指令的资金用途违反法律法规或本条要求，有权拒绝执行并通知甲方及时改正，乙方提示甲方即视为乙方履行了投资监督义务。甲方应当考虑乙方系统调整所需的合理必要时间。非因甲方主观因素导致突破前述比例限制的，甲方应当在法律法规规定的期限内调整至符合要求，国务院银行业监督管理机构规定的特殊情形除外。乙方对因上述原因导致的投资事项超出本合同约定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相关法律法规和监管部门对以上投资范围和配置比例有另行规定的，按照监管最新规定执行。如监管部门对投资比例无其他明确规定和要求的，由甲方与乙方协商确定。其中，乙方对商品及金融衍生品类资产比例、期货比例、高波动性资产比例、以及投资比例根据指数波动情况浮动、衍生品投资目的、是否间接投资未上市企业股权及其受益权等无法监测的情形不做监测，由甲方自行监测。</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发现甲方的投资运作、划款指令的资金用途违反法律法规或本条要求，有权拒绝执行并通知甲方及时改正，乙方提示甲方即视为乙方履行了投资监督义务。如甲方未及时纠正的，乙方不承担因拒绝执行相应投资指令所造成的一切后果及损失。甲方应根据理财产品说明书约定使相关比例符合约定。如甲方对《投资监督事项表》进行变更，应与乙方协商一致后以双方共同签署书面补充合同的方式予以明确，并应为乙方调整投资监督事项留出必要的时间。</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每只理财产品单独开立托管账户，甲方应保证本理财产品在实际运作过程中每只理财产品与所投资资产相对应，每只理财产品单独管理、单独建账、单独核算，不得开展具有滚动发行、集合运作、分离定价特征的资金池理财业务。</w:t>
      </w:r>
    </w:p>
    <w:p>
      <w:pPr>
        <w:pStyle w:val="3"/>
        <w:rPr>
          <w:rFonts w:hint="eastAsia" w:ascii="方正仿宋" w:hAnsi="宋体" w:eastAsia="方正仿宋" w:cs="Times New Roman"/>
          <w:kern w:val="0"/>
          <w:sz w:val="28"/>
          <w:szCs w:val="28"/>
          <w:highlight w:val="none"/>
        </w:rPr>
      </w:pPr>
      <w:bookmarkStart w:id="22" w:name="_Toc141850059"/>
      <w:r>
        <w:rPr>
          <w:rFonts w:hint="eastAsia" w:ascii="方正仿宋" w:hAnsi="宋体" w:eastAsia="方正仿宋" w:cs="Times New Roman"/>
          <w:kern w:val="0"/>
          <w:sz w:val="28"/>
          <w:szCs w:val="28"/>
          <w:highlight w:val="none"/>
        </w:rPr>
        <w:t>第七条  指令的发送、确认和执行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甲方在运用委托财产时向乙方发送资金划拨及其他款项付款指令，乙方执行甲方的指令、办理理财产品名下的资金往来等有关事项。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甲方发送的指令包括电子指令和纸质指令。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电子指令包括甲方发送的电子指令（采用电子报文传送的电子指令）、自动产生的电子指令（网上托管银行乙方端根据甲方同意设定的业务规则自动产生的电子指令）。纸质指令包括甲方给乙方传真指令或原件指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（一）甲方对发送指令人员的书面授权</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事先向乙方提供书面授权通知书（附件二）（下称“授权通知书”），指定指令的被授权人员及被授权印鉴，授权通知书的内容包括被授权人员名单、联系方式、签字/印章样本、权限和预留印鉴，以及授权的传真号码、邮箱、电话号码等。授权通知书应加盖甲方公司公章和法定代表人（或授权人）签字/签章，若由授权代表签署，还需附上法定代表人的授权书。甲方应使用传真或其他与乙方协商一致的方式向乙方发出授权通知书，同时电话通知乙方。授权通知书经甲方与乙方以电话方式或其他甲方和乙方认可的方式确认后，于授权通知书载明的生效时间或授权通知书的落款时间生效。授权通知书正本内容与乙方收到的传真不一致的，以乙方收到的传真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甲方和乙方对授权通知书负有保密义务，其内容不得向授权人、被授权人及相关操作人员以外的任何人泄露，但法律法规规定或有权机关另有要求的除外。</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（二）纸质指令的内容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纸质指令是在管理本理财产品时，甲方向乙方发出的资金划拨类指令（下称“指令”）。指令应加盖预留印鉴并由被授权人印章/签字。甲方发给乙方的资金划拨类指令应写明款项事由、时间、金额、出款和收款账户信息等。</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（三）指令的发送、确认及执行的时间和程序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1.指令发送的方式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甲方选择以下</w:t>
      </w:r>
      <w:bookmarkStart w:id="23" w:name="Text29"/>
      <w:r>
        <w:rPr>
          <w:rFonts w:hint="eastAsia" w:ascii="方正仿宋" w:hAnsi="宋体" w:eastAsia="方正仿宋" w:cs="Times New Roman"/>
          <w:kern w:val="0"/>
          <w:sz w:val="28"/>
          <w:szCs w:val="28"/>
          <w:highlight w:val="none"/>
        </w:rPr>
        <w:fldChar w:fldCharType="begin">
          <w:ffData>
            <w:name w:val="Text29"/>
            <w:enabled/>
            <w:calcOnExit w:val="0"/>
            <w:textInput/>
          </w:ffData>
        </w:fldChar>
      </w:r>
      <w:r>
        <w:rPr>
          <w:rFonts w:hint="eastAsia" w:ascii="方正仿宋" w:hAnsi="宋体" w:eastAsia="方正仿宋" w:cs="Times New Roman"/>
          <w:kern w:val="0"/>
          <w:sz w:val="28"/>
          <w:szCs w:val="28"/>
          <w:highlight w:val="none"/>
        </w:rPr>
        <w:instrText xml:space="preserve">FORMTEXT</w:instrText>
      </w:r>
      <w:r>
        <w:rPr>
          <w:rFonts w:hint="eastAsia" w:ascii="方正仿宋" w:hAnsi="宋体" w:eastAsia="方正仿宋" w:cs="Times New Roman"/>
          <w:kern w:val="0"/>
          <w:sz w:val="28"/>
          <w:szCs w:val="28"/>
          <w:highlight w:val="none"/>
        </w:rPr>
        <w:fldChar w:fldCharType="separate"/>
      </w:r>
      <w:r>
        <w:rPr>
          <w:rFonts w:hint="default" w:ascii="方正仿宋" w:hAnsi="宋体" w:eastAsia="方正仿宋" w:cs="Times New Roman"/>
          <w:kern w:val="0"/>
          <w:sz w:val="28"/>
          <w:szCs w:val="28"/>
          <w:highlight w:val="none"/>
          <w:lang w:val="en-US"/>
        </w:rPr>
        <w:t>  </w:t>
      </w:r>
      <w:r>
        <w:rPr>
          <w:rFonts w:hint="eastAsia" w:ascii="方正仿宋" w:hAnsi="宋体" w:eastAsia="方正仿宋" w:cs="Times New Roman"/>
          <w:kern w:val="0"/>
          <w:sz w:val="28"/>
          <w:szCs w:val="28"/>
          <w:highlight w:val="none"/>
          <w:lang w:val="en-US" w:eastAsia="zh-CN"/>
        </w:rPr>
        <w:t>（1）</w:t>
      </w:r>
      <w:r>
        <w:rPr>
          <w:rFonts w:hint="default" w:ascii="方正仿宋" w:hAnsi="宋体" w:eastAsia="方正仿宋" w:cs="Times New Roman"/>
          <w:kern w:val="0"/>
          <w:sz w:val="28"/>
          <w:szCs w:val="28"/>
          <w:highlight w:val="none"/>
          <w:lang w:val="en-US"/>
        </w:rPr>
        <w:t>   </w:t>
      </w:r>
      <w:r>
        <w:rPr>
          <w:rFonts w:hint="eastAsia" w:ascii="方正仿宋" w:hAnsi="宋体" w:eastAsia="方正仿宋" w:cs="Times New Roman"/>
          <w:kern w:val="0"/>
          <w:sz w:val="28"/>
          <w:szCs w:val="28"/>
          <w:highlight w:val="none"/>
        </w:rPr>
        <w:fldChar w:fldCharType="end"/>
      </w:r>
      <w:bookmarkEnd w:id="23"/>
      <w:r>
        <w:rPr>
          <w:rFonts w:hint="eastAsia" w:ascii="方正仿宋" w:hAnsi="宋体" w:eastAsia="方正仿宋" w:cs="Times New Roman"/>
          <w:kern w:val="0"/>
          <w:sz w:val="28"/>
          <w:szCs w:val="28"/>
          <w:highlight w:val="none"/>
        </w:rPr>
        <w:t xml:space="preserve">的方式向乙方发送指令： </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1</w:t>
      </w:r>
      <w:r>
        <w:rPr>
          <w:rFonts w:hint="eastAsia" w:ascii="方正仿宋" w:hAnsi="宋体" w:eastAsia="方正仿宋" w:cs="Times New Roman"/>
          <w:kern w:val="0"/>
          <w:sz w:val="28"/>
          <w:szCs w:val="28"/>
          <w:highlight w:val="none"/>
        </w:rPr>
        <w:t>）甲方通过深证通电子直连对接方式，向乙方发送电子划款指令或投资指令。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甲方通过深证通电子直连对接方式发送电子指令的，甲方应至少在产品成立日前</w:t>
      </w:r>
      <w:bookmarkStart w:id="24" w:name="Text30"/>
      <w:r>
        <w:rPr>
          <w:rFonts w:hint="eastAsia" w:ascii="方正仿宋" w:hAnsi="宋体" w:eastAsia="方正仿宋" w:cs="Times New Roman"/>
          <w:kern w:val="0"/>
          <w:sz w:val="28"/>
          <w:szCs w:val="28"/>
          <w:highlight w:val="none"/>
          <w:lang w:val="en-US" w:eastAsia="zh-CN" w:bidi="ar-SA"/>
        </w:rPr>
        <w:fldChar w:fldCharType="begin">
          <w:ffData>
            <w:name w:val="Text30"/>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24"/>
      <w:r>
        <w:rPr>
          <w:rFonts w:hint="eastAsia" w:ascii="方正仿宋" w:hAnsi="宋体" w:eastAsia="方正仿宋" w:cs="Times New Roman"/>
          <w:kern w:val="0"/>
          <w:sz w:val="28"/>
          <w:szCs w:val="28"/>
          <w:highlight w:val="none"/>
        </w:rPr>
        <w:t>日，通过预留邮箱或加盖预留印鉴的函件告知乙方本产品的资产代码。</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对于甲方通过上述方式发送的指令，甲方不得否认其效力。</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对于甲方通过上述方式发送指令的，在应急情况下，甲方可以传真发送划款指令或者快递、现场交互原件指令。具体操作方式分别按照以下第（</w:t>
      </w:r>
      <w:r>
        <w:rPr>
          <w:rFonts w:hint="eastAsia" w:ascii="方正仿宋" w:hAnsi="宋体" w:eastAsia="方正仿宋" w:cs="Times New Roman"/>
          <w:kern w:val="0"/>
          <w:sz w:val="28"/>
          <w:szCs w:val="28"/>
          <w:highlight w:val="none"/>
          <w:lang w:val="en-US" w:eastAsia="zh-CN"/>
        </w:rPr>
        <w:t>2</w:t>
      </w:r>
      <w:r>
        <w:rPr>
          <w:rFonts w:hint="eastAsia" w:ascii="方正仿宋" w:hAnsi="宋体" w:eastAsia="方正仿宋" w:cs="Times New Roman"/>
          <w:kern w:val="0"/>
          <w:sz w:val="28"/>
          <w:szCs w:val="28"/>
          <w:highlight w:val="none"/>
        </w:rPr>
        <w:t>）款指令发送方式执行。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2</w:t>
      </w:r>
      <w:r>
        <w:rPr>
          <w:rFonts w:hint="eastAsia" w:ascii="方正仿宋" w:hAnsi="宋体" w:eastAsia="方正仿宋" w:cs="Times New Roman"/>
          <w:kern w:val="0"/>
          <w:sz w:val="28"/>
          <w:szCs w:val="28"/>
          <w:highlight w:val="none"/>
        </w:rPr>
        <w:t>）甲方选择以传真（或电子邮件）方式发送指令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对于甲方通过预留传真号码（或电子邮箱）发出的指令，甲方不得否认其效力。</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特殊情况下，甲方无法使用预留传真号码（或电子邮箱）发送指令时，可通过非预留传真号码（或电子邮箱）应急发送传真指令（或电子邮件），甲方须通过授权的电话号码通知乙方接收传真指令（或电子邮件）。如因甲方未通知乙方接收传真指令（或电子邮件）造成的损失，乙方不承担责任。上述特殊情况解决后，甲方应向乙方出具预留传真号码（或电子邮件）更新通知，并加盖甲方在授权通知书中的预留印鉴。</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如需变更指令发送形式，甲方须提前向乙方提供变更指令发送形式的指令发送方式变更通知书。</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2.指令附件的发送方式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向乙方发送指令的同时，通过预留传真号码或预留指令附件发送电子邮箱提供相关合同、交易凭证或其他证明材料。甲方对该等资料的真实性、有效性、完整性和合法合规性负责。如甲方未提供符合乙方要求的指令附件，乙方有权暂不执行该指令直至甲方提交符合乙方要求的指令附件。</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对于通过预留传真号码或预留电子邮箱发出的指令附件，甲方不得否认其效力。</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3.指令发送的时间</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对于新股、新债申购等网下公开发行业务，甲方应于网下申购缴款日的</w:t>
      </w:r>
      <w:bookmarkStart w:id="25" w:name="Text31"/>
      <w:r>
        <w:rPr>
          <w:rFonts w:hint="eastAsia" w:ascii="方正仿宋" w:hAnsi="宋体" w:eastAsia="方正仿宋" w:cs="Times New Roman"/>
          <w:kern w:val="0"/>
          <w:sz w:val="28"/>
          <w:szCs w:val="28"/>
          <w:highlight w:val="none"/>
          <w:lang w:val="en-US" w:eastAsia="zh-CN" w:bidi="ar-SA"/>
        </w:rPr>
        <w:fldChar w:fldCharType="begin">
          <w:ffData>
            <w:name w:val="Text31"/>
            <w:enabled/>
            <w:calcOnExit w:val="0"/>
            <w:textInput>
              <w:default w:val="10:0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10:00</w:t>
      </w:r>
      <w:r>
        <w:rPr>
          <w:rFonts w:hint="eastAsia" w:ascii="方正仿宋" w:hAnsi="宋体" w:eastAsia="方正仿宋" w:cs="Times New Roman"/>
          <w:kern w:val="0"/>
          <w:sz w:val="28"/>
          <w:szCs w:val="28"/>
          <w:highlight w:val="none"/>
          <w:lang w:val="en-US" w:eastAsia="zh-CN" w:bidi="ar-SA"/>
        </w:rPr>
        <w:fldChar w:fldCharType="end"/>
      </w:r>
      <w:bookmarkEnd w:id="25"/>
      <w:r>
        <w:rPr>
          <w:rFonts w:hint="eastAsia" w:ascii="方正仿宋" w:hAnsi="宋体" w:eastAsia="方正仿宋" w:cs="Times New Roman"/>
          <w:kern w:val="0"/>
          <w:sz w:val="28"/>
          <w:szCs w:val="28"/>
          <w:highlight w:val="none"/>
        </w:rPr>
        <w:t>前将指令发送给乙方。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对于期货出入金业务，甲方应于交易日期货出入金截止时间前</w:t>
      </w:r>
      <w:bookmarkStart w:id="26" w:name="Text34"/>
      <w:r>
        <w:rPr>
          <w:rFonts w:hint="eastAsia" w:ascii="方正仿宋" w:hAnsi="宋体" w:eastAsia="方正仿宋" w:cs="Times New Roman"/>
          <w:kern w:val="0"/>
          <w:sz w:val="28"/>
          <w:szCs w:val="28"/>
          <w:highlight w:val="none"/>
          <w:lang w:val="en-US" w:eastAsia="zh-CN" w:bidi="ar-SA"/>
        </w:rPr>
        <w:fldChar w:fldCharType="begin">
          <w:ffData>
            <w:name w:val="Text34"/>
            <w:enabled/>
            <w:calcOnExit w:val="0"/>
            <w:textInput>
              <w:default w:val="2"/>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2</w:t>
      </w:r>
      <w:r>
        <w:rPr>
          <w:rFonts w:hint="eastAsia" w:ascii="方正仿宋" w:hAnsi="宋体" w:eastAsia="方正仿宋" w:cs="Times New Roman"/>
          <w:kern w:val="0"/>
          <w:sz w:val="28"/>
          <w:szCs w:val="28"/>
          <w:highlight w:val="none"/>
          <w:lang w:val="en-US" w:eastAsia="zh-CN" w:bidi="ar-SA"/>
        </w:rPr>
        <w:fldChar w:fldCharType="end"/>
      </w:r>
      <w:bookmarkEnd w:id="26"/>
      <w:r>
        <w:rPr>
          <w:rFonts w:hint="eastAsia" w:ascii="方正仿宋" w:hAnsi="宋体" w:eastAsia="方正仿宋" w:cs="Times New Roman"/>
          <w:kern w:val="0"/>
          <w:sz w:val="28"/>
          <w:szCs w:val="28"/>
          <w:highlight w:val="none"/>
        </w:rPr>
        <w:t>小时将期货出入金指令发送至乙方。正常情况下由乙方依据甲方发出的出入金指令，通过期货结算银行银期转账系统进行出入金操作。当结算银行银期转账系统出现故障等其他紧急情况时，甲方可以使用非银期转账手工出入金。</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非银期转账手工出入金，入金由乙方依据甲方提供的划款指令通过结算银行的网银系统划往期货公司指定账户后，由甲方通知期货公司进行入金操作，出金由甲方通知期货公司出金后，再发送指令给乙方，由乙方依据甲方提供的划款指令通过结算银行的网银系统划往本理财产品托管账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执行完期货出金或入金的操作后，甲方应通过其交易系统或终端系统查询出金划出情况和入金到账情况。</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对于场内业务，首次进行场内交易前甲方应与乙方确认已完成交易单元和股东代码设置后方可进行。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对于指定时间出款的交易指令，甲方应提前</w:t>
      </w:r>
      <w:bookmarkStart w:id="27" w:name="Text41"/>
      <w:r>
        <w:rPr>
          <w:rFonts w:hint="eastAsia" w:ascii="方正仿宋" w:hAnsi="宋体" w:eastAsia="方正仿宋" w:cs="Times New Roman"/>
          <w:kern w:val="0"/>
          <w:sz w:val="28"/>
          <w:szCs w:val="28"/>
          <w:highlight w:val="none"/>
          <w:lang w:val="en-US" w:eastAsia="zh-CN" w:bidi="ar-SA"/>
        </w:rPr>
        <w:fldChar w:fldCharType="begin">
          <w:ffData>
            <w:name w:val="Text41"/>
            <w:enabled/>
            <w:calcOnExit w:val="0"/>
            <w:textInput>
              <w:default w:val="1.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1.5</w:t>
      </w:r>
      <w:r>
        <w:rPr>
          <w:rFonts w:hint="eastAsia" w:ascii="方正仿宋" w:hAnsi="宋体" w:eastAsia="方正仿宋" w:cs="Times New Roman"/>
          <w:kern w:val="0"/>
          <w:sz w:val="28"/>
          <w:szCs w:val="28"/>
          <w:highlight w:val="none"/>
          <w:lang w:val="en-US" w:eastAsia="zh-CN" w:bidi="ar-SA"/>
        </w:rPr>
        <w:fldChar w:fldCharType="end"/>
      </w:r>
      <w:bookmarkEnd w:id="27"/>
      <w:r>
        <w:rPr>
          <w:rFonts w:hint="eastAsia" w:ascii="方正仿宋" w:hAnsi="宋体" w:eastAsia="方正仿宋" w:cs="Times New Roman"/>
          <w:kern w:val="0"/>
          <w:sz w:val="28"/>
          <w:szCs w:val="28"/>
          <w:highlight w:val="none"/>
        </w:rPr>
        <w:t>小时将指令发送至乙方；对于甲方于</w:t>
      </w:r>
      <w:bookmarkStart w:id="28" w:name="Text42"/>
      <w:r>
        <w:rPr>
          <w:rFonts w:hint="eastAsia" w:ascii="方正仿宋" w:hAnsi="宋体" w:eastAsia="方正仿宋" w:cs="Times New Roman"/>
          <w:kern w:val="0"/>
          <w:sz w:val="28"/>
          <w:szCs w:val="28"/>
          <w:highlight w:val="none"/>
          <w:lang w:val="en-US" w:eastAsia="zh-CN" w:bidi="ar-SA"/>
        </w:rPr>
        <w:fldChar w:fldCharType="begin">
          <w:ffData>
            <w:name w:val="Text42"/>
            <w:enabled/>
            <w:calcOnExit w:val="0"/>
            <w:textInput>
              <w:default w:val="15:0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15:00</w:t>
      </w:r>
      <w:r>
        <w:rPr>
          <w:rFonts w:hint="eastAsia" w:ascii="方正仿宋" w:hAnsi="宋体" w:eastAsia="方正仿宋" w:cs="Times New Roman"/>
          <w:kern w:val="0"/>
          <w:sz w:val="28"/>
          <w:szCs w:val="28"/>
          <w:highlight w:val="none"/>
          <w:lang w:val="en-US" w:eastAsia="zh-CN" w:bidi="ar-SA"/>
        </w:rPr>
        <w:fldChar w:fldCharType="end"/>
      </w:r>
      <w:bookmarkEnd w:id="28"/>
      <w:r>
        <w:rPr>
          <w:rFonts w:hint="eastAsia" w:ascii="方正仿宋" w:hAnsi="宋体" w:eastAsia="方正仿宋" w:cs="Times New Roman"/>
          <w:kern w:val="0"/>
          <w:sz w:val="28"/>
          <w:szCs w:val="28"/>
          <w:highlight w:val="none"/>
        </w:rPr>
        <w:t>以后发送至乙方的指令，乙方不保证当日出款，如出款不成功，乙方不承担责任。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4.指令的确认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有义务在发送指令后使用预留电话或其他甲乙双方协商一致的方式与乙方进行确认，如因甲方未通知乙方接收传真指令（或电子邮件）造成的损失，乙方不承担责任。对于依照授权通知书发出的指令，甲方不得否认其效力。</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5.指令的执行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在发送指令时，应确保出款账户有足够的资金余额、文件资料齐全，并为乙方留出执行指令所必需的时间，因甲方未给予合理必需的时间导致乙方操作不成功的，乙方不承担责任。如果资金头寸不足，乙方有权拒绝执行甲方发送的划款指令并应及时通知甲方，由此造成的损失，由甲方自行承担，乙方不承担责任。在资金头寸充足、执行指令时间允许的情况下，乙方对甲方符合法律法规、理财产品说明书、本合同的划款指令不得拖延或拒绝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确认收到甲方发送的指令后，应对指令进行形式审查，验证指令的要素（金额、收款账号、收款户名、用途）是否齐全；传真（或电子邮件）指令还应审核印鉴和印章/签字是否和预留印鉴和签字样本表面一致性相符，传真指令加盖的印鉴和预留印鉴形式上不存在重大差异即视为表面一致性审查通过，对于因传真或扫描引起的印章、签字等变形、扭曲，乙方不承担审查义务。乙方仅对甲方提交的指令按照本合同约定进行表面一致性审查，不负责审查甲方发送指令同时提交的其他文件资料的合法性、真实性、完整性和有效性，甲方应保证上述文件资料合法、真实、完整和有效。如因甲方提供的上述文件不合法、不真实、不完整或失去效力而影响乙方的审核或给任何第三人带来损失，由甲方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 xml:space="preserve">乙方审核指令无误后应在规定期限内及时执行。 </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6.指令的撤销</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 xml:space="preserve">在指令未执行的前提下，若撤销传真指令，甲方应在原指令上注明“作废”、“废”、“取消”等字样并加盖预留印鉴及被授权人印章/签字后传真给乙方，并电话通知乙方。若撤销电子指令，甲方应通过相关系统撤销，系统功能不支持撤销的，应参照撤销传真指令方式撤销电子指令。 </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（四）甲方发送错误指令的情形和处理程序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1.甲方发送错误指令的情形包括指令发送人员无权或超越权限发送指令，指令不能辨识或要素不全导致无法执行等情形。</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2.当乙方认为所接受指令为错误指令时，应及时与甲方进行电话确认，并暂停指令的执行，所接收指令确为错误的，由甲方撤销指令或撤销后再重新发送指令。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（五）乙方依照法律法规暂缓、拒绝执行指令的情形和处理程序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发现甲方发送的指令有可能违反本合同约定或有关法律法规的规定时，应暂缓执行指令，并及时通知甲方，甲方收到通知后应及时核对并纠正；如相关交易已生效，则应通知甲方在法规规定期限内及时纠正；对于此类乙方事前无法监督并拒绝执行的交易行为，乙方在履行了对甲方的通知义务后，即视为完全履行了其投资监督职责。对于甲方此类违反《中华人民共和国民法典》、《中华人民共和国商业银行法》、《关于规范金融机构资产管理业务的指导意见》、《商业银行理财业务监督管理办法》、本合同或其他有关法律法规行为造成托管资产或理财产品投资者损失的，乙方免于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（六）乙方未按照甲方指令执行的处理方法</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甲方的有效指令和通知，除非违反本合同约定或有关法律法规的规定或具有第（四）项所述错误，乙方不得无故拒绝或拖延执行。除因故意或重大过失致使本理财产品、甲方的利益受到损害而负赔偿责任外，乙方对执行甲方的合法指令对委托财产造成的损失不承担赔偿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（七）更换被授权人员等的程序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甲方撤换被授权人员、改变被授权人员的权限、变更或新增接收传真指令的号码、预留电话号码、预留邮箱，必须提前至少</w:t>
      </w:r>
      <w:bookmarkStart w:id="29" w:name="Text44"/>
      <w:r>
        <w:rPr>
          <w:rFonts w:hint="eastAsia" w:ascii="方正仿宋" w:hAnsi="宋体" w:eastAsia="方正仿宋" w:cs="Times New Roman"/>
          <w:kern w:val="0"/>
          <w:sz w:val="28"/>
          <w:szCs w:val="28"/>
          <w:highlight w:val="none"/>
          <w:lang w:val="en-US" w:eastAsia="zh-CN" w:bidi="ar-SA"/>
        </w:rPr>
        <w:fldChar w:fldCharType="begin">
          <w:ffData>
            <w:name w:val="Text44"/>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29"/>
      <w:r>
        <w:rPr>
          <w:rFonts w:hint="eastAsia" w:ascii="方正仿宋" w:hAnsi="宋体" w:eastAsia="方正仿宋" w:cs="Times New Roman"/>
          <w:kern w:val="0"/>
          <w:sz w:val="28"/>
          <w:szCs w:val="28"/>
          <w:highlight w:val="none"/>
        </w:rPr>
        <w:t>个交易日，使用传真方式或其他甲方和乙方认可的方式重新向乙方发出加盖甲方公章的授权通知书，同时电话通知乙方。经甲方与乙方以电话方式或其他甲方和乙方认可的方式确认后，授权通知书于其载明的生效时间生效，同时原授权通知书失效。授权通知书正本内容与乙方收到的传真不一致的，以乙方收到的传真为准。乙方更换接收甲方指令的人员，应提前通知甲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（八）指令的保管</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指令若以传真（电子邮件）形式发出，则正本由甲方保管，乙方保管指令传真件（或电子邮件）。当两者不一致时，以乙方收到的指令传真件（或电子邮件）为准。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（九）相关责任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对于因没有充足资金致使甲方向乙方发出的指令未能及时清算所造成的损失，由甲方承担。因甲方原因造成的传输不及时、未能留出足够执行时间、未能及时与乙方进行指令确认致使资金未能及时清算或交易失败所造成的损失由甲方承担。乙方正确执行甲方发送的有效指令，委托财产发生损失的，乙方不承担任何形式的责任。在正常业务受理渠道和指令规定的时间内，因乙方过错造成未能及时或正确执行合法合规的指令而导致委托财产受损的，乙方应承担相应的责任，但如遇到不可抗力的情况除外。</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乙方根据本合同相关约定履行印鉴和签名的表面一致性形式审核职责，如果甲方的指令存在事实上未经授权、欺诈、伪造或未能及时提供授权通知书等情形，乙方不承担因执行有关指令或拒绝执行有关指令而给甲方或理财产品财产或任何第三方带来的损失，全部责任由甲方承担，但乙方未按本合同约定尽形式审核义务执行指令而造成损失的情形除外。</w:t>
      </w:r>
    </w:p>
    <w:bookmarkEnd w:id="22"/>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w:t>
      </w:r>
      <w:r>
        <w:rPr>
          <w:rFonts w:hint="eastAsia" w:ascii="方正仿宋" w:hAnsi="宋体"/>
          <w:sz w:val="28"/>
          <w:highlight w:val="none"/>
        </w:rPr>
        <w:t>八</w:t>
      </w:r>
      <w:r>
        <w:rPr>
          <w:rFonts w:hint="eastAsia" w:ascii="方正仿宋" w:hAnsi="宋体" w:eastAsia="方正仿宋"/>
          <w:sz w:val="28"/>
          <w:szCs w:val="28"/>
          <w:highlight w:val="none"/>
        </w:rPr>
        <w:t>条</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会计核算与资产估值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（一）理财产品的估值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w:t>
      </w:r>
      <w:r>
        <w:rPr>
          <w:rFonts w:hint="eastAsia" w:ascii="方正仿宋" w:hAnsi="宋体" w:eastAsia="方正仿宋" w:cs="Times New Roman"/>
          <w:kern w:val="0"/>
          <w:sz w:val="28"/>
          <w:szCs w:val="28"/>
          <w:highlight w:val="none"/>
          <w:lang w:val="en-US" w:eastAsia="zh-CN"/>
        </w:rPr>
        <w:t>.</w:t>
      </w:r>
      <w:r>
        <w:rPr>
          <w:rFonts w:hint="eastAsia" w:ascii="方正仿宋" w:hAnsi="宋体" w:eastAsia="方正仿宋" w:cs="Times New Roman"/>
          <w:kern w:val="0"/>
          <w:sz w:val="28"/>
          <w:szCs w:val="28"/>
          <w:highlight w:val="none"/>
        </w:rPr>
        <w:t>估值目的及程序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理财产品估值目的是为了准确、真实地反映理财产品相关金融资产和金融负债的公允价值，并为理财产品份额的参与和退出等提供计价依据。</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甲方为理财产品的会计责任人。甲、乙双方协商一致，以每只理财产品名义对理财产品财产独立建账、独立核算，并指定专门人员负责理财产品财产会计核算与账册保管。</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资产净值是指理财产品资产总值减去负债后的价值，理财产品份额净值等于计算日理财产品资产净值除以计算日理财产品份额总额。理财产品份额净值保留小数位、产品分红、结转规则以《理财产品说明书》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rPr>
        <w:t>甲乙双方按照双方协商一致的会计核算办法及估值办法进行会计估值与处理，并定期对账，以保证理财产品财产的估值和会计核算准确完整。甲方与乙方核对理财产品账务时间</w:t>
      </w:r>
      <w:r>
        <w:rPr>
          <w:rFonts w:hint="eastAsia" w:ascii="方正仿宋" w:hAnsi="宋体" w:eastAsia="方正仿宋" w:cs="Times New Roman"/>
          <w:kern w:val="0"/>
          <w:sz w:val="28"/>
          <w:szCs w:val="28"/>
          <w:highlight w:val="none"/>
          <w:lang w:val="en-US" w:eastAsia="zh-CN"/>
        </w:rPr>
        <w:t>如下：</w:t>
      </w:r>
    </w:p>
    <w:p>
      <w:pPr>
        <w:numPr>
          <w:ilvl w:val="0"/>
          <w:numId w:val="1"/>
        </w:num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lang w:val="en-US" w:eastAsia="zh-CN"/>
        </w:rPr>
        <w:t>T+n(n&lt;=1)确认申赎的理财产品，</w:t>
      </w:r>
      <w:r>
        <w:rPr>
          <w:rFonts w:hint="eastAsia" w:ascii="方正仿宋" w:hAnsi="宋体" w:eastAsia="方正仿宋" w:cs="Times New Roman"/>
          <w:kern w:val="0"/>
          <w:sz w:val="28"/>
          <w:szCs w:val="28"/>
          <w:highlight w:val="none"/>
        </w:rPr>
        <w:t>每周最后</w:t>
      </w:r>
      <w:bookmarkStart w:id="30" w:name="Text49"/>
      <w:r>
        <w:rPr>
          <w:rFonts w:hint="eastAsia" w:ascii="方正仿宋" w:hAnsi="宋体" w:eastAsia="方正仿宋" w:cs="Times New Roman"/>
          <w:kern w:val="0"/>
          <w:sz w:val="28"/>
          <w:szCs w:val="28"/>
          <w:highlight w:val="none"/>
          <w:lang w:val="en-US" w:eastAsia="zh-CN" w:bidi="ar-SA"/>
        </w:rPr>
        <w:fldChar w:fldCharType="begin">
          <w:ffData>
            <w:name w:val="Text49"/>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30"/>
      <w:r>
        <w:rPr>
          <w:rFonts w:hint="eastAsia" w:ascii="方正仿宋" w:hAnsi="宋体" w:eastAsia="方正仿宋" w:cs="Times New Roman"/>
          <w:kern w:val="0"/>
          <w:sz w:val="28"/>
          <w:szCs w:val="28"/>
          <w:highlight w:val="none"/>
        </w:rPr>
        <w:t>个交易所工作日、每个产品开放日</w:t>
      </w:r>
      <w:r>
        <w:rPr>
          <w:rFonts w:hint="eastAsia" w:ascii="方正仿宋" w:hAnsi="宋体" w:eastAsia="方正仿宋" w:cs="Times New Roman"/>
          <w:kern w:val="0"/>
          <w:sz w:val="28"/>
          <w:szCs w:val="28"/>
          <w:highlight w:val="none"/>
          <w:lang w:val="en-US" w:eastAsia="zh-CN"/>
        </w:rPr>
        <w:t>以及每年最后一个自然日对账</w:t>
      </w:r>
      <w:r>
        <w:rPr>
          <w:rFonts w:hint="eastAsia" w:ascii="方正仿宋" w:hAnsi="宋体" w:eastAsia="方正仿宋" w:cs="Times New Roman"/>
          <w:kern w:val="0"/>
          <w:sz w:val="28"/>
          <w:szCs w:val="28"/>
          <w:highlight w:val="none"/>
        </w:rPr>
        <w:t>，</w:t>
      </w:r>
      <w:r>
        <w:rPr>
          <w:rFonts w:hint="eastAsia" w:ascii="方正仿宋" w:hAnsi="宋体" w:eastAsia="方正仿宋" w:cs="Times New Roman"/>
          <w:kern w:val="0"/>
          <w:sz w:val="28"/>
          <w:szCs w:val="28"/>
          <w:highlight w:val="none"/>
          <w:lang w:val="en-US" w:eastAsia="zh-CN"/>
        </w:rPr>
        <w:t>并</w:t>
      </w:r>
      <w:r>
        <w:rPr>
          <w:rFonts w:hint="eastAsia" w:ascii="方正仿宋" w:hAnsi="宋体" w:eastAsia="方正仿宋" w:cs="Times New Roman"/>
          <w:kern w:val="0"/>
          <w:sz w:val="28"/>
          <w:szCs w:val="28"/>
          <w:highlight w:val="none"/>
        </w:rPr>
        <w:t>应于当日</w:t>
      </w:r>
      <w:r>
        <w:rPr>
          <w:rFonts w:hint="eastAsia" w:ascii="方正仿宋" w:hAnsi="宋体" w:eastAsia="方正仿宋" w:cs="Times New Roman"/>
          <w:kern w:val="0"/>
          <w:sz w:val="28"/>
          <w:szCs w:val="28"/>
          <w:highlight w:val="none"/>
          <w:lang w:val="en-US" w:eastAsia="zh-CN"/>
        </w:rPr>
        <w:t>完成</w:t>
      </w:r>
      <w:r>
        <w:rPr>
          <w:rFonts w:hint="eastAsia" w:ascii="方正仿宋" w:hAnsi="宋体" w:eastAsia="方正仿宋" w:cs="Times New Roman"/>
          <w:kern w:val="0"/>
          <w:sz w:val="28"/>
          <w:szCs w:val="28"/>
          <w:highlight w:val="none"/>
        </w:rPr>
        <w:t>。</w:t>
      </w:r>
    </w:p>
    <w:p>
      <w:pPr>
        <w:numPr>
          <w:ilvl w:val="0"/>
          <w:numId w:val="1"/>
        </w:num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kern w:val="0"/>
          <w:sz w:val="28"/>
          <w:szCs w:val="28"/>
          <w:highlight w:val="none"/>
          <w:lang w:eastAsia="zh-CN"/>
        </w:rPr>
        <w:t>T</w:t>
      </w:r>
      <w:r>
        <w:rPr>
          <w:rFonts w:hint="eastAsia" w:ascii="方正仿宋" w:hAnsi="宋体" w:eastAsia="方正仿宋"/>
          <w:kern w:val="0"/>
          <w:sz w:val="28"/>
          <w:szCs w:val="28"/>
          <w:highlight w:val="none"/>
          <w:lang w:val="en-US" w:eastAsia="zh-CN"/>
        </w:rPr>
        <w:t>+n（n&gt;1）确认申赎的理财产品，每周最后一个交易所工作日、每个产品开放日以及每年最后一个自然日对账，并应于n-1个工作日内完成。</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方应以电子对账、电子邮件或双方认可的其他方式将理财产品有关会计账目发送给乙方，乙方进行复核并反馈，如发现双方账目存在不符的，甲方和乙方及时查明原因并纠正，保证双方账目完全相符。如果双方在【估值结果披露日前</w:t>
      </w:r>
      <w:bookmarkStart w:id="31" w:name="Text46"/>
      <w:r>
        <w:rPr>
          <w:rFonts w:hint="eastAsia" w:ascii="方正仿宋" w:hAnsi="宋体" w:eastAsia="方正仿宋" w:cs="Times New Roman"/>
          <w:kern w:val="0"/>
          <w:sz w:val="28"/>
          <w:szCs w:val="28"/>
          <w:highlight w:val="none"/>
          <w:lang w:val="en-US" w:eastAsia="zh-CN" w:bidi="ar-SA"/>
        </w:rPr>
        <w:fldChar w:fldCharType="begin">
          <w:ffData>
            <w:name w:val="Text46"/>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31"/>
      <w:r>
        <w:rPr>
          <w:rFonts w:hint="eastAsia" w:ascii="方正仿宋" w:hAnsi="宋体" w:eastAsia="方正仿宋" w:cs="Times New Roman"/>
          <w:kern w:val="0"/>
          <w:sz w:val="28"/>
          <w:szCs w:val="28"/>
          <w:highlight w:val="none"/>
        </w:rPr>
        <w:t>工作日】未能就估值核算结果达成一致意见，最终以甲方的估值核算结果为准，乙方不承担责任。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甲乙双方应定期与相关外部机构核对资产登记持仓情况，以保证理财产品资产登记持仓的准确性。</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lang w:val="en-US" w:eastAsia="zh-CN"/>
        </w:rPr>
        <w:t>2.</w:t>
      </w:r>
      <w:r>
        <w:rPr>
          <w:rFonts w:hint="eastAsia" w:ascii="方正仿宋" w:hAnsi="宋体" w:eastAsia="方正仿宋" w:cs="Times New Roman"/>
          <w:kern w:val="0"/>
          <w:sz w:val="28"/>
          <w:szCs w:val="28"/>
          <w:highlight w:val="none"/>
        </w:rPr>
        <w:t>估值原则</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理财产品按照《企业会计准则》、《关于规范金融机构资产管理业务的指导意见》、《商业银行理财业务监督管理办法》、《资产管理产品相关会计处理规定》等相关规定，确认和计量理财产品的净值。甲方作为会计主体负责制订理财产品会计核算办法及估值办法。每个自然日对理财产品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3.估值方法</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（1）非现金管理类理财产品估值方法：</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在证券交易所和全国银行间市场交易的标准化债权类资产，可按第三方估值机构（中证、中债等）提供的估值数据进行估值，具体第三方估值机构由管理人和托管人具体协商确定。其中，证券交易所上市的标准化债权类资产，第三方估值机构提供的估值价格与收盘价存在差异的，若理财产品管理人认定交易所收盘价更能体现公允价值，可与理财产品托管人协商一致后采用收盘价进行估值。如果第三方估值和收盘价都无法准确反馈公允价值的，采用估值技术进行估值。【同时，符合以下条件之一的，可按照企业会计准则以摊余成本进行计量：一是封闭式产品，且所投金融资产以收取合同现金流为目的并持有至到期，资产到期日小于封闭式理财产品到期日；二是封闭式产品，且所投金融资产暂不具备活跃交易市场，或者在活跃市场中没有报价、也不能采用估值技术可靠计量公允价值。（封闭式产品适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非标准化债权类资产，通常不存在活跃报价的交易市场，通过估值技术确定其公允价值。【同时，符合以下条件之一的，可按照企业会计准则以摊余成本进行计量：一是封闭式产品，且所投金融资产以收取合同现金流为目的并持有至到期，资产到期日小于封闭式理财产品到期日；二是封闭式产品，且所投金融资产暂不具备活跃交易市场，或者在活跃市场中没有报价、也不能采用估值技术可靠计量公允价值。（封闭式产品适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在证券交易所上市流通的股票，估值日有交易的，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4）未上市期间的有价证券应区分如下情况处理：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i）送股、转增股、配股和公开增发新股，按估值日在证券交易所挂牌的同一股票的市价（收盘价）估值；如果估值日无交易，且最近交易日后经济环境未发生重大变化且证券发行机构未发生影响证券价格的重大事件的，以最近交易日的市价（收盘价）估值；最近交易日后经济环境发生了重大变化或证券发行机构发生影响证券价格的重大事件的，将参考监管机构或行业协会有关规定，调整最近交易日收盘价，确定公允价值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ii）首次公开发行未上市或未挂牌转让的股票、债券，如果发行日后未发生影响公允价值计量的重大事件的，采用发行价作为公允价值的最佳估计；已发生影响公允价值计量重大事件的，应采用估值技术确定公允价值；若估值技术难以可靠计量公允价值的情况下，依据国家监管或行业协会最新规定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iii）发行时明确一定期限限售期的股票（包括但不限于非公开发行股票、首次公开发行股票时公司股东公开发售股份、通过大宗交易取得的带限售期的股票等，不包括停牌、新发行未上市、回购交易中的质押等流通受限股票），以同一股票的收盘价为基础，引入流动性折扣进行估值；若估值技术难以可靠计量公允价值的情况下，依据国家监管或行业协会最新规定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5）交易所上市未实行净价交易的债券按估值日收盘全价或第三方估值机构提供的相应品种当日的估值全价减去收盘价或估值全价中所含的债券应收利息得到的净价进行估值。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6）可转换私募债券和可交换私募债券未转股前按照公允价值估值。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7）在证券交易所及全国中小企业股份转让系统等市场交易的优先股，其交易量及交易频率足以持续提供公允价值信息的，估值日有交易，可按估值日收盘价估值；估值日无交易，且最近交易日后未发生影响公允价值计量的重大事件，可参考该优先股或类似投资品种最近交易日收盘价确定公允价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不满足上述条件的，可根据优先股的股息支付条款，经理财产品管理人与托管人协商，采用现金流折现模型等估值模型，或依据第三方估值机构提供的价格数据确定公允价值。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8）期货、互换、期权、权证等衍生金融工具场内交易以交易所最近交易日结算价或收盘价进行估值，场外交易按照第三方机构（上海清算所等）提供的估值数据、或管理人认可的估值模型和参数处理模式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9）公募基金类资产按照本理财产品所投资的公募基金以估值日公布的产品单位净值进行估值，估值日产品单位净值未公布的，以最近</w:t>
      </w:r>
      <w:bookmarkStart w:id="32" w:name="Text50"/>
      <w:r>
        <w:rPr>
          <w:rFonts w:hint="eastAsia" w:ascii="方正仿宋" w:hAnsi="宋体" w:eastAsia="方正仿宋" w:cs="Times New Roman"/>
          <w:kern w:val="0"/>
          <w:sz w:val="28"/>
          <w:szCs w:val="28"/>
          <w:highlight w:val="none"/>
          <w:lang w:val="en-US" w:eastAsia="zh-CN" w:bidi="ar-SA"/>
        </w:rPr>
        <w:fldChar w:fldCharType="begin">
          <w:ffData>
            <w:name w:val="Text50"/>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32"/>
      <w:r>
        <w:rPr>
          <w:rFonts w:hint="eastAsia" w:ascii="方正仿宋" w:hAnsi="宋体" w:eastAsia="方正仿宋" w:cs="Times New Roman"/>
          <w:kern w:val="0"/>
          <w:sz w:val="28"/>
          <w:szCs w:val="28"/>
          <w:highlight w:val="none"/>
        </w:rPr>
        <w:t>个工作日产品单位净值计算。其中，货币市场基金单位价值按1.0000计算，按估值日前</w:t>
      </w:r>
      <w:r>
        <w:rPr>
          <w:rFonts w:hint="eastAsia" w:ascii="方正仿宋" w:hAnsi="宋体" w:eastAsia="方正仿宋" w:cs="Times New Roman"/>
          <w:kern w:val="0"/>
          <w:sz w:val="28"/>
          <w:szCs w:val="28"/>
          <w:highlight w:val="none"/>
          <w:lang w:val="en-US" w:eastAsia="zh-CN" w:bidi="ar-SA"/>
        </w:rPr>
        <w:fldChar w:fldCharType="begin">
          <w:ffData>
            <w:name w:val="Text51"/>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r>
        <w:rPr>
          <w:rFonts w:hint="eastAsia" w:ascii="方正仿宋" w:hAnsi="宋体" w:eastAsia="方正仿宋" w:cs="Times New Roman"/>
          <w:kern w:val="0"/>
          <w:sz w:val="28"/>
          <w:szCs w:val="28"/>
          <w:highlight w:val="none"/>
        </w:rPr>
        <w:t>交易日基金管理公司披露的每万份收益逐日计提收益。交易所基金(包括封闭式基金、上市开放式基金（LOF）、交易型开放式指数基金（ETF）等)，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10）未上市基金估值：境内未上市的货币市场基金以成本估值，估值日按基金公布的最新万份收益计提红利；境内未上市的非货币市场基金，估值日按所投资基金公布的最新份额净值估值。当日未公布的，以最近能获取的基金份额净值为准。若投资为私募股权投资基金，可由基金管理人提供估值净值数据，如基金管理人不提供估值的，可采用第三方机构提供的估值数据或管理人认可的估值技术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11）资产管理产品：</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（i）以资产管理计划的管理人、信托计划的受托人等资产管理产品的管理人和资产管理产品的托管人共同确认的净值或投资收益情况进行估值。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ii）非标准化债权资产，通常不存在活跃报价的交易市场，通过估值技术确定其公允价值。【同时，符合以下条件之一的，可按照企业会计准则以摊余成本进行计量：一是封闭式产品，且所投金融资产以收取合同现金流为目的并持有至到期，资产到期日小于封闭式理财产品到期日；二是封闭式产品，且所投金融资产暂不具备活跃交易市场，或者在活跃市场中没有报价、也不能采用估值技术可靠计量公允价值。（封闭式产品适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12）债券回购和拆借按本金列示，逐日计提利息。</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13）银行存款以每个估值日以本金列示，逐日计提利息。</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14）结构性票据以能获取的发行人和托管人共同确认的净值或投资收益情况进行估值；如无法获取净值或投资收益情况，可采用估值技术确定公允价值。有确定的预期收益，则根据预期收益每天计提利息；无确定的预期收益，则不计提利息；实际利息以到期金额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15）在境外OTC 市场交易的中资美元债、存单选取第三方估值机构提供的相应品种的估值结果数据进行估值。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16）中资美元AT1 采取第三方估值机构提供的估值结果数据进行估值。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17）境内活期存款、外币（美元）定期存款、美元质押式逆回购每个估值日以本金列示，逐日计提利息。境外活期存款每日不预估利息，待结息时按实际结息金额一次性确认收入并计入理财资产。</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18）非上市股权类资产，通常不存在活跃报价的交易市场，采用估值技术进行估值。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（2）现金管理类理财产品估值方法：</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1）债券等固定收益类资产采用摊余成本法估值。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2）货币市场基金单位价值按1.0000计算，按估值日前</w:t>
      </w:r>
      <w:r>
        <w:rPr>
          <w:rFonts w:hint="eastAsia" w:ascii="方正仿宋" w:hAnsi="宋体" w:eastAsia="方正仿宋" w:cs="Times New Roman"/>
          <w:kern w:val="0"/>
          <w:sz w:val="28"/>
          <w:szCs w:val="28"/>
          <w:highlight w:val="none"/>
          <w:lang w:val="en-US" w:eastAsia="zh-CN" w:bidi="ar-SA"/>
        </w:rPr>
        <w:fldChar w:fldCharType="begin">
          <w:ffData>
            <w:name w:val="Text52"/>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r>
        <w:rPr>
          <w:rFonts w:hint="eastAsia" w:ascii="方正仿宋" w:hAnsi="宋体" w:eastAsia="方正仿宋" w:cs="Times New Roman"/>
          <w:kern w:val="0"/>
          <w:sz w:val="28"/>
          <w:szCs w:val="28"/>
          <w:highlight w:val="none"/>
        </w:rPr>
        <w:t>交易日基金管理公司披露的每万份收益逐日计提收益。</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3）各类资产管理计划以资产管理计划的管理人确认的净值或投资收益情况进行估值。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4）债券回购和拆借按本金列示，逐日计提利息。</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5）银行存款按本金列示，逐日计提利息。</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3）若理财产品存续期间持有其他投资品种，以管理人和托管人共同认可的方法估值。对于非现金管理类理财产品，以摊余成本法计量或以公允价值计量且其变动计入其他综合收益的资产，需要采用第三方减值计量结果或模型进行减值计提。计提减值不代表金融资产已发生损失，仅为对未来风险的审慎预期。</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4）在任何情况下，如采用以上规定的方法对资产进行估值，均应被认为采用了适当的估值方法。但是，如果管理人或托管人认为按以上规定的方法对产品资产进行估值不能客观反映其公允价值的，可提出异议，协商一致后，变更公允价值的确定方式，并从经管理人与托管人协商一致日起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5）对于以上估值方法，相关法律法规、监管机构及行业协会有另行规定的，按照最新规定执行。如并无明确规定和要求的，由产品管理人与托管人协商确定计算方法。理财产品根据实际情况选择估值方法，具体以《理财产品说明书》中估值方法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lang w:val="en-US" w:eastAsia="zh-CN"/>
        </w:rPr>
        <w:t>4.</w:t>
      </w:r>
      <w:r>
        <w:rPr>
          <w:rFonts w:hint="eastAsia" w:ascii="方正仿宋" w:hAnsi="宋体" w:eastAsia="方正仿宋" w:cs="Times New Roman"/>
          <w:kern w:val="0"/>
          <w:sz w:val="28"/>
          <w:szCs w:val="28"/>
          <w:highlight w:val="none"/>
        </w:rPr>
        <w:t xml:space="preserve">采用摊余成本法进行估值，即计价对象以买入成本列示，按实际利率并考虑其买入时的溢价与折价，在其剩余存续期内摊销，每日计提损益。 </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rPr>
      </w:pPr>
      <w:r>
        <w:rPr>
          <w:rFonts w:hint="eastAsia" w:ascii="方正仿宋" w:hAnsi="宋体" w:eastAsia="方正仿宋" w:cs="Times New Roman"/>
          <w:kern w:val="0"/>
          <w:sz w:val="28"/>
          <w:szCs w:val="28"/>
          <w:highlight w:val="none"/>
        </w:rPr>
        <w:t>由于按摊余成本法计价可能会出现被计价对象的其他可参考公允价值指标和摊余成本之间的偏离，为消除或减少因理财产品资产净值的背离导致理财产品投资者权益的稀释或其他不公平的结果，在实际操作中，甲方与乙方将采用估值技术，对理财产品持有的估值对象进行重新评估，即“影子定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当投资组合的摊余成本与其他可参考公允价值指标产生重大偏离，甲方将在与乙方协商一致后按照其它可参考公允价值指标对组合的账面价值进行调整，使理财产品资产净值更能公允地反映理财产品资产价值，确保以摊余成本法计算的理财产品资产净值不会对理财产品投资者造成实质性的损害。估值标准最终由甲方确定，并对估值标准的合规性、准确性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当“影子定价”确定的理财产品资产净值与“摊余成本法”计算的理财产品资产净值的偏离度的绝对值达到或超过</w:t>
      </w:r>
      <w:bookmarkStart w:id="33" w:name="Text53"/>
      <w:r>
        <w:rPr>
          <w:rFonts w:hint="eastAsia" w:ascii="方正仿宋" w:hAnsi="宋体" w:eastAsia="方正仿宋" w:cs="Times New Roman"/>
          <w:kern w:val="0"/>
          <w:sz w:val="28"/>
          <w:szCs w:val="28"/>
          <w:highlight w:val="none"/>
          <w:lang w:val="en-US" w:eastAsia="zh-CN" w:bidi="ar-SA"/>
        </w:rPr>
        <w:fldChar w:fldCharType="begin">
          <w:ffData>
            <w:name w:val="Text53"/>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33"/>
      <w:r>
        <w:rPr>
          <w:rFonts w:hint="eastAsia" w:ascii="方正仿宋" w:hAnsi="宋体" w:eastAsia="方正仿宋" w:cs="Times New Roman"/>
          <w:kern w:val="0"/>
          <w:sz w:val="28"/>
          <w:szCs w:val="28"/>
          <w:highlight w:val="none"/>
          <w:lang w:val="en-US" w:eastAsia="zh-CN"/>
        </w:rPr>
        <w:t>%时，甲方应根据风险控制的需要调整组合，其中，对于偏离度的绝对值达到或超过</w:t>
      </w:r>
      <w:bookmarkStart w:id="34" w:name="Text54"/>
      <w:r>
        <w:rPr>
          <w:rFonts w:hint="eastAsia" w:ascii="方正仿宋" w:hAnsi="宋体" w:eastAsia="方正仿宋" w:cs="Times New Roman"/>
          <w:kern w:val="0"/>
          <w:sz w:val="28"/>
          <w:szCs w:val="28"/>
          <w:highlight w:val="none"/>
          <w:lang w:val="en-US" w:eastAsia="zh-CN" w:bidi="ar-SA"/>
        </w:rPr>
        <w:fldChar w:fldCharType="begin">
          <w:ffData>
            <w:name w:val="Text54"/>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34"/>
      <w:r>
        <w:rPr>
          <w:rFonts w:hint="eastAsia" w:ascii="方正仿宋" w:hAnsi="宋体" w:eastAsia="方正仿宋" w:cs="Times New Roman"/>
          <w:kern w:val="0"/>
          <w:sz w:val="28"/>
          <w:szCs w:val="28"/>
          <w:highlight w:val="none"/>
          <w:lang w:val="en-US" w:eastAsia="zh-CN"/>
        </w:rPr>
        <w:t>%的情形，甲方应编制并披露临时报告。</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现金管理类理财产品当“影子定价”确定的资产净值与摊余成本法计算的资产净值正偏离度绝对值达到</w:t>
      </w:r>
      <w:bookmarkStart w:id="35" w:name="Text55"/>
      <w:r>
        <w:rPr>
          <w:rFonts w:hint="eastAsia" w:ascii="方正仿宋" w:hAnsi="宋体" w:eastAsia="方正仿宋" w:cs="Times New Roman"/>
          <w:kern w:val="0"/>
          <w:sz w:val="28"/>
          <w:szCs w:val="28"/>
          <w:highlight w:val="none"/>
          <w:lang w:val="en-US" w:eastAsia="zh-CN" w:bidi="ar-SA"/>
        </w:rPr>
        <w:fldChar w:fldCharType="begin">
          <w:ffData>
            <w:name w:val="Text55"/>
            <w:enabled/>
            <w:calcOnExit w:val="0"/>
            <w:textInput>
              <w:default w:val="0.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0.5</w:t>
      </w:r>
      <w:r>
        <w:rPr>
          <w:rFonts w:hint="eastAsia" w:ascii="方正仿宋" w:hAnsi="宋体" w:eastAsia="方正仿宋" w:cs="Times New Roman"/>
          <w:kern w:val="0"/>
          <w:sz w:val="28"/>
          <w:szCs w:val="28"/>
          <w:highlight w:val="none"/>
          <w:lang w:val="en-US" w:eastAsia="zh-CN" w:bidi="ar-SA"/>
        </w:rPr>
        <w:fldChar w:fldCharType="end"/>
      </w:r>
      <w:bookmarkEnd w:id="35"/>
      <w:r>
        <w:rPr>
          <w:rFonts w:hint="eastAsia" w:ascii="方正仿宋" w:hAnsi="宋体" w:eastAsia="方正仿宋" w:cs="Times New Roman"/>
          <w:kern w:val="0"/>
          <w:sz w:val="28"/>
          <w:szCs w:val="28"/>
          <w:highlight w:val="none"/>
          <w:lang w:val="en-US" w:eastAsia="zh-CN"/>
        </w:rPr>
        <w:t>%时，甲方应当暂停接受认购并在</w:t>
      </w:r>
      <w:bookmarkStart w:id="36" w:name="Text56"/>
      <w:r>
        <w:rPr>
          <w:rFonts w:hint="eastAsia" w:ascii="方正仿宋" w:hAnsi="宋体" w:eastAsia="方正仿宋" w:cs="Times New Roman"/>
          <w:kern w:val="0"/>
          <w:sz w:val="28"/>
          <w:szCs w:val="28"/>
          <w:highlight w:val="none"/>
          <w:lang w:val="en-US" w:eastAsia="zh-CN" w:bidi="ar-SA"/>
        </w:rPr>
        <w:fldChar w:fldCharType="begin">
          <w:ffData>
            <w:name w:val="Text56"/>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36"/>
      <w:r>
        <w:rPr>
          <w:rFonts w:hint="eastAsia" w:ascii="方正仿宋" w:hAnsi="宋体" w:eastAsia="方正仿宋" w:cs="Times New Roman"/>
          <w:kern w:val="0"/>
          <w:sz w:val="28"/>
          <w:szCs w:val="28"/>
          <w:highlight w:val="none"/>
          <w:lang w:val="en-US" w:eastAsia="zh-CN"/>
        </w:rPr>
        <w:t>个交易日内将正偏离度绝对值调整到</w:t>
      </w:r>
      <w:bookmarkStart w:id="37" w:name="Text57"/>
      <w:r>
        <w:rPr>
          <w:rFonts w:hint="eastAsia" w:ascii="方正仿宋" w:hAnsi="宋体" w:eastAsia="方正仿宋" w:cs="Times New Roman"/>
          <w:kern w:val="0"/>
          <w:sz w:val="28"/>
          <w:szCs w:val="28"/>
          <w:highlight w:val="none"/>
          <w:lang w:val="en-US" w:eastAsia="zh-CN" w:bidi="ar-SA"/>
        </w:rPr>
        <w:fldChar w:fldCharType="begin">
          <w:ffData>
            <w:name w:val="Text57"/>
            <w:enabled/>
            <w:calcOnExit w:val="0"/>
            <w:textInput>
              <w:default w:val="0.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0.5</w:t>
      </w:r>
      <w:r>
        <w:rPr>
          <w:rFonts w:hint="eastAsia" w:ascii="方正仿宋" w:hAnsi="宋体" w:eastAsia="方正仿宋" w:cs="Times New Roman"/>
          <w:kern w:val="0"/>
          <w:sz w:val="28"/>
          <w:szCs w:val="28"/>
          <w:highlight w:val="none"/>
          <w:lang w:val="en-US" w:eastAsia="zh-CN" w:bidi="ar-SA"/>
        </w:rPr>
        <w:fldChar w:fldCharType="end"/>
      </w:r>
      <w:bookmarkEnd w:id="37"/>
      <w:r>
        <w:rPr>
          <w:rFonts w:hint="eastAsia" w:ascii="方正仿宋" w:hAnsi="宋体" w:eastAsia="方正仿宋" w:cs="Times New Roman"/>
          <w:kern w:val="0"/>
          <w:sz w:val="28"/>
          <w:szCs w:val="28"/>
          <w:highlight w:val="none"/>
          <w:lang w:val="en-US" w:eastAsia="zh-CN"/>
        </w:rPr>
        <w:t>%以内。当负偏离度绝对值达到</w:t>
      </w:r>
      <w:bookmarkStart w:id="38" w:name="Text58"/>
      <w:r>
        <w:rPr>
          <w:rFonts w:hint="eastAsia" w:ascii="方正仿宋" w:hAnsi="宋体" w:eastAsia="方正仿宋" w:cs="Times New Roman"/>
          <w:kern w:val="0"/>
          <w:sz w:val="28"/>
          <w:szCs w:val="28"/>
          <w:highlight w:val="none"/>
          <w:lang w:val="en-US" w:eastAsia="zh-CN" w:bidi="ar-SA"/>
        </w:rPr>
        <w:fldChar w:fldCharType="begin">
          <w:ffData>
            <w:name w:val="Text58"/>
            <w:enabled/>
            <w:calcOnExit w:val="0"/>
            <w:textInput>
              <w:default w:val="0.2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0.25</w:t>
      </w:r>
      <w:r>
        <w:rPr>
          <w:rFonts w:hint="eastAsia" w:ascii="方正仿宋" w:hAnsi="宋体" w:eastAsia="方正仿宋" w:cs="Times New Roman"/>
          <w:kern w:val="0"/>
          <w:sz w:val="28"/>
          <w:szCs w:val="28"/>
          <w:highlight w:val="none"/>
          <w:lang w:val="en-US" w:eastAsia="zh-CN" w:bidi="ar-SA"/>
        </w:rPr>
        <w:fldChar w:fldCharType="end"/>
      </w:r>
      <w:bookmarkEnd w:id="38"/>
      <w:r>
        <w:rPr>
          <w:rFonts w:hint="eastAsia" w:ascii="方正仿宋" w:hAnsi="宋体" w:eastAsia="方正仿宋" w:cs="Times New Roman"/>
          <w:kern w:val="0"/>
          <w:sz w:val="28"/>
          <w:szCs w:val="28"/>
          <w:highlight w:val="none"/>
          <w:lang w:val="en-US" w:eastAsia="zh-CN"/>
        </w:rPr>
        <w:t>%时，甲方应当在</w:t>
      </w:r>
      <w:bookmarkStart w:id="39" w:name="Text59"/>
      <w:r>
        <w:rPr>
          <w:rFonts w:hint="eastAsia" w:ascii="方正仿宋" w:hAnsi="宋体" w:eastAsia="方正仿宋" w:cs="Times New Roman"/>
          <w:kern w:val="0"/>
          <w:sz w:val="28"/>
          <w:szCs w:val="28"/>
          <w:highlight w:val="none"/>
          <w:lang w:val="en-US" w:eastAsia="zh-CN" w:bidi="ar-SA"/>
        </w:rPr>
        <w:fldChar w:fldCharType="begin">
          <w:ffData>
            <w:name w:val="Text59"/>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39"/>
      <w:r>
        <w:rPr>
          <w:rFonts w:hint="eastAsia" w:ascii="方正仿宋" w:hAnsi="宋体" w:eastAsia="方正仿宋" w:cs="Times New Roman"/>
          <w:kern w:val="0"/>
          <w:sz w:val="28"/>
          <w:szCs w:val="28"/>
          <w:highlight w:val="none"/>
          <w:lang w:val="en-US" w:eastAsia="zh-CN"/>
        </w:rPr>
        <w:t>个交易日内将负偏离度绝对值调整到</w:t>
      </w:r>
      <w:bookmarkStart w:id="40" w:name="Text60"/>
      <w:r>
        <w:rPr>
          <w:rFonts w:hint="eastAsia" w:ascii="方正仿宋" w:hAnsi="宋体" w:eastAsia="方正仿宋" w:cs="Times New Roman"/>
          <w:kern w:val="0"/>
          <w:sz w:val="28"/>
          <w:szCs w:val="28"/>
          <w:highlight w:val="none"/>
          <w:lang w:val="en-US" w:eastAsia="zh-CN" w:bidi="ar-SA"/>
        </w:rPr>
        <w:fldChar w:fldCharType="begin">
          <w:ffData>
            <w:name w:val="Text60"/>
            <w:enabled/>
            <w:calcOnExit w:val="0"/>
            <w:textInput>
              <w:default w:val="0.2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0.25</w:t>
      </w:r>
      <w:r>
        <w:rPr>
          <w:rFonts w:hint="eastAsia" w:ascii="方正仿宋" w:hAnsi="宋体" w:eastAsia="方正仿宋" w:cs="Times New Roman"/>
          <w:kern w:val="0"/>
          <w:sz w:val="28"/>
          <w:szCs w:val="28"/>
          <w:highlight w:val="none"/>
          <w:lang w:val="en-US" w:eastAsia="zh-CN" w:bidi="ar-SA"/>
        </w:rPr>
        <w:fldChar w:fldCharType="end"/>
      </w:r>
      <w:bookmarkEnd w:id="40"/>
      <w:r>
        <w:rPr>
          <w:rFonts w:hint="eastAsia" w:ascii="方正仿宋" w:hAnsi="宋体" w:eastAsia="方正仿宋" w:cs="Times New Roman"/>
          <w:kern w:val="0"/>
          <w:sz w:val="28"/>
          <w:szCs w:val="28"/>
          <w:highlight w:val="none"/>
          <w:lang w:val="en-US" w:eastAsia="zh-CN"/>
        </w:rPr>
        <w:t>%以内。当负偏离度绝对值达到</w:t>
      </w:r>
      <w:bookmarkStart w:id="41" w:name="Text61"/>
      <w:r>
        <w:rPr>
          <w:rFonts w:hint="eastAsia" w:ascii="方正仿宋" w:hAnsi="宋体" w:eastAsia="方正仿宋" w:cs="Times New Roman"/>
          <w:kern w:val="0"/>
          <w:sz w:val="28"/>
          <w:szCs w:val="28"/>
          <w:highlight w:val="none"/>
          <w:lang w:val="en-US" w:eastAsia="zh-CN" w:bidi="ar-SA"/>
        </w:rPr>
        <w:fldChar w:fldCharType="begin">
          <w:ffData>
            <w:name w:val="Text61"/>
            <w:enabled/>
            <w:calcOnExit w:val="0"/>
            <w:textInput>
              <w:default w:val="0.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0.5</w:t>
      </w:r>
      <w:r>
        <w:rPr>
          <w:rFonts w:hint="eastAsia" w:ascii="方正仿宋" w:hAnsi="宋体" w:eastAsia="方正仿宋" w:cs="Times New Roman"/>
          <w:kern w:val="0"/>
          <w:sz w:val="28"/>
          <w:szCs w:val="28"/>
          <w:highlight w:val="none"/>
          <w:lang w:val="en-US" w:eastAsia="zh-CN" w:bidi="ar-SA"/>
        </w:rPr>
        <w:fldChar w:fldCharType="end"/>
      </w:r>
      <w:bookmarkEnd w:id="41"/>
      <w:r>
        <w:rPr>
          <w:rFonts w:hint="eastAsia" w:ascii="方正仿宋" w:hAnsi="宋体" w:eastAsia="方正仿宋" w:cs="Times New Roman"/>
          <w:kern w:val="0"/>
          <w:sz w:val="28"/>
          <w:szCs w:val="28"/>
          <w:highlight w:val="none"/>
          <w:lang w:val="en-US" w:eastAsia="zh-CN"/>
        </w:rPr>
        <w:t>%时，甲方应当采取相应措施，将负偏离度绝对值控制在</w:t>
      </w:r>
      <w:bookmarkStart w:id="42" w:name="Text62"/>
      <w:r>
        <w:rPr>
          <w:rFonts w:hint="eastAsia" w:ascii="方正仿宋" w:hAnsi="宋体" w:eastAsia="方正仿宋" w:cs="Times New Roman"/>
          <w:kern w:val="0"/>
          <w:sz w:val="28"/>
          <w:szCs w:val="28"/>
          <w:highlight w:val="none"/>
          <w:lang w:val="en-US" w:eastAsia="zh-CN" w:bidi="ar-SA"/>
        </w:rPr>
        <w:fldChar w:fldCharType="begin">
          <w:ffData>
            <w:name w:val="Text62"/>
            <w:enabled/>
            <w:calcOnExit w:val="0"/>
            <w:textInput>
              <w:default w:val="0.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0.5</w:t>
      </w:r>
      <w:r>
        <w:rPr>
          <w:rFonts w:hint="eastAsia" w:ascii="方正仿宋" w:hAnsi="宋体" w:eastAsia="方正仿宋" w:cs="Times New Roman"/>
          <w:kern w:val="0"/>
          <w:sz w:val="28"/>
          <w:szCs w:val="28"/>
          <w:highlight w:val="none"/>
          <w:lang w:val="en-US" w:eastAsia="zh-CN" w:bidi="ar-SA"/>
        </w:rPr>
        <w:fldChar w:fldCharType="end"/>
      </w:r>
      <w:bookmarkEnd w:id="42"/>
      <w:r>
        <w:rPr>
          <w:rFonts w:hint="eastAsia" w:ascii="方正仿宋" w:hAnsi="宋体" w:eastAsia="方正仿宋" w:cs="Times New Roman"/>
          <w:kern w:val="0"/>
          <w:sz w:val="28"/>
          <w:szCs w:val="28"/>
          <w:highlight w:val="none"/>
          <w:lang w:val="en-US" w:eastAsia="zh-CN"/>
        </w:rPr>
        <w:t>%以内。当负偏离度绝对值连续</w:t>
      </w:r>
      <w:r>
        <w:rPr>
          <w:rFonts w:hint="eastAsia" w:ascii="方正仿宋" w:hAnsi="宋体" w:eastAsia="方正仿宋" w:cs="Times New Roman"/>
          <w:kern w:val="0"/>
          <w:sz w:val="28"/>
          <w:szCs w:val="28"/>
          <w:highlight w:val="none"/>
          <w:lang w:val="en-US" w:eastAsia="zh-CN" w:bidi="ar-SA"/>
        </w:rPr>
        <w:t>两</w:t>
      </w:r>
      <w:r>
        <w:rPr>
          <w:rFonts w:hint="eastAsia" w:ascii="方正仿宋" w:hAnsi="宋体" w:eastAsia="方正仿宋" w:cs="Times New Roman"/>
          <w:kern w:val="0"/>
          <w:sz w:val="28"/>
          <w:szCs w:val="28"/>
          <w:highlight w:val="none"/>
          <w:lang w:val="en-US" w:eastAsia="zh-CN"/>
        </w:rPr>
        <w:t>个交易日超过</w:t>
      </w:r>
      <w:bookmarkStart w:id="43" w:name="Text63"/>
      <w:r>
        <w:rPr>
          <w:rFonts w:hint="eastAsia" w:ascii="方正仿宋" w:hAnsi="宋体" w:eastAsia="方正仿宋" w:cs="Times New Roman"/>
          <w:kern w:val="0"/>
          <w:sz w:val="28"/>
          <w:szCs w:val="28"/>
          <w:highlight w:val="none"/>
          <w:lang w:val="en-US" w:eastAsia="zh-CN" w:bidi="ar-SA"/>
        </w:rPr>
        <w:fldChar w:fldCharType="begin">
          <w:ffData>
            <w:name w:val="Text63"/>
            <w:enabled/>
            <w:calcOnExit w:val="0"/>
            <w:textInput>
              <w:default w:val="0.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0.5</w:t>
      </w:r>
      <w:r>
        <w:rPr>
          <w:rFonts w:hint="eastAsia" w:ascii="方正仿宋" w:hAnsi="宋体" w:eastAsia="方正仿宋" w:cs="Times New Roman"/>
          <w:kern w:val="0"/>
          <w:sz w:val="28"/>
          <w:szCs w:val="28"/>
          <w:highlight w:val="none"/>
          <w:lang w:val="en-US" w:eastAsia="zh-CN" w:bidi="ar-SA"/>
        </w:rPr>
        <w:fldChar w:fldCharType="end"/>
      </w:r>
      <w:bookmarkEnd w:id="43"/>
      <w:r>
        <w:rPr>
          <w:rFonts w:hint="eastAsia" w:ascii="方正仿宋" w:hAnsi="宋体" w:eastAsia="方正仿宋" w:cs="Times New Roman"/>
          <w:kern w:val="0"/>
          <w:sz w:val="28"/>
          <w:szCs w:val="28"/>
          <w:highlight w:val="none"/>
          <w:lang w:val="en-US" w:eastAsia="zh-CN"/>
        </w:rPr>
        <w:t>%时，甲方应当采用公允价值估值方法对持有投资组合的账面价值进行调整，或者采用暂停接受所有赎回申请并终止合同进行财产清算等措施。</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5.估值错误的处理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估值错误的处理程序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当理财产品估值出现错误时，甲方和乙方应立即通知对方，共同查明原因，并采取合理的措施防止损失进一步扩大。当理财产品估值错误偏差达到理财产品净值的</w:t>
      </w:r>
      <w:bookmarkStart w:id="44" w:name="Text65"/>
      <w:r>
        <w:rPr>
          <w:rFonts w:hint="eastAsia" w:ascii="方正仿宋" w:hAnsi="宋体" w:eastAsia="方正仿宋" w:cs="Times New Roman"/>
          <w:kern w:val="0"/>
          <w:sz w:val="28"/>
          <w:szCs w:val="28"/>
          <w:highlight w:val="none"/>
          <w:lang w:val="en-US" w:eastAsia="zh-CN" w:bidi="ar-SA"/>
        </w:rPr>
        <w:fldChar w:fldCharType="begin">
          <w:ffData>
            <w:name w:val="Text65"/>
            <w:enabled/>
            <w:calcOnExit w:val="0"/>
            <w:textInput>
              <w:default w:val="0.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0.5</w:t>
      </w:r>
      <w:r>
        <w:rPr>
          <w:rFonts w:hint="eastAsia" w:ascii="方正仿宋" w:hAnsi="宋体" w:eastAsia="方正仿宋" w:cs="Times New Roman"/>
          <w:kern w:val="0"/>
          <w:sz w:val="28"/>
          <w:szCs w:val="28"/>
          <w:highlight w:val="none"/>
          <w:lang w:val="en-US" w:eastAsia="zh-CN" w:bidi="ar-SA"/>
        </w:rPr>
        <w:fldChar w:fldCharType="end"/>
      </w:r>
      <w:bookmarkEnd w:id="44"/>
      <w:r>
        <w:rPr>
          <w:rFonts w:hint="eastAsia" w:ascii="方正仿宋" w:hAnsi="宋体" w:eastAsia="方正仿宋" w:cs="Times New Roman"/>
          <w:kern w:val="0"/>
          <w:sz w:val="28"/>
          <w:szCs w:val="28"/>
          <w:highlight w:val="none"/>
          <w:lang w:val="en-US" w:eastAsia="zh-CN"/>
        </w:rPr>
        <w:t>%时，甲方应该与乙方确认后及时将错误情况及采取的措施报告投资者。理财产品的会计责任方是甲方，资产净值计算和会计核算的义务由甲方承担。如经相关各方在平等协商基础上后，仍无法达成一致意见，以甲方对委托资产净值的计算结果为准，如因甲方估值错误给投资者造成损失的，由甲方承担相应的赔偿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估值错误的处理方法</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甲方和乙方将采取必要、适当、合理的措施确保理财产品估值的准确性、及时性。如甲方或乙方发现资产估值违反本合同制度的估值方法、程序及相关法律法规的规定时，应立即通知对方，共同查明原因，协商解决。当理财产品份额净值小数点后</w:t>
      </w:r>
      <w:bookmarkStart w:id="45" w:name="Text66"/>
      <w:r>
        <w:rPr>
          <w:rFonts w:hint="eastAsia" w:ascii="方正仿宋" w:hAnsi="宋体" w:eastAsia="方正仿宋" w:cs="Times New Roman"/>
          <w:kern w:val="0"/>
          <w:sz w:val="28"/>
          <w:szCs w:val="28"/>
          <w:highlight w:val="none"/>
          <w:lang w:val="en-US" w:eastAsia="zh-CN" w:bidi="ar-SA"/>
        </w:rPr>
        <w:fldChar w:fldCharType="begin">
          <w:ffData>
            <w:name w:val="Text66"/>
            <w:enabled/>
            <w:calcOnExit w:val="0"/>
            <w:textInput>
              <w:default w:val="6"/>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6</w:t>
      </w:r>
      <w:r>
        <w:rPr>
          <w:rFonts w:hint="eastAsia" w:ascii="方正仿宋" w:hAnsi="宋体" w:eastAsia="方正仿宋" w:cs="Times New Roman"/>
          <w:kern w:val="0"/>
          <w:sz w:val="28"/>
          <w:szCs w:val="28"/>
          <w:highlight w:val="none"/>
          <w:lang w:val="en-US" w:eastAsia="zh-CN" w:bidi="ar-SA"/>
        </w:rPr>
        <w:fldChar w:fldCharType="end"/>
      </w:r>
      <w:bookmarkEnd w:id="45"/>
      <w:r>
        <w:rPr>
          <w:rFonts w:hint="eastAsia" w:ascii="方正仿宋" w:hAnsi="宋体" w:eastAsia="方正仿宋" w:cs="Times New Roman"/>
          <w:kern w:val="0"/>
          <w:sz w:val="28"/>
          <w:szCs w:val="28"/>
          <w:highlight w:val="none"/>
          <w:lang w:val="en-US" w:eastAsia="zh-CN"/>
        </w:rPr>
        <w:t>位以内（含第</w:t>
      </w:r>
      <w:bookmarkStart w:id="46" w:name="Text67"/>
      <w:r>
        <w:rPr>
          <w:rFonts w:hint="eastAsia" w:ascii="方正仿宋" w:hAnsi="宋体" w:eastAsia="方正仿宋" w:cs="Times New Roman"/>
          <w:kern w:val="0"/>
          <w:sz w:val="28"/>
          <w:szCs w:val="28"/>
          <w:highlight w:val="none"/>
          <w:lang w:val="en-US" w:eastAsia="zh-CN" w:bidi="ar-SA"/>
        </w:rPr>
        <w:fldChar w:fldCharType="begin">
          <w:ffData>
            <w:name w:val="Text67"/>
            <w:enabled/>
            <w:calcOnExit w:val="0"/>
            <w:textInput>
              <w:default w:val="6"/>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6</w:t>
      </w:r>
      <w:r>
        <w:rPr>
          <w:rFonts w:hint="eastAsia" w:ascii="方正仿宋" w:hAnsi="宋体" w:eastAsia="方正仿宋" w:cs="Times New Roman"/>
          <w:kern w:val="0"/>
          <w:sz w:val="28"/>
          <w:szCs w:val="28"/>
          <w:highlight w:val="none"/>
          <w:lang w:val="en-US" w:eastAsia="zh-CN" w:bidi="ar-SA"/>
        </w:rPr>
        <w:fldChar w:fldCharType="end"/>
      </w:r>
      <w:bookmarkEnd w:id="46"/>
      <w:r>
        <w:rPr>
          <w:rFonts w:hint="eastAsia" w:ascii="方正仿宋" w:hAnsi="宋体" w:eastAsia="方正仿宋" w:cs="Times New Roman"/>
          <w:kern w:val="0"/>
          <w:sz w:val="28"/>
          <w:szCs w:val="28"/>
          <w:highlight w:val="none"/>
          <w:lang w:val="en-US" w:eastAsia="zh-CN"/>
        </w:rPr>
        <w:t>位）发生估值错误时，视为理财产品份额净值错误。估值错误处理原则：</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（1）甲方计算的理财产品净值已由乙方复核确认，但因资产估值错误给投资者造成损失的，由甲方与乙方按照过错比例各自承担相应的责任。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2）如甲方和乙方对理财产品净值的计算结果，虽然多次重新计算和核对尚不能达成一致时，为避免不能按时披露理财产品净值的情形，以甲方的计算结果对外披露，由此给投资者和理财产品造成的损失，乙方予以免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3）由于一方当事人提供的信息错误，另一方当事人在采取了必要合理的措施后仍不能发现该错误，导致理财产品净值计算错误而造成投资者的损失，以及由此造成以后交易日理财产品净值计算顺延错误而引起的投资者的损失，由提供错误信息的当事人一方负责赔偿。</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4）由于证券交易所及其注册登记公司发送的数据错误，或由于其他不可抗力原因，甲方和乙方虽然已经采取必要、适当、合理的措施进行检查，但是未能发现该错误的，由此造成的理财产品净值错误，甲方和乙方可以免除赔偿责任。但甲方和乙方应当积极采取必要的措施减轻或消除由此造成的影响。</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5）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甲方和乙方由于各自技术系统设置而产生的净值计算尾差，以甲方计算结果为准，乙方不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6.暂停估值的情形</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（1）理财产品投资所涉及的证券交易场所遇法定节假日或因其他原因暂停营业时；</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（2）因不可抗力或其他情形致使甲方、乙方无法准确评估理财产品价值时；</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（3）开放式理财产品在前</w:t>
      </w:r>
      <w:bookmarkStart w:id="47" w:name="Text68"/>
      <w:r>
        <w:rPr>
          <w:rFonts w:hint="eastAsia" w:ascii="方正仿宋" w:hAnsi="宋体" w:eastAsia="方正仿宋" w:cs="Times New Roman"/>
          <w:kern w:val="0"/>
          <w:sz w:val="28"/>
          <w:szCs w:val="28"/>
          <w:highlight w:val="none"/>
          <w:lang w:val="en-US" w:eastAsia="zh-CN" w:bidi="ar-SA"/>
        </w:rPr>
        <w:fldChar w:fldCharType="begin">
          <w:ffData>
            <w:name w:val="Text68"/>
            <w:enabled/>
            <w:calcOnExit w:val="0"/>
            <w:textInput>
              <w:default w:val="一"/>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一</w:t>
      </w:r>
      <w:r>
        <w:rPr>
          <w:rFonts w:hint="eastAsia" w:ascii="方正仿宋" w:hAnsi="宋体" w:eastAsia="方正仿宋" w:cs="Times New Roman"/>
          <w:kern w:val="0"/>
          <w:sz w:val="28"/>
          <w:szCs w:val="28"/>
          <w:highlight w:val="none"/>
          <w:lang w:val="en-US" w:eastAsia="zh-CN" w:bidi="ar-SA"/>
        </w:rPr>
        <w:fldChar w:fldCharType="end"/>
      </w:r>
      <w:bookmarkEnd w:id="47"/>
      <w:r>
        <w:rPr>
          <w:rFonts w:hint="eastAsia" w:ascii="方正仿宋" w:hAnsi="宋体" w:eastAsia="方正仿宋" w:cs="Times New Roman"/>
          <w:kern w:val="0"/>
          <w:sz w:val="28"/>
          <w:szCs w:val="28"/>
          <w:highlight w:val="none"/>
          <w:lang w:val="en-US" w:eastAsia="zh-CN"/>
        </w:rPr>
        <w:t>估值日内，产品资产净值</w:t>
      </w:r>
      <w:bookmarkStart w:id="48" w:name="Text69"/>
      <w:r>
        <w:rPr>
          <w:rFonts w:hint="eastAsia" w:ascii="方正仿宋" w:hAnsi="宋体" w:eastAsia="方正仿宋" w:cs="Times New Roman"/>
          <w:kern w:val="0"/>
          <w:sz w:val="28"/>
          <w:szCs w:val="28"/>
          <w:highlight w:val="none"/>
          <w:lang w:val="en-US" w:eastAsia="zh-CN" w:bidi="ar-SA"/>
        </w:rPr>
        <w:fldChar w:fldCharType="begin">
          <w:ffData>
            <w:name w:val="Text69"/>
            <w:enabled/>
            <w:calcOnExit w:val="0"/>
            <w:textInput>
              <w:default w:val="5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50</w:t>
      </w:r>
      <w:r>
        <w:rPr>
          <w:rFonts w:hint="eastAsia" w:ascii="方正仿宋" w:hAnsi="宋体" w:eastAsia="方正仿宋" w:cs="Times New Roman"/>
          <w:kern w:val="0"/>
          <w:sz w:val="28"/>
          <w:szCs w:val="28"/>
          <w:highlight w:val="none"/>
          <w:lang w:val="en-US" w:eastAsia="zh-CN" w:bidi="ar-SA"/>
        </w:rPr>
        <w:fldChar w:fldCharType="end"/>
      </w:r>
      <w:bookmarkEnd w:id="48"/>
      <w:r>
        <w:rPr>
          <w:rFonts w:hint="eastAsia" w:ascii="方正仿宋" w:hAnsi="宋体" w:eastAsia="方正仿宋" w:cs="Times New Roman"/>
          <w:kern w:val="0"/>
          <w:sz w:val="28"/>
          <w:szCs w:val="28"/>
          <w:highlight w:val="none"/>
          <w:lang w:val="en-US" w:eastAsia="zh-CN"/>
        </w:rPr>
        <w:t>%以上的资产不具备活跃交易市场或者在活跃市场中无报价，且不能采用估值技术可靠计量公允价值的，甲方有权暂停该产品估值，并有权采取延缓支付赎回款项或暂停接受理财产品认购、赎回申请等措施。</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（4）中国人民银行、国家金融监督管理总局认定的其他情形。</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（二）理财产品的会计政策</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理财产品的会计政策参照企业会计准则现行政策执行：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1.甲方为本计划的主要会计责任方。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2.本理财产品的会计年度为公历年度的</w:t>
      </w:r>
      <w:bookmarkStart w:id="49" w:name="Text70"/>
      <w:r>
        <w:rPr>
          <w:rFonts w:hint="eastAsia" w:ascii="方正仿宋" w:hAnsi="宋体" w:eastAsia="方正仿宋" w:cs="Times New Roman"/>
          <w:kern w:val="0"/>
          <w:sz w:val="28"/>
          <w:szCs w:val="28"/>
          <w:highlight w:val="none"/>
          <w:lang w:val="en-US" w:eastAsia="zh-CN" w:bidi="ar-SA"/>
        </w:rPr>
        <w:fldChar w:fldCharType="begin">
          <w:ffData>
            <w:name w:val="Text70"/>
            <w:enabled/>
            <w:calcOnExit w:val="0"/>
            <w:textInput>
              <w:default w:val="1"/>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w:t>
      </w:r>
      <w:r>
        <w:rPr>
          <w:rFonts w:hint="eastAsia" w:ascii="方正仿宋" w:hAnsi="宋体" w:eastAsia="方正仿宋" w:cs="Times New Roman"/>
          <w:kern w:val="0"/>
          <w:sz w:val="28"/>
          <w:szCs w:val="28"/>
          <w:highlight w:val="none"/>
          <w:lang w:val="en-US" w:eastAsia="zh-CN" w:bidi="ar-SA"/>
        </w:rPr>
        <w:fldChar w:fldCharType="end"/>
      </w:r>
      <w:bookmarkEnd w:id="49"/>
      <w:r>
        <w:rPr>
          <w:rFonts w:hint="eastAsia" w:ascii="方正仿宋" w:hAnsi="宋体" w:eastAsia="方正仿宋" w:cs="Times New Roman"/>
          <w:kern w:val="0"/>
          <w:sz w:val="28"/>
          <w:szCs w:val="28"/>
          <w:highlight w:val="none"/>
          <w:lang w:val="en-US" w:eastAsia="zh-CN"/>
        </w:rPr>
        <w:t>月</w:t>
      </w:r>
      <w:bookmarkStart w:id="50" w:name="Text71"/>
      <w:r>
        <w:rPr>
          <w:rFonts w:hint="eastAsia" w:ascii="方正仿宋" w:hAnsi="宋体" w:eastAsia="方正仿宋" w:cs="Times New Roman"/>
          <w:kern w:val="0"/>
          <w:sz w:val="28"/>
          <w:szCs w:val="28"/>
          <w:highlight w:val="none"/>
          <w:lang w:val="en-US" w:eastAsia="zh-CN" w:bidi="ar-SA"/>
        </w:rPr>
        <w:fldChar w:fldCharType="begin">
          <w:ffData>
            <w:name w:val="Text71"/>
            <w:enabled/>
            <w:calcOnExit w:val="0"/>
            <w:textInput>
              <w:default w:val="1"/>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w:t>
      </w:r>
      <w:r>
        <w:rPr>
          <w:rFonts w:hint="eastAsia" w:ascii="方正仿宋" w:hAnsi="宋体" w:eastAsia="方正仿宋" w:cs="Times New Roman"/>
          <w:kern w:val="0"/>
          <w:sz w:val="28"/>
          <w:szCs w:val="28"/>
          <w:highlight w:val="none"/>
          <w:lang w:val="en-US" w:eastAsia="zh-CN" w:bidi="ar-SA"/>
        </w:rPr>
        <w:fldChar w:fldCharType="end"/>
      </w:r>
      <w:bookmarkEnd w:id="50"/>
      <w:r>
        <w:rPr>
          <w:rFonts w:hint="eastAsia" w:ascii="方正仿宋" w:hAnsi="宋体" w:eastAsia="方正仿宋" w:cs="Times New Roman"/>
          <w:kern w:val="0"/>
          <w:sz w:val="28"/>
          <w:szCs w:val="28"/>
          <w:highlight w:val="none"/>
          <w:lang w:val="en-US" w:eastAsia="zh-CN"/>
        </w:rPr>
        <w:t>日至</w:t>
      </w:r>
      <w:bookmarkStart w:id="51" w:name="Text72"/>
      <w:r>
        <w:rPr>
          <w:rFonts w:hint="eastAsia" w:ascii="方正仿宋" w:hAnsi="宋体" w:eastAsia="方正仿宋" w:cs="Times New Roman"/>
          <w:kern w:val="0"/>
          <w:sz w:val="28"/>
          <w:szCs w:val="28"/>
          <w:highlight w:val="none"/>
          <w:lang w:val="en-US" w:eastAsia="zh-CN" w:bidi="ar-SA"/>
        </w:rPr>
        <w:fldChar w:fldCharType="begin">
          <w:ffData>
            <w:name w:val="Text72"/>
            <w:enabled/>
            <w:calcOnExit w:val="0"/>
            <w:textInput>
              <w:default w:val="12"/>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12</w:t>
      </w:r>
      <w:r>
        <w:rPr>
          <w:rFonts w:hint="eastAsia" w:ascii="方正仿宋" w:hAnsi="宋体" w:eastAsia="方正仿宋" w:cs="Times New Roman"/>
          <w:kern w:val="0"/>
          <w:sz w:val="28"/>
          <w:szCs w:val="28"/>
          <w:highlight w:val="none"/>
          <w:lang w:val="en-US" w:eastAsia="zh-CN" w:bidi="ar-SA"/>
        </w:rPr>
        <w:fldChar w:fldCharType="end"/>
      </w:r>
      <w:bookmarkEnd w:id="51"/>
      <w:r>
        <w:rPr>
          <w:rFonts w:hint="eastAsia" w:ascii="方正仿宋" w:hAnsi="宋体" w:eastAsia="方正仿宋" w:cs="Times New Roman"/>
          <w:kern w:val="0"/>
          <w:sz w:val="28"/>
          <w:szCs w:val="28"/>
          <w:highlight w:val="none"/>
          <w:lang w:val="en-US" w:eastAsia="zh-CN"/>
        </w:rPr>
        <w:t>月</w:t>
      </w:r>
      <w:bookmarkStart w:id="52" w:name="Text73"/>
      <w:r>
        <w:rPr>
          <w:rFonts w:hint="eastAsia" w:ascii="方正仿宋" w:hAnsi="宋体" w:eastAsia="方正仿宋" w:cs="Times New Roman"/>
          <w:kern w:val="0"/>
          <w:sz w:val="28"/>
          <w:szCs w:val="28"/>
          <w:highlight w:val="none"/>
          <w:lang w:val="en-US" w:eastAsia="zh-CN" w:bidi="ar-SA"/>
        </w:rPr>
        <w:fldChar w:fldCharType="begin">
          <w:ffData>
            <w:name w:val="Text73"/>
            <w:enabled/>
            <w:calcOnExit w:val="0"/>
            <w:textInput>
              <w:default w:val="31"/>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31</w:t>
      </w:r>
      <w:r>
        <w:rPr>
          <w:rFonts w:hint="eastAsia" w:ascii="方正仿宋" w:hAnsi="宋体" w:eastAsia="方正仿宋" w:cs="Times New Roman"/>
          <w:kern w:val="0"/>
          <w:sz w:val="28"/>
          <w:szCs w:val="28"/>
          <w:highlight w:val="none"/>
          <w:lang w:val="en-US" w:eastAsia="zh-CN" w:bidi="ar-SA"/>
        </w:rPr>
        <w:fldChar w:fldCharType="end"/>
      </w:r>
      <w:bookmarkEnd w:id="52"/>
      <w:r>
        <w:rPr>
          <w:rFonts w:hint="eastAsia" w:ascii="方正仿宋" w:hAnsi="宋体" w:eastAsia="方正仿宋" w:cs="Times New Roman"/>
          <w:kern w:val="0"/>
          <w:sz w:val="28"/>
          <w:szCs w:val="28"/>
          <w:highlight w:val="none"/>
          <w:lang w:val="en-US" w:eastAsia="zh-CN"/>
        </w:rPr>
        <w:t>日。</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3.理财产品核算以人民币为记账本位币，以人民币元为记账单位。</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4.会计制度执行国家有关会计制度。</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5.本理财产品单独建账、独立核算。</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6.甲方及乙方各自保留完整的会计账目、凭证并进行日常的会计核算，按照本合同约定编制会计报表。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7.甲方和乙方应按照双方约定的同一记账方法和会计处理原则，分别独立地设置、登录和保管本理财产品的全套账册，对双方各自的账册定期进行核对，互相监督，以保证资产的安全。若双方对会计处理方法存在分歧，经协商无法达成一致时应以甲方的处理方法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8.乙方定期与甲方就理财产品的会计核算、报表编制等进行核对及确认。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9.经对账发现双方的账目存在不符的，甲方和乙方必须及时查明原因并纠正，保证双方的账册记录完全相符。</w:t>
      </w:r>
    </w:p>
    <w:p>
      <w:pPr>
        <w:pStyle w:val="3"/>
        <w:rPr>
          <w:rFonts w:ascii="方正仿宋" w:hAnsi="宋体" w:eastAsia="方正仿宋"/>
          <w:sz w:val="28"/>
          <w:szCs w:val="28"/>
          <w:highlight w:val="none"/>
        </w:rPr>
      </w:pPr>
      <w:r>
        <w:rPr>
          <w:rFonts w:hint="eastAsia" w:ascii="方正仿宋" w:hAnsi="宋体" w:eastAsia="方正仿宋"/>
          <w:kern w:val="0"/>
          <w:sz w:val="28"/>
          <w:szCs w:val="28"/>
          <w:highlight w:val="none"/>
        </w:rPr>
        <w:t>第</w:t>
      </w:r>
      <w:r>
        <w:rPr>
          <w:rFonts w:hint="eastAsia" w:ascii="方正仿宋" w:hAnsi="宋体" w:eastAsia="方正仿宋"/>
          <w:b w:val="0"/>
          <w:bCs w:val="0"/>
          <w:kern w:val="0"/>
          <w:sz w:val="28"/>
          <w:szCs w:val="28"/>
          <w:highlight w:val="none"/>
        </w:rPr>
        <w:t>九</w:t>
      </w:r>
      <w:r>
        <w:rPr>
          <w:rFonts w:hint="eastAsia" w:ascii="方正仿宋" w:hAnsi="宋体" w:eastAsia="方正仿宋"/>
          <w:kern w:val="0"/>
          <w:sz w:val="28"/>
          <w:szCs w:val="28"/>
          <w:highlight w:val="none"/>
        </w:rPr>
        <w:t>条</w:t>
      </w:r>
      <w:r>
        <w:rPr>
          <w:rFonts w:ascii="方正仿宋" w:hAnsi="宋体" w:eastAsia="方正仿宋"/>
          <w:kern w:val="0"/>
          <w:sz w:val="28"/>
          <w:szCs w:val="28"/>
          <w:highlight w:val="none"/>
        </w:rPr>
        <w:t xml:space="preserve"> </w:t>
      </w:r>
      <w:r>
        <w:rPr>
          <w:rFonts w:hint="eastAsia" w:ascii="方正仿宋" w:hAnsi="宋体" w:eastAsia="方正仿宋"/>
          <w:kern w:val="0"/>
          <w:sz w:val="28"/>
          <w:szCs w:val="28"/>
          <w:highlight w:val="none"/>
        </w:rPr>
        <w:t>费用与税收</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理财产品的费用包括管理费、托管费、销售费以及理财产品投资运作过程中产生的其他费用。</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理财产品的托管费计算方法如下：</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H＝E×托管费率÷365</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H为每日应计提的托管费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E为前一日的理财产品资产净值</w:t>
      </w:r>
    </w:p>
    <w:p>
      <w:pPr>
        <w:autoSpaceDE w:val="0"/>
        <w:autoSpaceDN w:val="0"/>
        <w:adjustRightInd w:val="0"/>
        <w:snapToGrid w:val="0"/>
        <w:spacing w:line="360" w:lineRule="auto"/>
        <w:ind w:firstLine="560" w:firstLineChars="200"/>
        <w:rPr>
          <w:rFonts w:hint="default"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托管人收取托管费的指定账户为：</w:t>
      </w:r>
    </w:p>
    <w:p>
      <w:pPr>
        <w:autoSpaceDE w:val="0"/>
        <w:autoSpaceDN w:val="0"/>
        <w:adjustRightInd w:val="0"/>
        <w:snapToGrid w:val="0"/>
        <w:spacing w:line="360" w:lineRule="auto"/>
        <w:ind w:firstLine="560" w:firstLineChars="200"/>
        <w:rPr>
          <w:rFonts w:hint="default"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开户行：</w:t>
      </w:r>
      <w:bookmarkStart w:id="53" w:name="Text75"/>
      <w:r>
        <w:rPr>
          <w:rFonts w:hint="default" w:ascii="方正仿宋" w:hAnsi="宋体" w:eastAsia="方正仿宋" w:cs="Times New Roman"/>
          <w:kern w:val="0"/>
          <w:sz w:val="28"/>
          <w:szCs w:val="28"/>
          <w:highlight w:val="none"/>
          <w:lang w:val="en-US" w:eastAsia="zh-CN"/>
        </w:rPr>
        <w:fldChar w:fldCharType="begin">
          <w:ffData>
            <w:name w:val="Text75"/>
            <w:enabled/>
            <w:calcOnExit w:val="0"/>
            <w:textInput>
              <w:default w:val="中国民生银行"/>
            </w:textInput>
          </w:ffData>
        </w:fldChar>
      </w:r>
      <w:r>
        <w:rPr>
          <w:rFonts w:hint="default" w:ascii="方正仿宋" w:hAnsi="宋体" w:eastAsia="方正仿宋" w:cs="Times New Roman"/>
          <w:kern w:val="0"/>
          <w:sz w:val="28"/>
          <w:szCs w:val="28"/>
          <w:highlight w:val="none"/>
          <w:lang w:val="en-US" w:eastAsia="zh-CN"/>
        </w:rPr>
        <w:instrText xml:space="preserve">FORMTEXT</w:instrText>
      </w:r>
      <w:r>
        <w:rPr>
          <w:rFonts w:hint="default" w:ascii="方正仿宋" w:hAnsi="宋体" w:eastAsia="方正仿宋" w:cs="Times New Roman"/>
          <w:kern w:val="0"/>
          <w:sz w:val="28"/>
          <w:szCs w:val="28"/>
          <w:highlight w:val="none"/>
          <w:lang w:val="en-US" w:eastAsia="zh-CN"/>
        </w:rPr>
        <w:fldChar w:fldCharType="separate"/>
      </w:r>
      <w:r>
        <w:rPr>
          <w:rFonts w:hint="default" w:ascii="方正仿宋" w:hAnsi="宋体" w:eastAsia="方正仿宋" w:cs="Times New Roman"/>
          <w:kern w:val="0"/>
          <w:sz w:val="28"/>
          <w:szCs w:val="28"/>
          <w:highlight w:val="none"/>
          <w:lang w:val="en-US" w:eastAsia="zh-CN"/>
        </w:rPr>
        <w:t>中国民生银行</w:t>
      </w:r>
      <w:r>
        <w:rPr>
          <w:rFonts w:hint="default" w:ascii="方正仿宋" w:hAnsi="宋体" w:eastAsia="方正仿宋" w:cs="Times New Roman"/>
          <w:kern w:val="0"/>
          <w:sz w:val="28"/>
          <w:szCs w:val="28"/>
          <w:highlight w:val="none"/>
          <w:lang w:val="en-US" w:eastAsia="zh-CN"/>
        </w:rPr>
        <w:fldChar w:fldCharType="end"/>
      </w:r>
      <w:bookmarkEnd w:id="53"/>
    </w:p>
    <w:p>
      <w:pPr>
        <w:autoSpaceDE w:val="0"/>
        <w:autoSpaceDN w:val="0"/>
        <w:adjustRightInd w:val="0"/>
        <w:snapToGrid w:val="0"/>
        <w:spacing w:line="360" w:lineRule="auto"/>
        <w:ind w:firstLine="560" w:firstLineChars="200"/>
        <w:rPr>
          <w:rFonts w:hint="default"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账户名称：</w:t>
      </w:r>
      <w:bookmarkStart w:id="54" w:name="Text76"/>
      <w:r>
        <w:rPr>
          <w:rFonts w:hint="default" w:ascii="方正仿宋" w:hAnsi="宋体" w:eastAsia="方正仿宋" w:cs="Times New Roman"/>
          <w:kern w:val="0"/>
          <w:sz w:val="28"/>
          <w:szCs w:val="28"/>
          <w:highlight w:val="none"/>
          <w:lang w:val="en-US" w:eastAsia="zh-CN"/>
        </w:rPr>
        <w:fldChar w:fldCharType="begin">
          <w:ffData>
            <w:name w:val="Text76"/>
            <w:enabled/>
            <w:calcOnExit w:val="0"/>
            <w:textInput>
              <w:default w:val="他行银行理财类托管服务费"/>
            </w:textInput>
          </w:ffData>
        </w:fldChar>
      </w:r>
      <w:r>
        <w:rPr>
          <w:rFonts w:hint="default" w:ascii="方正仿宋" w:hAnsi="宋体" w:eastAsia="方正仿宋" w:cs="Times New Roman"/>
          <w:kern w:val="0"/>
          <w:sz w:val="28"/>
          <w:szCs w:val="28"/>
          <w:highlight w:val="none"/>
          <w:lang w:val="en-US" w:eastAsia="zh-CN"/>
        </w:rPr>
        <w:instrText xml:space="preserve">FORMTEXT</w:instrText>
      </w:r>
      <w:r>
        <w:rPr>
          <w:rFonts w:hint="default" w:ascii="方正仿宋" w:hAnsi="宋体" w:eastAsia="方正仿宋" w:cs="Times New Roman"/>
          <w:kern w:val="0"/>
          <w:sz w:val="28"/>
          <w:szCs w:val="28"/>
          <w:highlight w:val="none"/>
          <w:lang w:val="en-US" w:eastAsia="zh-CN"/>
        </w:rPr>
        <w:fldChar w:fldCharType="separate"/>
      </w:r>
      <w:r>
        <w:rPr>
          <w:rFonts w:hint="default" w:ascii="方正仿宋" w:hAnsi="宋体" w:eastAsia="方正仿宋" w:cs="Times New Roman"/>
          <w:kern w:val="0"/>
          <w:sz w:val="28"/>
          <w:szCs w:val="28"/>
          <w:highlight w:val="none"/>
          <w:lang w:val="en-US" w:eastAsia="zh-CN"/>
        </w:rPr>
        <w:t>他行银行理财类托管服务费</w:t>
      </w:r>
      <w:r>
        <w:rPr>
          <w:rFonts w:hint="default" w:ascii="方正仿宋" w:hAnsi="宋体" w:eastAsia="方正仿宋" w:cs="Times New Roman"/>
          <w:kern w:val="0"/>
          <w:sz w:val="28"/>
          <w:szCs w:val="28"/>
          <w:highlight w:val="none"/>
          <w:lang w:val="en-US" w:eastAsia="zh-CN"/>
        </w:rPr>
        <w:fldChar w:fldCharType="end"/>
      </w:r>
      <w:bookmarkEnd w:id="54"/>
    </w:p>
    <w:p>
      <w:pPr>
        <w:autoSpaceDE w:val="0"/>
        <w:autoSpaceDN w:val="0"/>
        <w:adjustRightInd w:val="0"/>
        <w:snapToGrid w:val="0"/>
        <w:spacing w:line="360" w:lineRule="auto"/>
        <w:ind w:firstLine="560" w:firstLineChars="200"/>
        <w:rPr>
          <w:rFonts w:hint="default"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账号：</w:t>
      </w:r>
      <w:bookmarkStart w:id="55" w:name="Text77"/>
      <w:r>
        <w:rPr>
          <w:rFonts w:hint="default" w:ascii="方正仿宋" w:hAnsi="宋体" w:eastAsia="方正仿宋" w:cs="Times New Roman"/>
          <w:kern w:val="0"/>
          <w:sz w:val="28"/>
          <w:szCs w:val="28"/>
          <w:highlight w:val="none"/>
          <w:lang w:val="en-US" w:eastAsia="zh-CN"/>
        </w:rPr>
        <w:fldChar w:fldCharType="begin">
          <w:ffData>
            <w:name w:val="Text77"/>
            <w:enabled/>
            <w:calcOnExit w:val="0"/>
            <w:textInput>
              <w:default w:val="C110160"/>
            </w:textInput>
          </w:ffData>
        </w:fldChar>
      </w:r>
      <w:r>
        <w:rPr>
          <w:rFonts w:hint="default" w:ascii="方正仿宋" w:hAnsi="宋体" w:eastAsia="方正仿宋" w:cs="Times New Roman"/>
          <w:kern w:val="0"/>
          <w:sz w:val="28"/>
          <w:szCs w:val="28"/>
          <w:highlight w:val="none"/>
          <w:lang w:val="en-US" w:eastAsia="zh-CN"/>
        </w:rPr>
        <w:instrText xml:space="preserve">FORMTEXT</w:instrText>
      </w:r>
      <w:r>
        <w:rPr>
          <w:rFonts w:hint="default" w:ascii="方正仿宋" w:hAnsi="宋体" w:eastAsia="方正仿宋" w:cs="Times New Roman"/>
          <w:kern w:val="0"/>
          <w:sz w:val="28"/>
          <w:szCs w:val="28"/>
          <w:highlight w:val="none"/>
          <w:lang w:val="en-US" w:eastAsia="zh-CN"/>
        </w:rPr>
        <w:fldChar w:fldCharType="separate"/>
      </w:r>
      <w:r>
        <w:rPr>
          <w:rFonts w:hint="default" w:ascii="方正仿宋" w:hAnsi="宋体" w:eastAsia="方正仿宋" w:cs="Times New Roman"/>
          <w:kern w:val="0"/>
          <w:sz w:val="28"/>
          <w:szCs w:val="28"/>
          <w:highlight w:val="none"/>
          <w:lang w:val="en-US" w:eastAsia="zh-CN"/>
        </w:rPr>
        <w:t>C110160</w:t>
      </w:r>
      <w:r>
        <w:rPr>
          <w:rFonts w:hint="default" w:ascii="方正仿宋" w:hAnsi="宋体" w:eastAsia="方正仿宋" w:cs="Times New Roman"/>
          <w:kern w:val="0"/>
          <w:sz w:val="28"/>
          <w:szCs w:val="28"/>
          <w:highlight w:val="none"/>
          <w:lang w:val="en-US" w:eastAsia="zh-CN"/>
        </w:rPr>
        <w:fldChar w:fldCharType="end"/>
      </w:r>
      <w:bookmarkEnd w:id="55"/>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管理费率、托管费率及销售服务费率等要素在理财产品的《理财产品成立要素函》（附件一）中予以明确。理财产品各项费用按理财产品说明书约定计提及支付，由甲乙双方核对一致后，甲方出具指令从理财产品财产中按理财产品说明书约定支付各项费用至指定账户。若遇理财产品财产不足以支付约定期间应付费用的情形，可顺延至其后的最近可支付日支付。</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理财产品财产管理、运用、处分和分配所涉及的各项应付税项，按国家有关规定执行。</w:t>
      </w:r>
    </w:p>
    <w:p>
      <w:pPr>
        <w:pStyle w:val="3"/>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第十条</w:t>
      </w:r>
      <w:r>
        <w:rPr>
          <w:rFonts w:ascii="方正仿宋" w:hAnsi="宋体" w:eastAsia="方正仿宋"/>
          <w:kern w:val="0"/>
          <w:sz w:val="28"/>
          <w:szCs w:val="28"/>
          <w:highlight w:val="none"/>
        </w:rPr>
        <w:t xml:space="preserve">  </w:t>
      </w:r>
      <w:r>
        <w:rPr>
          <w:rFonts w:hint="eastAsia" w:ascii="方正仿宋" w:hAnsi="宋体" w:eastAsia="方正仿宋"/>
          <w:kern w:val="0"/>
          <w:sz w:val="28"/>
          <w:szCs w:val="28"/>
          <w:highlight w:val="none"/>
        </w:rPr>
        <w:t>信息披露</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（一）信息披露的内容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理财产品的信息披露内容主要包括季度报告、半年度报告和年度报告、国家金融监督管理总局规定的其他信息。</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（二）甲方和乙方在信息披露中的职责和信息披露程序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1.职责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甲方和乙方在信息披露过程中应以保护理财产品投资者利益为宗旨，诚实信用，严守秘密。甲方负责办理与理财产品有关的信息披露事宜，对于根据相关法律法规、理财产品说明书、本合同规定的需要由乙方复核的信息披露文件中的财务数据，在经乙方复核无误后，由甲方予以公布。根据相关法律法规规定，乙方负责办理与理财产品托管业务活动相关的信息披露事项，包括披露理财产品托管合同、对理财产品信息披露文件中的理财产品财务会计报告等出具意见，以及在公募理财产品半年度和年度报告中出具理财托管机构报告等。</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2.程序</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甲方应当在每个季度结束之日起</w:t>
      </w:r>
      <w:bookmarkStart w:id="56" w:name="Text78"/>
      <w:r>
        <w:rPr>
          <w:rFonts w:hint="eastAsia" w:ascii="方正仿宋" w:hAnsi="宋体" w:eastAsia="方正仿宋" w:cs="Times New Roman"/>
          <w:kern w:val="0"/>
          <w:sz w:val="28"/>
          <w:szCs w:val="28"/>
          <w:highlight w:val="none"/>
          <w:lang w:val="en-US" w:eastAsia="zh-CN" w:bidi="ar-SA"/>
        </w:rPr>
        <w:fldChar w:fldCharType="begin">
          <w:ffData>
            <w:name w:val="Text78"/>
            <w:enabled/>
            <w:calcOnExit w:val="0"/>
            <w:textInput>
              <w:default w:val="1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15</w:t>
      </w:r>
      <w:r>
        <w:rPr>
          <w:rFonts w:hint="eastAsia" w:ascii="方正仿宋" w:hAnsi="宋体" w:eastAsia="方正仿宋" w:cs="Times New Roman"/>
          <w:kern w:val="0"/>
          <w:sz w:val="28"/>
          <w:szCs w:val="28"/>
          <w:highlight w:val="none"/>
          <w:lang w:val="en-US" w:eastAsia="zh-CN" w:bidi="ar-SA"/>
        </w:rPr>
        <w:fldChar w:fldCharType="end"/>
      </w:r>
      <w:bookmarkEnd w:id="56"/>
      <w:r>
        <w:rPr>
          <w:rFonts w:hint="eastAsia" w:ascii="方正仿宋" w:hAnsi="宋体" w:eastAsia="方正仿宋" w:cs="Times New Roman"/>
          <w:kern w:val="0"/>
          <w:sz w:val="28"/>
          <w:szCs w:val="28"/>
          <w:highlight w:val="none"/>
          <w:lang w:val="en-US" w:eastAsia="zh-CN"/>
        </w:rPr>
        <w:t>个工作日内、半年结束之日起</w:t>
      </w:r>
      <w:bookmarkStart w:id="57" w:name="Text79"/>
      <w:r>
        <w:rPr>
          <w:rFonts w:hint="eastAsia" w:ascii="方正仿宋" w:hAnsi="宋体" w:eastAsia="方正仿宋" w:cs="Times New Roman"/>
          <w:kern w:val="0"/>
          <w:sz w:val="28"/>
          <w:szCs w:val="28"/>
          <w:highlight w:val="none"/>
          <w:lang w:val="en-US" w:eastAsia="zh-CN" w:bidi="ar-SA"/>
        </w:rPr>
        <w:fldChar w:fldCharType="begin">
          <w:ffData>
            <w:name w:val="Text79"/>
            <w:enabled/>
            <w:calcOnExit w:val="0"/>
            <w:textInput>
              <w:default w:val="6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60</w:t>
      </w:r>
      <w:r>
        <w:rPr>
          <w:rFonts w:hint="eastAsia" w:ascii="方正仿宋" w:hAnsi="宋体" w:eastAsia="方正仿宋" w:cs="Times New Roman"/>
          <w:kern w:val="0"/>
          <w:sz w:val="28"/>
          <w:szCs w:val="28"/>
          <w:highlight w:val="none"/>
          <w:lang w:val="en-US" w:eastAsia="zh-CN" w:bidi="ar-SA"/>
        </w:rPr>
        <w:fldChar w:fldCharType="end"/>
      </w:r>
      <w:bookmarkEnd w:id="57"/>
      <w:r>
        <w:rPr>
          <w:rFonts w:hint="eastAsia" w:ascii="方正仿宋" w:hAnsi="宋体" w:eastAsia="方正仿宋" w:cs="Times New Roman"/>
          <w:kern w:val="0"/>
          <w:sz w:val="28"/>
          <w:szCs w:val="28"/>
          <w:highlight w:val="none"/>
          <w:lang w:val="en-US" w:eastAsia="zh-CN"/>
        </w:rPr>
        <w:t>个工作日内、每年结束之日起</w:t>
      </w:r>
      <w:bookmarkStart w:id="58" w:name="Text80"/>
      <w:r>
        <w:rPr>
          <w:rFonts w:hint="eastAsia" w:ascii="方正仿宋" w:hAnsi="宋体" w:eastAsia="方正仿宋" w:cs="Times New Roman"/>
          <w:kern w:val="0"/>
          <w:sz w:val="28"/>
          <w:szCs w:val="28"/>
          <w:highlight w:val="none"/>
          <w:lang w:val="en-US" w:eastAsia="zh-CN" w:bidi="ar-SA"/>
        </w:rPr>
        <w:fldChar w:fldCharType="begin">
          <w:ffData>
            <w:name w:val="Text80"/>
            <w:enabled/>
            <w:calcOnExit w:val="0"/>
            <w:textInput>
              <w:default w:val="9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90</w:t>
      </w:r>
      <w:r>
        <w:rPr>
          <w:rFonts w:hint="eastAsia" w:ascii="方正仿宋" w:hAnsi="宋体" w:eastAsia="方正仿宋" w:cs="Times New Roman"/>
          <w:kern w:val="0"/>
          <w:sz w:val="28"/>
          <w:szCs w:val="28"/>
          <w:highlight w:val="none"/>
          <w:lang w:val="en-US" w:eastAsia="zh-CN" w:bidi="ar-SA"/>
        </w:rPr>
        <w:fldChar w:fldCharType="end"/>
      </w:r>
      <w:bookmarkEnd w:id="58"/>
      <w:r>
        <w:rPr>
          <w:rFonts w:hint="eastAsia" w:ascii="方正仿宋" w:hAnsi="宋体" w:eastAsia="方正仿宋" w:cs="Times New Roman"/>
          <w:kern w:val="0"/>
          <w:sz w:val="28"/>
          <w:szCs w:val="28"/>
          <w:highlight w:val="none"/>
          <w:lang w:val="en-US" w:eastAsia="zh-CN"/>
        </w:rPr>
        <w:t>个工作日内，编制完成理财产品的季度、半年和年度报告，并发送至乙方。理财产品成立不足</w:t>
      </w:r>
      <w:bookmarkStart w:id="59" w:name="Text81"/>
      <w:r>
        <w:rPr>
          <w:rFonts w:hint="eastAsia" w:ascii="方正仿宋" w:hAnsi="宋体" w:eastAsia="方正仿宋" w:cs="Times New Roman"/>
          <w:kern w:val="0"/>
          <w:sz w:val="28"/>
          <w:szCs w:val="28"/>
          <w:highlight w:val="none"/>
          <w:lang w:val="en-US" w:eastAsia="zh-CN" w:bidi="ar-SA"/>
        </w:rPr>
        <w:fldChar w:fldCharType="begin">
          <w:ffData>
            <w:name w:val="Text81"/>
            <w:enabled/>
            <w:calcOnExit w:val="0"/>
            <w:textInput>
              <w:default w:val="9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90</w:t>
      </w:r>
      <w:r>
        <w:rPr>
          <w:rFonts w:hint="eastAsia" w:ascii="方正仿宋" w:hAnsi="宋体" w:eastAsia="方正仿宋" w:cs="Times New Roman"/>
          <w:kern w:val="0"/>
          <w:sz w:val="28"/>
          <w:szCs w:val="28"/>
          <w:highlight w:val="none"/>
          <w:lang w:val="en-US" w:eastAsia="zh-CN" w:bidi="ar-SA"/>
        </w:rPr>
        <w:fldChar w:fldCharType="end"/>
      </w:r>
      <w:bookmarkEnd w:id="59"/>
      <w:r>
        <w:rPr>
          <w:rFonts w:hint="eastAsia" w:ascii="方正仿宋" w:hAnsi="宋体" w:eastAsia="方正仿宋" w:cs="Times New Roman"/>
          <w:kern w:val="0"/>
          <w:sz w:val="28"/>
          <w:szCs w:val="28"/>
          <w:highlight w:val="none"/>
          <w:lang w:val="en-US" w:eastAsia="zh-CN"/>
        </w:rPr>
        <w:t>日或者剩余存续期不超过</w:t>
      </w:r>
      <w:bookmarkStart w:id="60" w:name="Text82"/>
      <w:r>
        <w:rPr>
          <w:rFonts w:hint="eastAsia" w:ascii="方正仿宋" w:hAnsi="宋体" w:eastAsia="方正仿宋" w:cs="Times New Roman"/>
          <w:kern w:val="0"/>
          <w:sz w:val="28"/>
          <w:szCs w:val="28"/>
          <w:highlight w:val="none"/>
          <w:lang w:val="en-US" w:eastAsia="zh-CN" w:bidi="ar-SA"/>
        </w:rPr>
        <w:fldChar w:fldCharType="begin">
          <w:ffData>
            <w:name w:val="Text82"/>
            <w:enabled/>
            <w:calcOnExit w:val="0"/>
            <w:textInput>
              <w:default w:val="90"/>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90</w:t>
      </w:r>
      <w:r>
        <w:rPr>
          <w:rFonts w:hint="eastAsia" w:ascii="方正仿宋" w:hAnsi="宋体" w:eastAsia="方正仿宋" w:cs="Times New Roman"/>
          <w:kern w:val="0"/>
          <w:sz w:val="28"/>
          <w:szCs w:val="28"/>
          <w:highlight w:val="none"/>
          <w:lang w:val="en-US" w:eastAsia="zh-CN" w:bidi="ar-SA"/>
        </w:rPr>
        <w:fldChar w:fldCharType="end"/>
      </w:r>
      <w:bookmarkEnd w:id="60"/>
      <w:r>
        <w:rPr>
          <w:rFonts w:hint="eastAsia" w:ascii="方正仿宋" w:hAnsi="宋体" w:eastAsia="方正仿宋" w:cs="Times New Roman"/>
          <w:kern w:val="0"/>
          <w:sz w:val="28"/>
          <w:szCs w:val="28"/>
          <w:highlight w:val="none"/>
          <w:lang w:val="en-US" w:eastAsia="zh-CN"/>
        </w:rPr>
        <w:t>日的，甲方可以不编制理财产品当期的季度、半年和年度报告。乙方收到报告后应及时复核并反馈甲方。</w:t>
      </w:r>
    </w:p>
    <w:p>
      <w:pPr>
        <w:pStyle w:val="3"/>
        <w:rPr>
          <w:rFonts w:ascii="方正仿宋" w:hAnsi="宋体" w:eastAsia="方正仿宋"/>
          <w:kern w:val="0"/>
          <w:sz w:val="28"/>
          <w:szCs w:val="28"/>
          <w:highlight w:val="none"/>
        </w:rPr>
      </w:pPr>
      <w:r>
        <w:rPr>
          <w:rFonts w:hint="eastAsia" w:ascii="方正仿宋" w:hAnsi="宋体" w:eastAsia="方正仿宋"/>
          <w:kern w:val="0"/>
          <w:sz w:val="28"/>
          <w:szCs w:val="28"/>
          <w:highlight w:val="none"/>
        </w:rPr>
        <w:t>第十一条</w:t>
      </w:r>
      <w:r>
        <w:rPr>
          <w:rFonts w:hint="eastAsia" w:ascii="方正仿宋" w:hAnsi="宋体" w:eastAsia="方正仿宋"/>
          <w:kern w:val="0"/>
          <w:sz w:val="28"/>
          <w:szCs w:val="28"/>
          <w:highlight w:val="none"/>
          <w:lang w:val="en-US" w:eastAsia="zh-CN"/>
        </w:rPr>
        <w:t xml:space="preserve">  </w:t>
      </w:r>
      <w:r>
        <w:rPr>
          <w:rFonts w:hint="eastAsia" w:ascii="方正仿宋" w:hAnsi="宋体" w:eastAsia="方正仿宋"/>
          <w:kern w:val="0"/>
          <w:sz w:val="28"/>
          <w:szCs w:val="28"/>
          <w:highlight w:val="none"/>
        </w:rPr>
        <w:t>理财产品清算</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（一）每只理财产品终止时，甲方应及时组织到期清算，清算期原则上不得超过</w:t>
      </w:r>
      <w:bookmarkStart w:id="61" w:name="Text84"/>
      <w:r>
        <w:rPr>
          <w:rFonts w:hint="eastAsia" w:ascii="方正仿宋" w:hAnsi="宋体" w:eastAsia="方正仿宋" w:cs="Times New Roman"/>
          <w:kern w:val="0"/>
          <w:sz w:val="28"/>
          <w:szCs w:val="28"/>
          <w:highlight w:val="none"/>
          <w:lang w:val="en-US" w:eastAsia="zh-CN" w:bidi="ar-SA"/>
        </w:rPr>
        <w:fldChar w:fldCharType="begin">
          <w:ffData>
            <w:name w:val="Text84"/>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61"/>
      <w:r>
        <w:rPr>
          <w:rFonts w:hint="eastAsia" w:ascii="方正仿宋" w:hAnsi="宋体" w:eastAsia="方正仿宋" w:cs="Times New Roman"/>
          <w:kern w:val="0"/>
          <w:sz w:val="28"/>
          <w:szCs w:val="28"/>
          <w:highlight w:val="none"/>
          <w:lang w:val="en-US" w:eastAsia="zh-CN"/>
        </w:rPr>
        <w:t>日。如清算期超过</w:t>
      </w:r>
      <w:bookmarkStart w:id="62" w:name="Text83"/>
      <w:r>
        <w:rPr>
          <w:rFonts w:hint="eastAsia" w:ascii="方正仿宋" w:hAnsi="宋体" w:eastAsia="方正仿宋" w:cs="Times New Roman"/>
          <w:kern w:val="0"/>
          <w:sz w:val="28"/>
          <w:szCs w:val="28"/>
          <w:highlight w:val="none"/>
          <w:lang w:val="en-US" w:eastAsia="zh-CN" w:bidi="ar-SA"/>
        </w:rPr>
        <w:fldChar w:fldCharType="begin">
          <w:ffData>
            <w:name w:val="Text83"/>
            <w:enabled/>
            <w:calcOnExit w:val="0"/>
            <w:textInput>
              <w:default w:val="5"/>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5</w:t>
      </w:r>
      <w:r>
        <w:rPr>
          <w:rFonts w:hint="eastAsia" w:ascii="方正仿宋" w:hAnsi="宋体" w:eastAsia="方正仿宋" w:cs="Times New Roman"/>
          <w:kern w:val="0"/>
          <w:sz w:val="28"/>
          <w:szCs w:val="28"/>
          <w:highlight w:val="none"/>
          <w:lang w:val="en-US" w:eastAsia="zh-CN" w:bidi="ar-SA"/>
        </w:rPr>
        <w:fldChar w:fldCharType="end"/>
      </w:r>
      <w:bookmarkEnd w:id="62"/>
      <w:r>
        <w:rPr>
          <w:rFonts w:hint="eastAsia" w:ascii="方正仿宋" w:hAnsi="宋体" w:eastAsia="方正仿宋" w:cs="Times New Roman"/>
          <w:kern w:val="0"/>
          <w:sz w:val="28"/>
          <w:szCs w:val="28"/>
          <w:highlight w:val="none"/>
          <w:lang w:val="en-US" w:eastAsia="zh-CN"/>
        </w:rPr>
        <w:t>日的，甲方应当经与乙方协商一致后，在理财产品终止前，根据与投资者的约定，在指定渠道向理财产品投资者进行披露。</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二）甲方应及时编制到期报告并发送至乙方。到期报告的内容包括但不限于理财产品的存续期限、终止日期、收费情况和收益分配情况信息。乙方应及时核对到期报告并回复甲方。甲方收到回复后未于当日提出异议的，视为对乙方复核结果无异议。</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（三）乙方应当在双方对到期报告均无异议后，根据甲方按照本合同约定发送的指令将托管资产划至资金清算专用账户。</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（四）理财产品如提前终止，甲方应至少在终止前</w:t>
      </w:r>
      <w:bookmarkStart w:id="63" w:name="Text85"/>
      <w:r>
        <w:rPr>
          <w:rFonts w:hint="eastAsia" w:ascii="方正仿宋" w:hAnsi="宋体" w:eastAsia="方正仿宋" w:cs="Times New Roman"/>
          <w:kern w:val="0"/>
          <w:sz w:val="28"/>
          <w:szCs w:val="28"/>
          <w:highlight w:val="none"/>
          <w:lang w:val="en-US" w:eastAsia="zh-CN" w:bidi="ar-SA"/>
        </w:rPr>
        <w:fldChar w:fldCharType="begin">
          <w:ffData>
            <w:name w:val="Text85"/>
            <w:enabled/>
            <w:calcOnExit w:val="0"/>
            <w:textInput>
              <w:default w:val="3"/>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3</w:t>
      </w:r>
      <w:r>
        <w:rPr>
          <w:rFonts w:hint="eastAsia" w:ascii="方正仿宋" w:hAnsi="宋体" w:eastAsia="方正仿宋" w:cs="Times New Roman"/>
          <w:kern w:val="0"/>
          <w:sz w:val="28"/>
          <w:szCs w:val="28"/>
          <w:highlight w:val="none"/>
          <w:lang w:val="en-US" w:eastAsia="zh-CN" w:bidi="ar-SA"/>
        </w:rPr>
        <w:fldChar w:fldCharType="end"/>
      </w:r>
      <w:bookmarkEnd w:id="63"/>
      <w:r>
        <w:rPr>
          <w:rFonts w:hint="eastAsia" w:ascii="方正仿宋" w:hAnsi="宋体" w:eastAsia="方正仿宋" w:cs="Times New Roman"/>
          <w:kern w:val="0"/>
          <w:sz w:val="28"/>
          <w:szCs w:val="28"/>
          <w:highlight w:val="none"/>
          <w:lang w:val="en-US" w:eastAsia="zh-CN"/>
        </w:rPr>
        <w:t>个工作日书面通知乙方，提供相关证明文件并按照前述约定履行上述到期清算程序。</w:t>
      </w:r>
    </w:p>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第十二条</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保密条款</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甲乙双方在此承诺：对于因本合同约定的托管事宜而获得的对方未公开的有关经营信息、与托管事务有关的资产处置等信息、以及与本合同托管事宜有关的所有其他未公开的信息严格保密，并责成因履行本合同而知悉上述信息的人员以及其他任何有可能接触到上述信息的人员保守秘密。未经一方书面事先同意，另一方不得向任何第三方披露上述信息，但国家有关法律法规规定或国家权力机关、监管机构要求披露或向所聘请的审计、法律等外部专业顾问提供的除外。双方的保密义务不因本合同的解除、终止及无效而免除。</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甲乙双方在此进一步承诺：不为本合同以外的目的利用该等保密信息，但前提是该方可向由其任命或雇佣的雇员、董事、受托人员、顾问、代理人或其他人员在为实现本合同目的所必需的范围内披露该等信息，在该等情况下，该方应确保其雇员、董事、受托人员、顾问、代理人或其他人员被告知本合同项下的保密义务并遵守该等义务。</w:t>
      </w:r>
    </w:p>
    <w:p>
      <w:pPr>
        <w:pStyle w:val="3"/>
        <w:rPr>
          <w:rFonts w:ascii="方正仿宋" w:hAnsi="宋体" w:eastAsia="方正仿宋"/>
          <w:b w:val="0"/>
          <w:bCs w:val="0"/>
          <w:sz w:val="28"/>
          <w:szCs w:val="28"/>
          <w:highlight w:val="none"/>
        </w:rPr>
      </w:pPr>
      <w:r>
        <w:rPr>
          <w:rFonts w:hint="eastAsia" w:ascii="方正仿宋" w:hAnsi="宋体" w:eastAsia="方正仿宋"/>
          <w:sz w:val="28"/>
          <w:szCs w:val="28"/>
          <w:highlight w:val="none"/>
        </w:rPr>
        <w:t>第十三条</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合同的生效与终止</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（一）本合同经甲乙双方法定代表人或其授权代理人签字、加盖公章且本合同项下系列理财产品中的首只本理财产品的全部募集资金转入本合同项下与其对应的托管账户后生效。</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（二）甲乙双方针对单只理财产品另行签署的备忘录（如有）及甲乙双方在执行本合同过程中形成的通知、报告、函件等书面文件，均构成本合同的一部分，与本合同具有同等的法律效力。</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三）除本合同另有约定外，本合同至甲乙双方协商同意终止本合同时终止，届时甲乙双方将另行签署合同终止证明文件。本合同终止时如尚有乙方托管的理财产品存续的，存续理财产品不受本合同终止影响，继续适用本合同，直至托管资产根据甲方指令全部交由接替乙方的托管人或理财产品终止清算完毕。</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（四）一方违反法律法规或违反本合同的约定导致本合同实质无法继续履行的，经另一方通知后，另一方有权单方解除本合同。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（五）如发生下列情形，任何一方有权单方解除本合同：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1.甲方被依法取消开展理财业务资格的；</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2.甲方依法解散、被依法撤销、被依法宣告破产或违法经营、出现重大风险、损害投资者利益、无法履行职责的的；</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3.乙方依法解散、被依法撤销或被依法宣告破产的或违法经营、出现重大风险、损害理财产品投资者利益、无法履行职责的；</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4.理财产品存续期届满而未延期的；</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5.法律法规或本合同约定的其他情形。</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（六）本合同终止后，有关保密责任、违约责任、争议解决的约定继续有效。</w:t>
      </w:r>
    </w:p>
    <w:p>
      <w:pPr>
        <w:pStyle w:val="3"/>
        <w:rPr>
          <w:rFonts w:ascii="方正仿宋" w:hAnsi="宋体" w:eastAsia="方正仿宋"/>
          <w:bCs w:val="0"/>
          <w:kern w:val="2"/>
          <w:sz w:val="28"/>
          <w:szCs w:val="28"/>
          <w:highlight w:val="none"/>
        </w:rPr>
      </w:pPr>
      <w:r>
        <w:rPr>
          <w:rFonts w:hint="eastAsia" w:ascii="方正仿宋" w:hAnsi="宋体" w:eastAsia="方正仿宋"/>
          <w:bCs w:val="0"/>
          <w:kern w:val="2"/>
          <w:sz w:val="28"/>
          <w:szCs w:val="28"/>
          <w:highlight w:val="none"/>
        </w:rPr>
        <w:t>第十四条</w:t>
      </w:r>
      <w:r>
        <w:rPr>
          <w:rFonts w:ascii="方正仿宋" w:hAnsi="宋体" w:eastAsia="方正仿宋"/>
          <w:bCs w:val="0"/>
          <w:kern w:val="2"/>
          <w:sz w:val="28"/>
          <w:szCs w:val="28"/>
          <w:highlight w:val="none"/>
        </w:rPr>
        <w:t xml:space="preserve">  </w:t>
      </w:r>
      <w:r>
        <w:rPr>
          <w:rFonts w:hint="eastAsia" w:ascii="方正仿宋" w:hAnsi="宋体" w:eastAsia="方正仿宋"/>
          <w:bCs w:val="0"/>
          <w:kern w:val="2"/>
          <w:sz w:val="28"/>
          <w:szCs w:val="28"/>
          <w:highlight w:val="none"/>
        </w:rPr>
        <w:t>违约责任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一）一方当事人未履行或者未完全履行本合同的，由违约的一方承担违约责任；如双方当事人均有违约情形，根据实际情况，由双方当事人分别承担各自应负的违约责任。守约方因主张债权而产生的费用（包括但不限于诉讼费、律师费、保全费、保全担保费、执行费等）均由违约方承担。</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（二）当事人违约，给另一方当事人造成损失的，应就直接损失进行赔偿；给理财产品财产造成损失的，应就直接损失进行赔偿。上述赔偿责任不因本合同终止而免除。但是发生下列情况，当事人可以免责。</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1.不可抗力。一方因不可抗力不能履行本合同时，应及时通知对方，并应采取适当措施防止损失的扩大；</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2.甲方及乙方按照当时有效的法律、法规或监管机构的规定作为或不作为而造成的损失等；</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3.在乙方没有过错或重大过失的情况下，乙方执行甲方的生效指令对托管资产造成的损失；</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4.甲方应保证其向乙方提供的有关凭证、合同等文件（含复印件）和数据的真实性、准确性、完整性及合法性。乙方不负责对其真实性进行审核。所有收到的由甲方提供的上述复印件，乙方即认为其有效，如因甲方提供的有关凭证、合同的复印件和数据有误，由此给乙方造成损失的，由甲方承担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5.甲方应保证资金来源和投向合法、合规，如果乙方发现或有合理怀疑甲方及其重要关联方或其资金、交易存在洗钱风险、恐怖融资、逃税等非法嫌疑或违反可适用的制裁项目时，乙方可以采取相应的风险控制措施，由此导致的损失和责任，由甲方承担；</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6.非因甲、乙双方故意或重大过失造成的计算机系统故障、网络故障、通讯故障、电力故障、计算机病毒攻击及其它意外事故，所导致的损失等；</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7.乙方对存放或存管在乙方以外机构的资产，或交由证券公司、期货公司等其他机构负责清算交收的资产及其收益，因该等机构故意欺诈、疏忽、过失、破产等原因给理财产品财产带来的损失不承担相关责任；</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8.本合同规定的其他可免责的事项。</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（三）违约行为虽已发生，但本合同能够继续履行的，在最大限度地保护理财产品投资者利益的前提下，甲方和乙方应当继续履行本合同。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（四）一方仅依据本合同约定的职责范围承担相应责任，而不因自身职责以外的事由与另一方对外承担连带赔偿责任。</w:t>
      </w:r>
      <w:bookmarkStart w:id="64" w:name="_Toc65293454"/>
      <w:bookmarkStart w:id="65" w:name="_Toc33600714"/>
    </w:p>
    <w:bookmarkEnd w:id="64"/>
    <w:bookmarkEnd w:id="65"/>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第十五条</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争议解决与适用法律</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有关本合同的签署和履行而产生的任何争议及对本合同项下条款的解释，均适用中华人民共和国法律法规（为本合同之目的，在此不包括香港、澳门特别行政区及台湾地区法律法规），并按其解释。</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对由于本合同引起或与本合同有关的任何争议，甲、乙双方应通过友好协商解决。如果该争议未能得到协商解决，则任何一方均应将争议向甲方所在地法院提起诉讼。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争议处理期间，除争议事项外，本合同当事人应恪守各自的职责，继续忠实、勤勉、尽责地履行合同规定的义务，维护资产投资者及合同各方的合法权益。</w:t>
      </w:r>
    </w:p>
    <w:p>
      <w:pPr>
        <w:pStyle w:val="3"/>
        <w:rPr>
          <w:rFonts w:ascii="方正仿宋" w:hAnsi="宋体" w:eastAsia="方正仿宋"/>
          <w:sz w:val="28"/>
          <w:szCs w:val="28"/>
          <w:highlight w:val="none"/>
        </w:rPr>
      </w:pPr>
      <w:r>
        <w:rPr>
          <w:rFonts w:hint="eastAsia" w:ascii="方正仿宋" w:hAnsi="宋体" w:eastAsia="方正仿宋"/>
          <w:sz w:val="28"/>
          <w:szCs w:val="28"/>
          <w:highlight w:val="none"/>
        </w:rPr>
        <w:t>第十六条</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其他条款</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一）本合同及甲乙双方针对单只理财产品另行签署的备忘录（如有）构成双方就理财产品托管事宜达成的全部安排，任何有关理财产品托管事宜的规定以本合同及甲乙双方针对单只理财产品另行签署的备忘录（如有）的约定为准。</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（二）本合同系针对北银理财产品的托管事宜所签署，本合同签订后，甲乙双方无需再就北银理财产品项下单只产品的托管事宜另行签署托管合同，北银理财产品项下单只产品的托管事宜均按照本合同约定执行。</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（三）甲、乙双方保证在本合同下提供给对方的一切资料均为真实、完整、准确、合法，没有任何重大遗漏或误导。</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（四）非经甲、乙双方书面同意，本合同不得修改。如果在本合同有效期内出现影响或限制本合同履行的法律、法规及政策，甲、乙双方应立即对本合同进行协商和修改，并由甲方按规定向理财产品投资者披露。</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五）本合同项下的任何通知、批准、要求、授权、指示或其他通信（统称“书面文件”）均须通过双方认可的安全、恰当的方式，以书面形式发送，本合同另有约定除外。以授权的传真或电子邮件方式送出的书面文件，以发出方电话通知接收方确认后视为送达；如果书面文件由专人递送，在送达另一方住所时视为到达另一方；如果书面文件通过邮资付讫、要求回执的挂号信发出，以签收回执视为送达另一方；如果书面文件通过特快专递发送，以快递签收日视为送达另一方。收件方拒绝签收的，于拒收日/退回日或寄出之日满</w:t>
      </w:r>
      <w:bookmarkStart w:id="66" w:name="Text86"/>
      <w:r>
        <w:rPr>
          <w:rFonts w:hint="eastAsia" w:ascii="方正仿宋" w:hAnsi="宋体" w:eastAsia="方正仿宋" w:cs="Times New Roman"/>
          <w:kern w:val="0"/>
          <w:sz w:val="28"/>
          <w:szCs w:val="28"/>
          <w:highlight w:val="none"/>
          <w:lang w:val="en-US" w:eastAsia="zh-CN" w:bidi="ar-SA"/>
        </w:rPr>
        <w:fldChar w:fldCharType="begin">
          <w:ffData>
            <w:name w:val="Text86"/>
            <w:enabled/>
            <w:calcOnExit w:val="0"/>
            <w:textInput>
              <w:default w:val="七"/>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七</w:t>
      </w:r>
      <w:r>
        <w:rPr>
          <w:rFonts w:hint="eastAsia" w:ascii="方正仿宋" w:hAnsi="宋体" w:eastAsia="方正仿宋" w:cs="Times New Roman"/>
          <w:kern w:val="0"/>
          <w:sz w:val="28"/>
          <w:szCs w:val="28"/>
          <w:highlight w:val="none"/>
          <w:lang w:val="en-US" w:eastAsia="zh-CN" w:bidi="ar-SA"/>
        </w:rPr>
        <w:fldChar w:fldCharType="end"/>
      </w:r>
      <w:bookmarkEnd w:id="66"/>
      <w:r>
        <w:rPr>
          <w:rFonts w:hint="eastAsia" w:ascii="方正仿宋" w:hAnsi="宋体" w:eastAsia="方正仿宋" w:cs="Times New Roman"/>
          <w:kern w:val="0"/>
          <w:sz w:val="28"/>
          <w:szCs w:val="28"/>
          <w:highlight w:val="none"/>
          <w:lang w:val="en-US" w:eastAsia="zh-CN"/>
        </w:rPr>
        <w:t>日（以较早者为准）视为送达。任何一方变更前期备案的联系方式，应当自变更之日起</w:t>
      </w:r>
      <w:bookmarkStart w:id="67" w:name="Text87"/>
      <w:r>
        <w:rPr>
          <w:rFonts w:hint="eastAsia" w:ascii="方正仿宋" w:hAnsi="宋体" w:eastAsia="方正仿宋" w:cs="Times New Roman"/>
          <w:kern w:val="0"/>
          <w:sz w:val="28"/>
          <w:szCs w:val="28"/>
          <w:highlight w:val="none"/>
          <w:lang w:val="en-US" w:eastAsia="zh-CN" w:bidi="ar-SA"/>
        </w:rPr>
        <w:fldChar w:fldCharType="begin">
          <w:ffData>
            <w:name w:val="Text87"/>
            <w:enabled/>
            <w:calcOnExit w:val="0"/>
            <w:textInput>
              <w:default w:val="五"/>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五</w:t>
      </w:r>
      <w:r>
        <w:rPr>
          <w:rFonts w:hint="eastAsia" w:ascii="方正仿宋" w:hAnsi="宋体" w:eastAsia="方正仿宋" w:cs="Times New Roman"/>
          <w:kern w:val="0"/>
          <w:sz w:val="28"/>
          <w:szCs w:val="28"/>
          <w:highlight w:val="none"/>
          <w:lang w:val="en-US" w:eastAsia="zh-CN" w:bidi="ar-SA"/>
        </w:rPr>
        <w:fldChar w:fldCharType="end"/>
      </w:r>
      <w:bookmarkEnd w:id="67"/>
      <w:r>
        <w:rPr>
          <w:rFonts w:hint="eastAsia" w:ascii="方正仿宋" w:hAnsi="宋体" w:eastAsia="方正仿宋" w:cs="Times New Roman"/>
          <w:kern w:val="0"/>
          <w:sz w:val="28"/>
          <w:szCs w:val="28"/>
          <w:highlight w:val="none"/>
          <w:lang w:val="en-US" w:eastAsia="zh-CN"/>
        </w:rPr>
        <w:t>个工作日内将变更后的信息通知另一方，否则另一方有权按原联系方式送达。因联系方式信息变更未成功送达的，退回之日或寄出后满</w:t>
      </w:r>
      <w:bookmarkStart w:id="68" w:name="Text88"/>
      <w:r>
        <w:rPr>
          <w:rFonts w:hint="eastAsia" w:ascii="方正仿宋" w:hAnsi="宋体" w:eastAsia="方正仿宋" w:cs="Times New Roman"/>
          <w:kern w:val="0"/>
          <w:sz w:val="28"/>
          <w:szCs w:val="28"/>
          <w:highlight w:val="none"/>
          <w:lang w:val="en-US" w:eastAsia="zh-CN" w:bidi="ar-SA"/>
        </w:rPr>
        <w:fldChar w:fldCharType="begin">
          <w:ffData>
            <w:name w:val="Text88"/>
            <w:enabled/>
            <w:calcOnExit w:val="0"/>
            <w:textInput>
              <w:default w:val="七"/>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七</w:t>
      </w:r>
      <w:r>
        <w:rPr>
          <w:rFonts w:hint="eastAsia" w:ascii="方正仿宋" w:hAnsi="宋体" w:eastAsia="方正仿宋" w:cs="Times New Roman"/>
          <w:kern w:val="0"/>
          <w:sz w:val="28"/>
          <w:szCs w:val="28"/>
          <w:highlight w:val="none"/>
          <w:lang w:val="en-US" w:eastAsia="zh-CN" w:bidi="ar-SA"/>
        </w:rPr>
        <w:fldChar w:fldCharType="end"/>
      </w:r>
      <w:bookmarkEnd w:id="68"/>
      <w:r>
        <w:rPr>
          <w:rFonts w:hint="eastAsia" w:ascii="方正仿宋" w:hAnsi="宋体" w:eastAsia="方正仿宋" w:cs="Times New Roman"/>
          <w:kern w:val="0"/>
          <w:sz w:val="28"/>
          <w:szCs w:val="28"/>
          <w:highlight w:val="none"/>
          <w:lang w:val="en-US" w:eastAsia="zh-CN"/>
        </w:rPr>
        <w:t>日（以较早者为准）视为送达之日。变更方自行承担因此可能产生的损失，不影响送达的合法效力。本合同所列联系方式同时作为各自的公证文书、司法文书送达地址，受诉法院、公证机构以本合同约定的书面方式送至该送达地址即视为有效送达。</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（六）本合同一式</w:t>
      </w:r>
      <w:bookmarkStart w:id="69" w:name="Text89"/>
      <w:r>
        <w:rPr>
          <w:rFonts w:hint="eastAsia" w:ascii="方正仿宋" w:hAnsi="宋体" w:eastAsia="方正仿宋" w:cs="Times New Roman"/>
          <w:kern w:val="0"/>
          <w:sz w:val="28"/>
          <w:szCs w:val="28"/>
          <w:highlight w:val="none"/>
          <w:lang w:val="en-US" w:eastAsia="zh-CN" w:bidi="ar-SA"/>
        </w:rPr>
        <w:fldChar w:fldCharType="begin">
          <w:ffData>
            <w:name w:val="Text89"/>
            <w:enabled/>
            <w:calcOnExit w:val="0"/>
            <w:textInput>
              <w:default w:val="贰"/>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贰</w:t>
      </w:r>
      <w:r>
        <w:rPr>
          <w:rFonts w:hint="eastAsia" w:ascii="方正仿宋" w:hAnsi="宋体" w:eastAsia="方正仿宋" w:cs="Times New Roman"/>
          <w:kern w:val="0"/>
          <w:sz w:val="28"/>
          <w:szCs w:val="28"/>
          <w:highlight w:val="none"/>
          <w:lang w:val="en-US" w:eastAsia="zh-CN" w:bidi="ar-SA"/>
        </w:rPr>
        <w:fldChar w:fldCharType="end"/>
      </w:r>
      <w:bookmarkEnd w:id="69"/>
      <w:r>
        <w:rPr>
          <w:rFonts w:hint="eastAsia" w:ascii="方正仿宋" w:hAnsi="宋体" w:eastAsia="方正仿宋" w:cs="Times New Roman"/>
          <w:kern w:val="0"/>
          <w:sz w:val="28"/>
          <w:szCs w:val="28"/>
          <w:highlight w:val="none"/>
          <w:lang w:val="en-US" w:eastAsia="zh-CN"/>
        </w:rPr>
        <w:t>份，每方各执</w:t>
      </w:r>
      <w:bookmarkStart w:id="70" w:name="Text90"/>
      <w:r>
        <w:rPr>
          <w:rFonts w:hint="eastAsia" w:ascii="方正仿宋" w:hAnsi="宋体" w:eastAsia="方正仿宋" w:cs="Times New Roman"/>
          <w:kern w:val="0"/>
          <w:sz w:val="28"/>
          <w:szCs w:val="28"/>
          <w:highlight w:val="none"/>
          <w:lang w:val="en-US" w:eastAsia="zh-CN" w:bidi="ar-SA"/>
        </w:rPr>
        <w:fldChar w:fldCharType="begin">
          <w:ffData>
            <w:name w:val="Text90"/>
            <w:enabled/>
            <w:calcOnExit w:val="0"/>
            <w:textInput>
              <w:default w:val="壹"/>
            </w:textInput>
          </w:ffData>
        </w:fldChar>
      </w:r>
      <w:r>
        <w:rPr>
          <w:rFonts w:hint="eastAsia" w:ascii="方正仿宋" w:hAnsi="宋体" w:eastAsia="方正仿宋" w:cs="Times New Roman"/>
          <w:kern w:val="0"/>
          <w:sz w:val="28"/>
          <w:szCs w:val="28"/>
          <w:highlight w:val="none"/>
          <w:lang w:val="en-US" w:eastAsia="zh-CN" w:bidi="ar-SA"/>
        </w:rPr>
        <w:instrText xml:space="preserve">FORMTEXT</w:instrText>
      </w:r>
      <w:r>
        <w:rPr>
          <w:rFonts w:hint="eastAsia" w:ascii="方正仿宋" w:hAnsi="宋体" w:eastAsia="方正仿宋" w:cs="Times New Roman"/>
          <w:kern w:val="0"/>
          <w:sz w:val="28"/>
          <w:szCs w:val="28"/>
          <w:highlight w:val="none"/>
          <w:lang w:val="en-US" w:eastAsia="zh-CN" w:bidi="ar-SA"/>
        </w:rPr>
        <w:fldChar w:fldCharType="separate"/>
      </w:r>
      <w:r>
        <w:rPr>
          <w:rFonts w:hint="eastAsia" w:ascii="方正仿宋" w:hAnsi="宋体" w:eastAsia="方正仿宋" w:cs="Times New Roman"/>
          <w:kern w:val="0"/>
          <w:sz w:val="28"/>
          <w:szCs w:val="28"/>
          <w:highlight w:val="none"/>
          <w:lang w:val="en-US" w:eastAsia="zh-CN" w:bidi="ar-SA"/>
        </w:rPr>
        <w:t>壹</w:t>
      </w:r>
      <w:r>
        <w:rPr>
          <w:rFonts w:hint="eastAsia" w:ascii="方正仿宋" w:hAnsi="宋体" w:eastAsia="方正仿宋" w:cs="Times New Roman"/>
          <w:kern w:val="0"/>
          <w:sz w:val="28"/>
          <w:szCs w:val="28"/>
          <w:highlight w:val="none"/>
          <w:lang w:val="en-US" w:eastAsia="zh-CN" w:bidi="ar-SA"/>
        </w:rPr>
        <w:fldChar w:fldCharType="end"/>
      </w:r>
      <w:bookmarkEnd w:id="70"/>
      <w:r>
        <w:rPr>
          <w:rFonts w:hint="eastAsia" w:ascii="方正仿宋" w:hAnsi="宋体" w:eastAsia="方正仿宋" w:cs="Times New Roman"/>
          <w:kern w:val="0"/>
          <w:sz w:val="28"/>
          <w:szCs w:val="28"/>
          <w:highlight w:val="none"/>
          <w:lang w:val="en-US" w:eastAsia="zh-CN"/>
        </w:rPr>
        <w:t>份，每份具有同等的法律效力。</w:t>
      </w:r>
    </w:p>
    <w:p>
      <w:pPr>
        <w:autoSpaceDE w:val="0"/>
        <w:autoSpaceDN w:val="0"/>
        <w:adjustRightInd w:val="0"/>
        <w:snapToGrid w:val="0"/>
        <w:spacing w:line="360" w:lineRule="auto"/>
        <w:ind w:firstLine="560" w:firstLineChars="200"/>
        <w:rPr>
          <w:rFonts w:hint="eastAsia" w:ascii="方正仿宋" w:hAnsi="宋体" w:eastAsia="方正仿宋" w:cs="Times New Roman"/>
          <w:kern w:val="0"/>
          <w:sz w:val="28"/>
          <w:szCs w:val="28"/>
          <w:highlight w:val="none"/>
          <w:lang w:val="en-US" w:eastAsia="zh-CN"/>
        </w:rPr>
      </w:pPr>
      <w:r>
        <w:rPr>
          <w:rFonts w:hint="eastAsia" w:ascii="方正仿宋" w:hAnsi="宋体" w:eastAsia="方正仿宋" w:cs="Times New Roman"/>
          <w:kern w:val="0"/>
          <w:sz w:val="28"/>
          <w:szCs w:val="28"/>
          <w:highlight w:val="none"/>
          <w:lang w:val="en-US" w:eastAsia="zh-CN"/>
        </w:rPr>
        <w:t>（以下无正文）</w:t>
      </w:r>
    </w:p>
    <w:p>
      <w:pPr>
        <w:autoSpaceDE w:val="0"/>
        <w:autoSpaceDN w:val="0"/>
        <w:adjustRightInd w:val="0"/>
        <w:snapToGrid w:val="0"/>
        <w:spacing w:before="120" w:after="120" w:line="360" w:lineRule="auto"/>
        <w:ind w:firstLine="480"/>
        <w:jc w:val="left"/>
        <w:outlineLvl w:val="0"/>
        <w:rPr>
          <w:rFonts w:ascii="方正仿宋" w:hAnsi="宋体" w:eastAsia="方正仿宋"/>
          <w:sz w:val="28"/>
          <w:szCs w:val="28"/>
          <w:highlight w:val="none"/>
        </w:rPr>
      </w:pPr>
      <w:r>
        <w:rPr>
          <w:rFonts w:hint="eastAsia" w:ascii="方正仿宋" w:hAnsi="宋体" w:eastAsia="方正仿宋"/>
          <w:sz w:val="28"/>
          <w:szCs w:val="28"/>
          <w:highlight w:val="none"/>
        </w:rPr>
        <w:t>（本页为《北银</w:t>
      </w:r>
      <w:r>
        <w:rPr>
          <w:rFonts w:ascii="方正仿宋" w:hAnsi="宋体" w:eastAsia="方正仿宋"/>
          <w:sz w:val="28"/>
          <w:szCs w:val="28"/>
          <w:highlight w:val="none"/>
        </w:rPr>
        <w:t>理财</w:t>
      </w:r>
      <w:r>
        <w:rPr>
          <w:rFonts w:hint="eastAsia" w:ascii="方正仿宋" w:hAnsi="宋体" w:eastAsia="方正仿宋"/>
          <w:sz w:val="28"/>
          <w:szCs w:val="28"/>
          <w:highlight w:val="none"/>
          <w:lang w:eastAsia="zh-CN"/>
        </w:rPr>
        <w:t>理财</w:t>
      </w:r>
      <w:r>
        <w:rPr>
          <w:rFonts w:ascii="方正仿宋" w:hAnsi="宋体" w:eastAsia="方正仿宋"/>
          <w:sz w:val="28"/>
          <w:szCs w:val="28"/>
          <w:highlight w:val="none"/>
        </w:rPr>
        <w:t>产品托管合同》签署页）</w:t>
      </w:r>
    </w:p>
    <w:p>
      <w:pPr>
        <w:adjustRightInd w:val="0"/>
        <w:snapToGrid w:val="0"/>
        <w:spacing w:line="336" w:lineRule="auto"/>
        <w:ind w:firstLine="560" w:firstLineChars="200"/>
        <w:rPr>
          <w:rFonts w:ascii="方正仿宋" w:hAnsi="宋体" w:eastAsia="方正仿宋"/>
          <w:sz w:val="28"/>
          <w:szCs w:val="28"/>
          <w:highlight w:val="none"/>
        </w:rPr>
      </w:pPr>
    </w:p>
    <w:p>
      <w:pPr>
        <w:adjustRightInd w:val="0"/>
        <w:snapToGrid w:val="0"/>
        <w:spacing w:line="336" w:lineRule="auto"/>
        <w:ind w:firstLine="560" w:firstLineChars="200"/>
        <w:rPr>
          <w:rFonts w:ascii="方正仿宋" w:hAnsi="宋体" w:eastAsia="方正仿宋"/>
          <w:sz w:val="28"/>
          <w:szCs w:val="28"/>
          <w:highlight w:val="none"/>
        </w:rPr>
      </w:pPr>
    </w:p>
    <w:p>
      <w:pPr>
        <w:adjustRightInd w:val="0"/>
        <w:snapToGrid w:val="0"/>
        <w:spacing w:line="336" w:lineRule="auto"/>
        <w:ind w:firstLine="560" w:firstLineChars="200"/>
        <w:rPr>
          <w:rFonts w:ascii="方正仿宋" w:hAnsi="宋体" w:eastAsia="方正仿宋"/>
          <w:sz w:val="28"/>
          <w:szCs w:val="28"/>
          <w:highlight w:val="none"/>
        </w:rPr>
      </w:pPr>
    </w:p>
    <w:p>
      <w:pPr>
        <w:adjustRightInd w:val="0"/>
        <w:snapToGrid w:val="0"/>
        <w:spacing w:line="336" w:lineRule="auto"/>
        <w:ind w:firstLine="560" w:firstLineChars="200"/>
        <w:rPr>
          <w:rFonts w:ascii="方正仿宋" w:hAnsi="宋体" w:eastAsia="方正仿宋"/>
          <w:sz w:val="28"/>
          <w:szCs w:val="28"/>
          <w:highlight w:val="none"/>
        </w:rPr>
      </w:pPr>
      <w:r>
        <w:rPr>
          <w:rFonts w:hint="eastAsia" w:ascii="方正仿宋" w:hAnsi="宋体" w:eastAsia="方正仿宋"/>
          <w:sz w:val="28"/>
          <w:szCs w:val="28"/>
          <w:highlight w:val="none"/>
        </w:rPr>
        <w:t>甲</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方：</w:t>
      </w:r>
      <w:bookmarkStart w:id="71" w:name="Text91"/>
      <w:r>
        <w:rPr>
          <w:rFonts w:hint="default" w:ascii="方正仿宋" w:hAnsi="宋体" w:eastAsia="方正仿宋"/>
          <w:sz w:val="28"/>
          <w:szCs w:val="28"/>
          <w:highlight w:val="none"/>
        </w:rPr>
        <w:fldChar w:fldCharType="begin">
          <w:ffData>
            <w:name w:val="Text91"/>
            <w:enabled/>
            <w:calcOnExit w:val="0"/>
            <w:textInput>
              <w:default w:val="北银理财有限责任公司"/>
            </w:textInput>
          </w:ffData>
        </w:fldChar>
      </w:r>
      <w:r>
        <w:rPr>
          <w:rFonts w:hint="default" w:ascii="方正仿宋" w:hAnsi="宋体" w:eastAsia="方正仿宋"/>
          <w:sz w:val="28"/>
          <w:szCs w:val="28"/>
          <w:highlight w:val="none"/>
        </w:rPr>
        <w:instrText xml:space="preserve">FORMTEXT</w:instrText>
      </w:r>
      <w:r>
        <w:rPr>
          <w:rFonts w:hint="default" w:ascii="方正仿宋" w:hAnsi="宋体" w:eastAsia="方正仿宋"/>
          <w:sz w:val="28"/>
          <w:szCs w:val="28"/>
          <w:highlight w:val="none"/>
        </w:rPr>
        <w:fldChar w:fldCharType="separate"/>
      </w:r>
      <w:r>
        <w:rPr>
          <w:rFonts w:hint="default" w:ascii="方正仿宋" w:hAnsi="宋体" w:eastAsia="方正仿宋"/>
          <w:sz w:val="28"/>
          <w:szCs w:val="28"/>
          <w:highlight w:val="none"/>
        </w:rPr>
        <w:t>北银理财有限责任公司</w:t>
      </w:r>
      <w:r>
        <w:rPr>
          <w:rFonts w:hint="default" w:ascii="方正仿宋" w:hAnsi="宋体" w:eastAsia="方正仿宋"/>
          <w:sz w:val="28"/>
          <w:szCs w:val="28"/>
          <w:highlight w:val="none"/>
        </w:rPr>
        <w:fldChar w:fldCharType="end"/>
      </w:r>
      <w:bookmarkEnd w:id="71"/>
      <w:r>
        <w:rPr>
          <w:rFonts w:ascii="方正仿宋" w:hAnsi="宋体" w:eastAsia="方正仿宋"/>
          <w:sz w:val="28"/>
          <w:szCs w:val="28"/>
          <w:highlight w:val="none"/>
        </w:rPr>
        <w:t xml:space="preserve">             </w:t>
      </w:r>
    </w:p>
    <w:p>
      <w:pPr>
        <w:adjustRightInd w:val="0"/>
        <w:snapToGrid w:val="0"/>
        <w:spacing w:line="336" w:lineRule="auto"/>
        <w:ind w:firstLine="560" w:firstLineChars="200"/>
        <w:rPr>
          <w:rFonts w:hint="eastAsia" w:ascii="方正仿宋" w:hAnsi="宋体" w:eastAsia="方正仿宋"/>
          <w:sz w:val="28"/>
          <w:szCs w:val="28"/>
          <w:highlight w:val="none"/>
        </w:rPr>
      </w:pPr>
      <w:r>
        <w:rPr>
          <w:rFonts w:hint="eastAsia" w:ascii="方正仿宋" w:hAnsi="宋体" w:eastAsia="方正仿宋"/>
          <w:sz w:val="28"/>
          <w:szCs w:val="28"/>
          <w:highlight w:val="none"/>
        </w:rPr>
        <w:t>法定代表人：</w:t>
      </w:r>
      <w:bookmarkStart w:id="72" w:name="Text93"/>
      <w:r>
        <w:rPr>
          <w:rFonts w:hint="eastAsia" w:ascii="方正仿宋" w:hAnsi="宋体" w:eastAsia="方正仿宋"/>
          <w:sz w:val="28"/>
          <w:szCs w:val="28"/>
          <w:highlight w:val="none"/>
        </w:rPr>
        <w:fldChar w:fldCharType="begin">
          <w:ffData>
            <w:name w:val="Text93"/>
            <w:enabled/>
            <w:calcOnExit w:val="0"/>
            <w:textInput/>
          </w:ffData>
        </w:fldChar>
      </w:r>
      <w:r>
        <w:rPr>
          <w:rFonts w:hint="eastAsia" w:ascii="方正仿宋" w:hAnsi="宋体" w:eastAsia="方正仿宋"/>
          <w:sz w:val="28"/>
          <w:szCs w:val="28"/>
          <w:highlight w:val="none"/>
        </w:rPr>
        <w:instrText xml:space="preserve">FORMTEXT</w:instrText>
      </w:r>
      <w:r>
        <w:rPr>
          <w:rFonts w:hint="eastAsia" w:ascii="方正仿宋" w:hAnsi="宋体" w:eastAsia="方正仿宋"/>
          <w:sz w:val="28"/>
          <w:szCs w:val="28"/>
          <w:highlight w:val="none"/>
        </w:rPr>
        <w:fldChar w:fldCharType="separate"/>
      </w:r>
      <w:r>
        <w:rPr>
          <w:rFonts w:hint="default" w:ascii="方正仿宋" w:hAnsi="宋体" w:eastAsia="方正仿宋"/>
          <w:sz w:val="28"/>
          <w:szCs w:val="28"/>
          <w:highlight w:val="none"/>
          <w:lang w:val="en-US"/>
        </w:rPr>
        <w:t>     </w:t>
      </w:r>
      <w:r>
        <w:rPr>
          <w:rFonts w:hint="eastAsia" w:ascii="方正仿宋" w:hAnsi="宋体" w:eastAsia="方正仿宋"/>
          <w:sz w:val="28"/>
          <w:szCs w:val="28"/>
          <w:highlight w:val="none"/>
        </w:rPr>
        <w:fldChar w:fldCharType="end"/>
      </w:r>
      <w:bookmarkEnd w:id="72"/>
      <w:r>
        <w:rPr>
          <w:rFonts w:ascii="方正仿宋" w:hAnsi="宋体" w:eastAsia="方正仿宋"/>
          <w:sz w:val="28"/>
          <w:szCs w:val="28"/>
          <w:highlight w:val="none"/>
        </w:rPr>
        <w:t xml:space="preserve">              </w:t>
      </w:r>
    </w:p>
    <w:p>
      <w:pPr>
        <w:adjustRightInd w:val="0"/>
        <w:snapToGrid w:val="0"/>
        <w:spacing w:line="336" w:lineRule="auto"/>
        <w:ind w:firstLine="560" w:firstLineChars="200"/>
        <w:rPr>
          <w:rFonts w:ascii="方正仿宋" w:hAnsi="宋体" w:eastAsia="方正仿宋"/>
          <w:sz w:val="28"/>
          <w:szCs w:val="28"/>
          <w:highlight w:val="none"/>
        </w:rPr>
      </w:pPr>
      <w:r>
        <w:rPr>
          <w:rFonts w:ascii="方正仿宋" w:hAnsi="宋体" w:eastAsia="方正仿宋"/>
          <w:sz w:val="28"/>
          <w:szCs w:val="28"/>
          <w:highlight w:val="none"/>
        </w:rPr>
        <w:t>(或授权代</w:t>
      </w:r>
      <w:r>
        <w:rPr>
          <w:rFonts w:hint="eastAsia" w:ascii="方正仿宋" w:hAnsi="宋体" w:eastAsia="方正仿宋"/>
          <w:sz w:val="28"/>
          <w:szCs w:val="28"/>
          <w:highlight w:val="none"/>
        </w:rPr>
        <w:t>理</w:t>
      </w:r>
      <w:r>
        <w:rPr>
          <w:rFonts w:ascii="方正仿宋" w:hAnsi="宋体" w:eastAsia="方正仿宋"/>
          <w:sz w:val="28"/>
          <w:szCs w:val="28"/>
          <w:highlight w:val="none"/>
        </w:rPr>
        <w:t>人)</w:t>
      </w:r>
      <w:r>
        <w:rPr>
          <w:rFonts w:ascii="方正仿宋" w:hAnsi="宋体" w:eastAsia="方正仿宋"/>
          <w:sz w:val="28"/>
          <w:szCs w:val="28"/>
          <w:highlight w:val="none"/>
        </w:rPr>
        <w:tab/>
      </w:r>
      <w:r>
        <w:rPr>
          <w:rFonts w:ascii="方正仿宋" w:hAnsi="宋体" w:eastAsia="方正仿宋"/>
          <w:sz w:val="28"/>
          <w:szCs w:val="28"/>
          <w:highlight w:val="none"/>
        </w:rPr>
        <w:tab/>
      </w:r>
      <w:r>
        <w:rPr>
          <w:rFonts w:ascii="方正仿宋" w:hAnsi="宋体" w:eastAsia="方正仿宋"/>
          <w:sz w:val="28"/>
          <w:szCs w:val="28"/>
          <w:highlight w:val="none"/>
        </w:rPr>
        <w:tab/>
      </w:r>
      <w:r>
        <w:rPr>
          <w:rFonts w:ascii="方正仿宋" w:hAnsi="宋体" w:eastAsia="方正仿宋"/>
          <w:sz w:val="28"/>
          <w:szCs w:val="28"/>
          <w:highlight w:val="none"/>
        </w:rPr>
        <w:t xml:space="preserve">          </w:t>
      </w:r>
      <w:r>
        <w:rPr>
          <w:rFonts w:ascii="方正仿宋" w:hAnsi="宋体" w:eastAsia="方正仿宋"/>
          <w:sz w:val="28"/>
          <w:szCs w:val="28"/>
          <w:highlight w:val="none"/>
        </w:rPr>
        <w:tab/>
      </w:r>
    </w:p>
    <w:p>
      <w:pPr>
        <w:adjustRightInd w:val="0"/>
        <w:snapToGrid w:val="0"/>
        <w:spacing w:line="336" w:lineRule="auto"/>
        <w:ind w:firstLine="560" w:firstLineChars="200"/>
        <w:rPr>
          <w:sz w:val="24"/>
          <w:highlight w:val="none"/>
        </w:rPr>
      </w:pPr>
      <w:r>
        <w:rPr>
          <w:rFonts w:hint="eastAsia" w:ascii="方正仿宋" w:hAnsi="宋体" w:eastAsia="方正仿宋"/>
          <w:sz w:val="28"/>
          <w:szCs w:val="28"/>
          <w:highlight w:val="none"/>
        </w:rPr>
        <w:t>签署日期：</w:t>
      </w:r>
      <w:bookmarkStart w:id="73" w:name="Text95"/>
      <w:r>
        <w:rPr>
          <w:rFonts w:hint="eastAsia" w:ascii="方正仿宋" w:hAnsi="宋体" w:eastAsia="方正仿宋"/>
          <w:sz w:val="28"/>
          <w:szCs w:val="28"/>
          <w:highlight w:val="none"/>
        </w:rPr>
        <w:fldChar w:fldCharType="begin">
          <w:ffData>
            <w:name w:val="Text95"/>
            <w:enabled/>
            <w:calcOnExit w:val="0"/>
            <w:textInput/>
          </w:ffData>
        </w:fldChar>
      </w:r>
      <w:r>
        <w:rPr>
          <w:rFonts w:hint="eastAsia" w:ascii="方正仿宋" w:hAnsi="宋体" w:eastAsia="方正仿宋"/>
          <w:sz w:val="28"/>
          <w:szCs w:val="28"/>
          <w:highlight w:val="none"/>
        </w:rPr>
        <w:instrText xml:space="preserve">FORMTEXT</w:instrText>
      </w:r>
      <w:r>
        <w:rPr>
          <w:rFonts w:hint="eastAsia" w:ascii="方正仿宋" w:hAnsi="宋体" w:eastAsia="方正仿宋"/>
          <w:sz w:val="28"/>
          <w:szCs w:val="28"/>
          <w:highlight w:val="none"/>
        </w:rPr>
        <w:fldChar w:fldCharType="separate"/>
      </w:r>
      <w:r>
        <w:rPr>
          <w:rFonts w:hint="default" w:ascii="方正仿宋" w:hAnsi="宋体" w:eastAsia="方正仿宋"/>
          <w:sz w:val="28"/>
          <w:szCs w:val="28"/>
          <w:highlight w:val="none"/>
          <w:lang w:val="en-US"/>
        </w:rPr>
        <w:t>     </w:t>
      </w:r>
      <w:r>
        <w:rPr>
          <w:rFonts w:hint="eastAsia" w:ascii="方正仿宋" w:hAnsi="宋体" w:eastAsia="方正仿宋"/>
          <w:sz w:val="28"/>
          <w:szCs w:val="28"/>
          <w:highlight w:val="none"/>
        </w:rPr>
        <w:fldChar w:fldCharType="end"/>
      </w:r>
      <w:bookmarkEnd w:id="73"/>
      <w:r>
        <w:rPr>
          <w:rFonts w:ascii="方正仿宋" w:hAnsi="宋体" w:eastAsia="方正仿宋"/>
          <w:sz w:val="28"/>
          <w:szCs w:val="28"/>
          <w:highlight w:val="none"/>
        </w:rPr>
        <w:t xml:space="preserve">          </w:t>
      </w:r>
      <w:r>
        <w:rPr>
          <w:rFonts w:hint="eastAsia" w:ascii="方正仿宋" w:hAnsi="宋体" w:eastAsia="方正仿宋"/>
          <w:sz w:val="28"/>
          <w:szCs w:val="28"/>
          <w:highlight w:val="none"/>
          <w:lang w:val="en-US" w:eastAsia="zh-CN"/>
        </w:rPr>
        <w:t xml:space="preserve"> </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lang w:val="en-US" w:eastAsia="zh-CN"/>
        </w:rPr>
        <w:t xml:space="preserve"> </w:t>
      </w:r>
      <w:r>
        <w:rPr>
          <w:rFonts w:ascii="方正仿宋" w:hAnsi="宋体" w:eastAsia="方正仿宋"/>
          <w:sz w:val="28"/>
          <w:szCs w:val="28"/>
          <w:highlight w:val="none"/>
        </w:rPr>
        <w:t xml:space="preserve">   </w:t>
      </w:r>
    </w:p>
    <w:bookmarkEnd w:id="0"/>
    <w:p>
      <w:pPr>
        <w:widowControl/>
        <w:jc w:val="left"/>
        <w:rPr>
          <w:highlight w:val="none"/>
        </w:rPr>
      </w:pPr>
    </w:p>
    <w:p>
      <w:pPr>
        <w:widowControl/>
        <w:jc w:val="left"/>
        <w:rPr>
          <w:highlight w:val="none"/>
        </w:rPr>
      </w:pPr>
    </w:p>
    <w:p>
      <w:pPr>
        <w:widowControl/>
        <w:adjustRightInd w:val="0"/>
        <w:snapToGrid w:val="0"/>
        <w:spacing w:line="336" w:lineRule="auto"/>
        <w:ind w:firstLine="560" w:firstLineChars="200"/>
        <w:jc w:val="left"/>
        <w:rPr>
          <w:rFonts w:hint="eastAsia" w:ascii="方正仿宋" w:hAnsi="宋体" w:eastAsia="方正仿宋"/>
          <w:sz w:val="28"/>
          <w:szCs w:val="28"/>
          <w:highlight w:val="none"/>
        </w:rPr>
      </w:pPr>
    </w:p>
    <w:p>
      <w:pPr>
        <w:widowControl/>
        <w:adjustRightInd w:val="0"/>
        <w:snapToGrid w:val="0"/>
        <w:spacing w:line="336" w:lineRule="auto"/>
        <w:ind w:firstLine="560" w:firstLineChars="200"/>
        <w:jc w:val="left"/>
        <w:rPr>
          <w:rFonts w:hint="eastAsia" w:ascii="方正仿宋" w:hAnsi="宋体" w:eastAsia="方正仿宋"/>
          <w:sz w:val="28"/>
          <w:szCs w:val="28"/>
          <w:highlight w:val="none"/>
        </w:rPr>
      </w:pPr>
    </w:p>
    <w:p>
      <w:pPr>
        <w:widowControl/>
        <w:adjustRightInd w:val="0"/>
        <w:snapToGrid w:val="0"/>
        <w:spacing w:line="336" w:lineRule="auto"/>
        <w:ind w:firstLine="560" w:firstLineChars="200"/>
        <w:jc w:val="left"/>
        <w:rPr>
          <w:rFonts w:hint="eastAsia" w:ascii="方正仿宋" w:hAnsi="宋体" w:eastAsia="方正仿宋"/>
          <w:sz w:val="28"/>
          <w:szCs w:val="28"/>
          <w:highlight w:val="none"/>
        </w:rPr>
      </w:pPr>
    </w:p>
    <w:p>
      <w:pPr>
        <w:widowControl/>
        <w:adjustRightInd w:val="0"/>
        <w:snapToGrid w:val="0"/>
        <w:spacing w:line="336" w:lineRule="auto"/>
        <w:ind w:firstLine="560" w:firstLineChars="200"/>
        <w:jc w:val="left"/>
        <w:rPr>
          <w:rFonts w:hint="eastAsia" w:ascii="方正仿宋" w:hAnsi="宋体" w:eastAsia="方正仿宋"/>
          <w:sz w:val="28"/>
          <w:szCs w:val="28"/>
          <w:highlight w:val="none"/>
        </w:rPr>
      </w:pPr>
    </w:p>
    <w:p>
      <w:pPr>
        <w:widowControl/>
        <w:adjustRightInd w:val="0"/>
        <w:snapToGrid w:val="0"/>
        <w:spacing w:line="336" w:lineRule="auto"/>
        <w:ind w:firstLine="560" w:firstLineChars="200"/>
        <w:jc w:val="left"/>
        <w:rPr>
          <w:rFonts w:hint="default" w:ascii="方正仿宋" w:hAnsi="宋体" w:eastAsia="方正仿宋"/>
          <w:sz w:val="28"/>
          <w:szCs w:val="28"/>
          <w:highlight w:val="none"/>
        </w:rPr>
      </w:pPr>
      <w:r>
        <w:rPr>
          <w:rFonts w:hint="eastAsia" w:ascii="方正仿宋" w:hAnsi="宋体" w:eastAsia="方正仿宋"/>
          <w:sz w:val="28"/>
          <w:szCs w:val="28"/>
          <w:highlight w:val="none"/>
        </w:rPr>
        <w:t>乙</w:t>
      </w:r>
      <w:r>
        <w:rPr>
          <w:rFonts w:ascii="方正仿宋" w:hAnsi="宋体" w:eastAsia="方正仿宋"/>
          <w:sz w:val="28"/>
          <w:szCs w:val="28"/>
          <w:highlight w:val="none"/>
        </w:rPr>
        <w:t xml:space="preserve">      </w:t>
      </w:r>
      <w:r>
        <w:rPr>
          <w:rFonts w:hint="eastAsia" w:ascii="方正仿宋" w:hAnsi="宋体" w:eastAsia="方正仿宋"/>
          <w:sz w:val="28"/>
          <w:szCs w:val="28"/>
          <w:highlight w:val="none"/>
        </w:rPr>
        <w:t>方：中国民生银行股份有限公司</w:t>
      </w:r>
    </w:p>
    <w:p>
      <w:pPr>
        <w:widowControl/>
        <w:adjustRightInd w:val="0"/>
        <w:snapToGrid w:val="0"/>
        <w:spacing w:line="336" w:lineRule="auto"/>
        <w:ind w:firstLine="560" w:firstLineChars="200"/>
        <w:jc w:val="left"/>
        <w:rPr>
          <w:rFonts w:hint="eastAsia" w:ascii="方正仿宋" w:hAnsi="宋体" w:eastAsia="方正仿宋"/>
          <w:sz w:val="28"/>
          <w:szCs w:val="28"/>
          <w:highlight w:val="none"/>
          <w:lang w:eastAsia="zh-CN"/>
        </w:rPr>
      </w:pPr>
      <w:r>
        <w:rPr>
          <w:rFonts w:hint="eastAsia" w:ascii="方正仿宋" w:hAnsi="宋体" w:eastAsia="方正仿宋"/>
          <w:sz w:val="28"/>
          <w:szCs w:val="28"/>
          <w:highlight w:val="none"/>
          <w:lang w:eastAsia="zh-CN"/>
        </w:rPr>
        <w:t>法定代表人：</w:t>
      </w:r>
    </w:p>
    <w:p>
      <w:pPr>
        <w:widowControl/>
        <w:adjustRightInd w:val="0"/>
        <w:snapToGrid w:val="0"/>
        <w:spacing w:line="336" w:lineRule="auto"/>
        <w:ind w:firstLine="560" w:firstLineChars="200"/>
        <w:jc w:val="left"/>
        <w:rPr>
          <w:rFonts w:hint="eastAsia" w:ascii="方正仿宋" w:hAnsi="宋体" w:eastAsia="方正仿宋"/>
          <w:sz w:val="28"/>
          <w:szCs w:val="28"/>
          <w:highlight w:val="none"/>
          <w:lang w:eastAsia="zh-CN"/>
        </w:rPr>
      </w:pPr>
      <w:r>
        <w:rPr>
          <w:rFonts w:hint="eastAsia" w:ascii="方正仿宋" w:hAnsi="宋体" w:eastAsia="方正仿宋"/>
          <w:sz w:val="28"/>
          <w:szCs w:val="28"/>
          <w:highlight w:val="none"/>
          <w:lang w:eastAsia="zh-CN"/>
        </w:rPr>
        <w:t>（或授权代理人）</w:t>
      </w:r>
    </w:p>
    <w:p>
      <w:pPr>
        <w:widowControl/>
        <w:adjustRightInd w:val="0"/>
        <w:snapToGrid w:val="0"/>
        <w:spacing w:line="336" w:lineRule="auto"/>
        <w:ind w:firstLine="560" w:firstLineChars="200"/>
        <w:jc w:val="left"/>
        <w:rPr>
          <w:highlight w:val="none"/>
        </w:rPr>
      </w:pPr>
      <w:r>
        <w:rPr>
          <w:rFonts w:hint="eastAsia" w:ascii="方正仿宋" w:hAnsi="宋体" w:eastAsia="方正仿宋"/>
          <w:sz w:val="28"/>
          <w:szCs w:val="28"/>
          <w:highlight w:val="none"/>
          <w:lang w:eastAsia="zh-CN"/>
        </w:rPr>
        <w:t>签署日期：</w:t>
      </w:r>
      <w:r>
        <w:rPr>
          <w:rFonts w:hint="eastAsia" w:ascii="方正仿宋" w:hAnsi="宋体" w:eastAsia="方正仿宋"/>
          <w:sz w:val="28"/>
          <w:szCs w:val="28"/>
          <w:highlight w:val="none"/>
          <w:lang w:eastAsia="zh-CN"/>
        </w:rPr>
        <w:fldChar w:fldCharType="begin">
          <w:ffData>
            <w:name w:val="Text32"/>
            <w:enabled/>
            <w:calcOnExit w:val="0"/>
            <w:textInput/>
          </w:ffData>
        </w:fldChar>
      </w:r>
      <w:bookmarkStart w:id="74" w:name="Text32"/>
      <w:r>
        <w:rPr>
          <w:rFonts w:hint="eastAsia" w:ascii="方正仿宋" w:hAnsi="宋体" w:eastAsia="方正仿宋"/>
          <w:sz w:val="28"/>
          <w:szCs w:val="28"/>
          <w:highlight w:val="none"/>
          <w:lang w:eastAsia="zh-CN"/>
        </w:rPr>
        <w:instrText xml:space="preserve">FORMTEXT</w:instrText>
      </w:r>
      <w:r>
        <w:rPr>
          <w:rFonts w:hint="eastAsia" w:ascii="方正仿宋" w:hAnsi="宋体" w:eastAsia="方正仿宋"/>
          <w:sz w:val="28"/>
          <w:szCs w:val="28"/>
          <w:highlight w:val="none"/>
          <w:lang w:eastAsia="zh-CN"/>
        </w:rPr>
        <w:fldChar w:fldCharType="separate"/>
      </w:r>
      <w:r>
        <w:rPr>
          <w:rFonts w:hint="default" w:ascii="方正仿宋" w:hAnsi="宋体" w:eastAsia="方正仿宋"/>
          <w:sz w:val="28"/>
          <w:szCs w:val="28"/>
          <w:highlight w:val="none"/>
          <w:lang w:val="en-US" w:eastAsia="zh-CN"/>
        </w:rPr>
        <w:t>     </w:t>
      </w:r>
      <w:r>
        <w:rPr>
          <w:rFonts w:hint="eastAsia" w:ascii="方正仿宋" w:hAnsi="宋体" w:eastAsia="方正仿宋"/>
          <w:sz w:val="28"/>
          <w:szCs w:val="28"/>
          <w:highlight w:val="none"/>
          <w:lang w:eastAsia="zh-CN"/>
        </w:rPr>
        <w:fldChar w:fldCharType="end"/>
      </w:r>
      <w:bookmarkEnd w:id="74"/>
      <w:r>
        <w:rPr>
          <w:highlight w:val="none"/>
        </w:rPr>
        <w:br w:type="page"/>
      </w:r>
    </w:p>
    <w:p>
      <w:pPr>
        <w:jc w:val="left"/>
        <w:rPr>
          <w:rFonts w:hint="eastAsia" w:ascii="仿宋" w:hAnsi="仿宋" w:eastAsia="仿宋" w:cs="仿宋"/>
          <w:b/>
          <w:sz w:val="30"/>
          <w:highlight w:val="none"/>
        </w:rPr>
      </w:pPr>
      <w:r>
        <w:rPr>
          <w:rFonts w:hint="eastAsia" w:ascii="仿宋" w:hAnsi="仿宋" w:eastAsia="仿宋" w:cs="仿宋"/>
          <w:b/>
          <w:sz w:val="30"/>
          <w:highlight w:val="none"/>
        </w:rPr>
        <w:t>附件一</w:t>
      </w:r>
    </w:p>
    <w:p>
      <w:pPr>
        <w:jc w:val="center"/>
        <w:rPr>
          <w:rFonts w:ascii="仿宋" w:hAnsi="仿宋" w:eastAsia="仿宋"/>
          <w:b/>
          <w:sz w:val="30"/>
          <w:szCs w:val="30"/>
          <w:highlight w:val="none"/>
        </w:rPr>
      </w:pPr>
      <w:r>
        <w:rPr>
          <w:rFonts w:hint="eastAsia" w:ascii="仿宋" w:hAnsi="仿宋" w:eastAsia="仿宋"/>
          <w:b/>
          <w:sz w:val="30"/>
          <w:szCs w:val="30"/>
          <w:highlight w:val="none"/>
        </w:rPr>
        <w:t>北银理财有限责任公司</w:t>
      </w:r>
      <w:r>
        <w:rPr>
          <w:rFonts w:ascii="仿宋" w:hAnsi="仿宋" w:eastAsia="仿宋"/>
          <w:b/>
          <w:sz w:val="30"/>
          <w:szCs w:val="30"/>
          <w:highlight w:val="none"/>
        </w:rPr>
        <w:t>理财产品</w:t>
      </w:r>
    </w:p>
    <w:p>
      <w:pPr>
        <w:jc w:val="center"/>
        <w:rPr>
          <w:rFonts w:ascii="仿宋" w:hAnsi="仿宋" w:eastAsia="仿宋"/>
          <w:b/>
          <w:sz w:val="36"/>
          <w:szCs w:val="36"/>
          <w:highlight w:val="none"/>
        </w:rPr>
      </w:pPr>
      <w:r>
        <w:rPr>
          <w:rFonts w:ascii="仿宋" w:hAnsi="仿宋" w:eastAsia="仿宋"/>
          <w:b/>
          <w:sz w:val="30"/>
          <w:szCs w:val="30"/>
          <w:highlight w:val="none"/>
        </w:rPr>
        <w:t>成立</w:t>
      </w:r>
      <w:r>
        <w:rPr>
          <w:rFonts w:hint="eastAsia" w:ascii="仿宋" w:hAnsi="仿宋" w:eastAsia="仿宋"/>
          <w:b/>
          <w:sz w:val="30"/>
          <w:szCs w:val="30"/>
          <w:highlight w:val="none"/>
        </w:rPr>
        <w:t>要素</w:t>
      </w:r>
      <w:r>
        <w:rPr>
          <w:rFonts w:ascii="仿宋" w:hAnsi="仿宋" w:eastAsia="仿宋"/>
          <w:b/>
          <w:sz w:val="30"/>
          <w:szCs w:val="30"/>
          <w:highlight w:val="none"/>
        </w:rPr>
        <w:t>函</w:t>
      </w:r>
    </w:p>
    <w:p>
      <w:pPr>
        <w:spacing w:line="360" w:lineRule="auto"/>
        <w:jc w:val="left"/>
        <w:rPr>
          <w:rFonts w:ascii="仿宋" w:hAnsi="仿宋" w:eastAsia="仿宋"/>
          <w:sz w:val="24"/>
          <w:highlight w:val="none"/>
        </w:rPr>
      </w:pPr>
      <w:bookmarkStart w:id="75" w:name="Text100"/>
      <w:r>
        <w:rPr>
          <w:rFonts w:hint="eastAsia" w:ascii="仿宋" w:hAnsi="仿宋" w:eastAsia="仿宋"/>
          <w:sz w:val="24"/>
          <w:highlight w:val="none"/>
        </w:rPr>
        <w:fldChar w:fldCharType="begin">
          <w:ffData>
            <w:name w:val="Text100"/>
            <w:enabled/>
            <w:calcOnExit w:val="0"/>
            <w:textInput/>
          </w:ffData>
        </w:fldChar>
      </w:r>
      <w:r>
        <w:rPr>
          <w:rFonts w:hint="eastAsia" w:ascii="仿宋" w:hAnsi="仿宋" w:eastAsia="仿宋"/>
          <w:sz w:val="24"/>
          <w:highlight w:val="none"/>
        </w:rPr>
        <w:instrText xml:space="preserve">FORMTEXT</w:instrText>
      </w:r>
      <w:r>
        <w:rPr>
          <w:rFonts w:hint="eastAsia" w:ascii="仿宋" w:hAnsi="仿宋" w:eastAsia="仿宋"/>
          <w:sz w:val="24"/>
          <w:highlight w:val="none"/>
        </w:rPr>
        <w:fldChar w:fldCharType="separate"/>
      </w:r>
      <w:r>
        <w:rPr>
          <w:rFonts w:hint="default" w:ascii="仿宋" w:hAnsi="仿宋" w:eastAsia="仿宋"/>
          <w:sz w:val="24"/>
          <w:highlight w:val="none"/>
          <w:lang w:val="en-US"/>
        </w:rPr>
        <w:t>     </w:t>
      </w:r>
      <w:r>
        <w:rPr>
          <w:rFonts w:hint="eastAsia" w:ascii="仿宋" w:hAnsi="仿宋" w:eastAsia="仿宋"/>
          <w:sz w:val="24"/>
          <w:highlight w:val="none"/>
        </w:rPr>
        <w:fldChar w:fldCharType="end"/>
      </w:r>
      <w:bookmarkEnd w:id="75"/>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根据</w:t>
      </w:r>
      <w:r>
        <w:rPr>
          <w:rFonts w:ascii="仿宋" w:hAnsi="仿宋" w:eastAsia="仿宋"/>
          <w:sz w:val="24"/>
          <w:highlight w:val="none"/>
        </w:rPr>
        <w:t>双方签署的</w:t>
      </w:r>
      <w:r>
        <w:rPr>
          <w:rFonts w:hint="eastAsia" w:ascii="仿宋" w:hAnsi="仿宋" w:eastAsia="仿宋"/>
          <w:sz w:val="24"/>
          <w:highlight w:val="none"/>
        </w:rPr>
        <w:t>《北银理财理财产品托管合同</w:t>
      </w:r>
      <w:r>
        <w:rPr>
          <w:rFonts w:ascii="仿宋" w:hAnsi="仿宋" w:eastAsia="仿宋"/>
          <w:sz w:val="24"/>
          <w:highlight w:val="none"/>
        </w:rPr>
        <w:t>》</w:t>
      </w:r>
      <w:r>
        <w:rPr>
          <w:rFonts w:hint="eastAsia" w:ascii="仿宋" w:hAnsi="仿宋" w:eastAsia="仿宋"/>
          <w:sz w:val="24"/>
          <w:highlight w:val="none"/>
        </w:rPr>
        <w:t>,我单位发行</w:t>
      </w:r>
      <w:r>
        <w:rPr>
          <w:rFonts w:ascii="仿宋" w:hAnsi="仿宋" w:eastAsia="仿宋"/>
          <w:sz w:val="24"/>
          <w:highlight w:val="none"/>
        </w:rPr>
        <w:t>的</w:t>
      </w:r>
      <w:r>
        <w:rPr>
          <w:rFonts w:hint="eastAsia" w:ascii="仿宋" w:hAnsi="仿宋" w:eastAsia="仿宋"/>
          <w:sz w:val="24"/>
          <w:highlight w:val="none"/>
        </w:rPr>
        <w:t>“</w:t>
      </w:r>
      <w:bookmarkStart w:id="76" w:name="Text97"/>
      <w:r>
        <w:rPr>
          <w:rFonts w:hint="eastAsia" w:ascii="仿宋" w:hAnsi="仿宋" w:eastAsia="仿宋"/>
          <w:sz w:val="24"/>
          <w:highlight w:val="none"/>
        </w:rPr>
        <w:fldChar w:fldCharType="begin">
          <w:ffData>
            <w:name w:val="Text97"/>
            <w:enabled/>
            <w:calcOnExit w:val="0"/>
            <w:textInput/>
          </w:ffData>
        </w:fldChar>
      </w:r>
      <w:r>
        <w:rPr>
          <w:rFonts w:hint="eastAsia" w:ascii="仿宋" w:hAnsi="仿宋" w:eastAsia="仿宋"/>
          <w:sz w:val="24"/>
          <w:highlight w:val="none"/>
        </w:rPr>
        <w:instrText xml:space="preserve">FORMTEXT</w:instrText>
      </w:r>
      <w:r>
        <w:rPr>
          <w:rFonts w:hint="eastAsia" w:ascii="仿宋" w:hAnsi="仿宋" w:eastAsia="仿宋"/>
          <w:sz w:val="24"/>
          <w:highlight w:val="none"/>
        </w:rPr>
        <w:fldChar w:fldCharType="separate"/>
      </w:r>
      <w:r>
        <w:rPr>
          <w:rFonts w:hint="default" w:ascii="仿宋" w:hAnsi="仿宋" w:eastAsia="仿宋"/>
          <w:sz w:val="24"/>
          <w:highlight w:val="none"/>
          <w:lang w:val="en-US"/>
        </w:rPr>
        <w:t>     </w:t>
      </w:r>
      <w:r>
        <w:rPr>
          <w:rFonts w:hint="eastAsia" w:ascii="仿宋" w:hAnsi="仿宋" w:eastAsia="仿宋"/>
          <w:sz w:val="24"/>
          <w:highlight w:val="none"/>
        </w:rPr>
        <w:fldChar w:fldCharType="end"/>
      </w:r>
      <w:bookmarkEnd w:id="76"/>
      <w:r>
        <w:rPr>
          <w:rFonts w:ascii="仿宋" w:hAnsi="仿宋" w:eastAsia="仿宋"/>
          <w:sz w:val="24"/>
          <w:highlight w:val="none"/>
        </w:rPr>
        <w:t>”</w:t>
      </w:r>
      <w:r>
        <w:rPr>
          <w:rFonts w:hint="eastAsia" w:ascii="仿宋" w:hAnsi="仿宋" w:eastAsia="仿宋"/>
          <w:sz w:val="24"/>
          <w:highlight w:val="none"/>
        </w:rPr>
        <w:t>将于</w:t>
      </w:r>
      <w:bookmarkStart w:id="77" w:name="Text98"/>
      <w:r>
        <w:rPr>
          <w:rFonts w:hint="eastAsia" w:ascii="仿宋" w:hAnsi="仿宋" w:eastAsia="仿宋"/>
          <w:sz w:val="24"/>
          <w:highlight w:val="none"/>
        </w:rPr>
        <w:fldChar w:fldCharType="begin">
          <w:ffData>
            <w:name w:val="Text98"/>
            <w:enabled/>
            <w:calcOnExit w:val="0"/>
            <w:textInput/>
          </w:ffData>
        </w:fldChar>
      </w:r>
      <w:r>
        <w:rPr>
          <w:rFonts w:hint="eastAsia" w:ascii="仿宋" w:hAnsi="仿宋" w:eastAsia="仿宋"/>
          <w:sz w:val="24"/>
          <w:highlight w:val="none"/>
        </w:rPr>
        <w:instrText xml:space="preserve">FORMTEXT</w:instrText>
      </w:r>
      <w:r>
        <w:rPr>
          <w:rFonts w:hint="eastAsia" w:ascii="仿宋" w:hAnsi="仿宋" w:eastAsia="仿宋"/>
          <w:sz w:val="24"/>
          <w:highlight w:val="none"/>
        </w:rPr>
        <w:fldChar w:fldCharType="separate"/>
      </w:r>
      <w:r>
        <w:rPr>
          <w:rFonts w:hint="default" w:ascii="仿宋" w:hAnsi="仿宋" w:eastAsia="仿宋"/>
          <w:sz w:val="24"/>
          <w:highlight w:val="none"/>
          <w:lang w:val="en-US"/>
        </w:rPr>
        <w:t>     </w:t>
      </w:r>
      <w:r>
        <w:rPr>
          <w:rFonts w:hint="eastAsia" w:ascii="仿宋" w:hAnsi="仿宋" w:eastAsia="仿宋"/>
          <w:sz w:val="24"/>
          <w:highlight w:val="none"/>
        </w:rPr>
        <w:fldChar w:fldCharType="end"/>
      </w:r>
      <w:bookmarkEnd w:id="77"/>
      <w:r>
        <w:rPr>
          <w:rFonts w:hint="eastAsia" w:ascii="仿宋" w:hAnsi="仿宋" w:eastAsia="仿宋"/>
          <w:sz w:val="24"/>
          <w:highlight w:val="none"/>
        </w:rPr>
        <w:t>年</w:t>
      </w:r>
      <w:bookmarkStart w:id="78" w:name="Text99"/>
      <w:r>
        <w:rPr>
          <w:rFonts w:hint="eastAsia" w:ascii="仿宋" w:hAnsi="仿宋" w:eastAsia="仿宋"/>
          <w:sz w:val="24"/>
          <w:highlight w:val="none"/>
        </w:rPr>
        <w:fldChar w:fldCharType="begin">
          <w:ffData>
            <w:name w:val="Text99"/>
            <w:enabled/>
            <w:calcOnExit w:val="0"/>
            <w:textInput/>
          </w:ffData>
        </w:fldChar>
      </w:r>
      <w:r>
        <w:rPr>
          <w:rFonts w:hint="eastAsia" w:ascii="仿宋" w:hAnsi="仿宋" w:eastAsia="仿宋"/>
          <w:sz w:val="24"/>
          <w:highlight w:val="none"/>
        </w:rPr>
        <w:instrText xml:space="preserve">FORMTEXT</w:instrText>
      </w:r>
      <w:r>
        <w:rPr>
          <w:rFonts w:hint="eastAsia" w:ascii="仿宋" w:hAnsi="仿宋" w:eastAsia="仿宋"/>
          <w:sz w:val="24"/>
          <w:highlight w:val="none"/>
        </w:rPr>
        <w:fldChar w:fldCharType="separate"/>
      </w:r>
      <w:r>
        <w:rPr>
          <w:rFonts w:hint="default" w:ascii="仿宋" w:hAnsi="仿宋" w:eastAsia="仿宋"/>
          <w:sz w:val="24"/>
          <w:highlight w:val="none"/>
          <w:lang w:val="en-US"/>
        </w:rPr>
        <w:t>     </w:t>
      </w:r>
      <w:r>
        <w:rPr>
          <w:rFonts w:hint="eastAsia" w:ascii="仿宋" w:hAnsi="仿宋" w:eastAsia="仿宋"/>
          <w:sz w:val="24"/>
          <w:highlight w:val="none"/>
        </w:rPr>
        <w:fldChar w:fldCharType="end"/>
      </w:r>
      <w:bookmarkEnd w:id="78"/>
      <w:r>
        <w:rPr>
          <w:rFonts w:hint="eastAsia" w:ascii="仿宋" w:hAnsi="仿宋" w:eastAsia="仿宋"/>
          <w:sz w:val="24"/>
          <w:highlight w:val="none"/>
        </w:rPr>
        <w:t>月</w:t>
      </w:r>
      <w:bookmarkStart w:id="79" w:name="Text101"/>
      <w:r>
        <w:rPr>
          <w:rFonts w:hint="eastAsia" w:ascii="仿宋" w:hAnsi="仿宋" w:eastAsia="仿宋"/>
          <w:sz w:val="24"/>
          <w:highlight w:val="none"/>
        </w:rPr>
        <w:fldChar w:fldCharType="begin">
          <w:ffData>
            <w:name w:val="Text101"/>
            <w:enabled/>
            <w:calcOnExit w:val="0"/>
            <w:textInput/>
          </w:ffData>
        </w:fldChar>
      </w:r>
      <w:r>
        <w:rPr>
          <w:rFonts w:hint="eastAsia" w:ascii="仿宋" w:hAnsi="仿宋" w:eastAsia="仿宋"/>
          <w:sz w:val="24"/>
          <w:highlight w:val="none"/>
        </w:rPr>
        <w:instrText xml:space="preserve">FORMTEXT</w:instrText>
      </w:r>
      <w:r>
        <w:rPr>
          <w:rFonts w:hint="eastAsia" w:ascii="仿宋" w:hAnsi="仿宋" w:eastAsia="仿宋"/>
          <w:sz w:val="24"/>
          <w:highlight w:val="none"/>
        </w:rPr>
        <w:fldChar w:fldCharType="separate"/>
      </w:r>
      <w:r>
        <w:rPr>
          <w:rFonts w:hint="default" w:ascii="仿宋" w:hAnsi="仿宋" w:eastAsia="仿宋"/>
          <w:sz w:val="24"/>
          <w:highlight w:val="none"/>
          <w:lang w:val="en-US"/>
        </w:rPr>
        <w:t>     </w:t>
      </w:r>
      <w:r>
        <w:rPr>
          <w:rFonts w:hint="eastAsia" w:ascii="仿宋" w:hAnsi="仿宋" w:eastAsia="仿宋"/>
          <w:sz w:val="24"/>
          <w:highlight w:val="none"/>
        </w:rPr>
        <w:fldChar w:fldCharType="end"/>
      </w:r>
      <w:bookmarkEnd w:id="79"/>
      <w:r>
        <w:rPr>
          <w:rFonts w:hint="eastAsia" w:ascii="仿宋" w:hAnsi="仿宋" w:eastAsia="仿宋"/>
          <w:sz w:val="24"/>
          <w:highlight w:val="none"/>
        </w:rPr>
        <w:t>日</w:t>
      </w:r>
      <w:r>
        <w:rPr>
          <w:rFonts w:ascii="仿宋" w:hAnsi="仿宋" w:eastAsia="仿宋"/>
          <w:sz w:val="24"/>
          <w:highlight w:val="none"/>
        </w:rPr>
        <w:t>成立</w:t>
      </w:r>
      <w:r>
        <w:rPr>
          <w:rFonts w:hint="eastAsia" w:ascii="仿宋" w:hAnsi="仿宋" w:eastAsia="仿宋"/>
          <w:sz w:val="24"/>
          <w:highlight w:val="none"/>
        </w:rPr>
        <w:t>,理财</w:t>
      </w:r>
      <w:r>
        <w:rPr>
          <w:rFonts w:ascii="仿宋" w:hAnsi="仿宋" w:eastAsia="仿宋"/>
          <w:sz w:val="24"/>
          <w:highlight w:val="none"/>
        </w:rPr>
        <w:t>产品信息</w:t>
      </w:r>
      <w:r>
        <w:rPr>
          <w:rFonts w:hint="eastAsia" w:ascii="仿宋" w:hAnsi="仿宋" w:eastAsia="仿宋"/>
          <w:sz w:val="24"/>
          <w:highlight w:val="none"/>
        </w:rPr>
        <w:t>如下</w:t>
      </w:r>
      <w:r>
        <w:rPr>
          <w:rFonts w:ascii="仿宋" w:hAnsi="仿宋" w:eastAsia="仿宋"/>
          <w:sz w:val="24"/>
          <w:highlight w:val="none"/>
        </w:rPr>
        <w:t>：</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产品</w:t>
            </w:r>
            <w:r>
              <w:rPr>
                <w:rFonts w:ascii="仿宋" w:hAnsi="仿宋" w:eastAsia="仿宋"/>
                <w:sz w:val="24"/>
                <w:highlight w:val="none"/>
              </w:rPr>
              <w:t>名称</w:t>
            </w:r>
          </w:p>
        </w:tc>
        <w:tc>
          <w:tcPr>
            <w:tcW w:w="6600" w:type="dxa"/>
          </w:tcPr>
          <w:p>
            <w:pPr>
              <w:spacing w:line="360" w:lineRule="auto"/>
              <w:jc w:val="left"/>
              <w:rPr>
                <w:rFonts w:hint="eastAsia" w:ascii="仿宋" w:hAnsi="仿宋" w:eastAsia="仿宋"/>
                <w:sz w:val="24"/>
                <w:highlight w:val="none"/>
                <w:lang w:val="en-US" w:eastAsia="zh-CN"/>
              </w:rPr>
            </w:pPr>
            <w:bookmarkStart w:id="80" w:name="Text102"/>
            <w:r>
              <w:rPr>
                <w:rFonts w:hint="eastAsia" w:ascii="仿宋" w:hAnsi="仿宋" w:eastAsia="仿宋"/>
                <w:sz w:val="24"/>
                <w:highlight w:val="none"/>
                <w:lang w:val="en-US" w:eastAsia="zh-CN"/>
              </w:rPr>
              <w:fldChar w:fldCharType="begin">
                <w:ffData>
                  <w:name w:val="Text102"/>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托管账户名称</w:t>
            </w:r>
          </w:p>
        </w:tc>
        <w:tc>
          <w:tcPr>
            <w:tcW w:w="6600" w:type="dxa"/>
          </w:tcPr>
          <w:p>
            <w:pPr>
              <w:spacing w:line="360" w:lineRule="auto"/>
              <w:jc w:val="left"/>
              <w:rPr>
                <w:rFonts w:hint="eastAsia" w:ascii="仿宋" w:hAnsi="仿宋" w:eastAsia="仿宋"/>
                <w:sz w:val="24"/>
                <w:highlight w:val="none"/>
                <w:lang w:val="en-US" w:eastAsia="zh-CN"/>
              </w:rPr>
            </w:pPr>
            <w:bookmarkStart w:id="81" w:name="Text103"/>
            <w:r>
              <w:rPr>
                <w:rFonts w:hint="eastAsia" w:ascii="仿宋" w:hAnsi="仿宋" w:eastAsia="仿宋"/>
                <w:sz w:val="24"/>
                <w:highlight w:val="none"/>
                <w:lang w:val="en-US" w:eastAsia="zh-CN"/>
              </w:rPr>
              <w:fldChar w:fldCharType="begin">
                <w:ffData>
                  <w:name w:val="Text103"/>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托管账号</w:t>
            </w:r>
          </w:p>
        </w:tc>
        <w:tc>
          <w:tcPr>
            <w:tcW w:w="6600" w:type="dxa"/>
          </w:tcPr>
          <w:p>
            <w:pPr>
              <w:spacing w:line="360" w:lineRule="auto"/>
              <w:jc w:val="left"/>
              <w:rPr>
                <w:rFonts w:hint="eastAsia" w:ascii="仿宋" w:hAnsi="仿宋" w:eastAsia="仿宋"/>
                <w:sz w:val="24"/>
                <w:highlight w:val="none"/>
                <w:lang w:val="en-US" w:eastAsia="zh-CN"/>
              </w:rPr>
            </w:pPr>
            <w:bookmarkStart w:id="82" w:name="Text104"/>
            <w:r>
              <w:rPr>
                <w:rFonts w:hint="eastAsia" w:ascii="仿宋" w:hAnsi="仿宋" w:eastAsia="仿宋"/>
                <w:sz w:val="24"/>
                <w:highlight w:val="none"/>
                <w:lang w:val="en-US" w:eastAsia="zh-CN"/>
              </w:rPr>
              <w:fldChar w:fldCharType="begin">
                <w:ffData>
                  <w:name w:val="Text104"/>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起息日</w:t>
            </w:r>
          </w:p>
        </w:tc>
        <w:tc>
          <w:tcPr>
            <w:tcW w:w="6600" w:type="dxa"/>
          </w:tcPr>
          <w:p>
            <w:pPr>
              <w:spacing w:line="360" w:lineRule="auto"/>
              <w:jc w:val="left"/>
              <w:rPr>
                <w:rFonts w:hint="eastAsia" w:ascii="仿宋" w:hAnsi="仿宋" w:eastAsia="仿宋"/>
                <w:sz w:val="24"/>
                <w:highlight w:val="none"/>
                <w:lang w:val="en-US" w:eastAsia="zh-CN"/>
              </w:rPr>
            </w:pPr>
            <w:bookmarkStart w:id="83" w:name="Text105"/>
            <w:r>
              <w:rPr>
                <w:rFonts w:hint="eastAsia" w:ascii="仿宋" w:hAnsi="仿宋" w:eastAsia="仿宋"/>
                <w:sz w:val="24"/>
                <w:highlight w:val="none"/>
                <w:lang w:val="en-US" w:eastAsia="zh-CN"/>
              </w:rPr>
              <w:fldChar w:fldCharType="begin">
                <w:ffData>
                  <w:name w:val="Text105"/>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到期日</w:t>
            </w:r>
          </w:p>
        </w:tc>
        <w:tc>
          <w:tcPr>
            <w:tcW w:w="6600" w:type="dxa"/>
          </w:tcPr>
          <w:p>
            <w:pPr>
              <w:spacing w:line="360" w:lineRule="auto"/>
              <w:jc w:val="left"/>
              <w:rPr>
                <w:rFonts w:hint="eastAsia" w:ascii="仿宋" w:hAnsi="仿宋" w:eastAsia="仿宋"/>
                <w:sz w:val="24"/>
                <w:highlight w:val="none"/>
                <w:lang w:val="en-US" w:eastAsia="zh-CN"/>
              </w:rPr>
            </w:pPr>
            <w:bookmarkStart w:id="84" w:name="Text106"/>
            <w:r>
              <w:rPr>
                <w:rFonts w:hint="eastAsia" w:ascii="仿宋" w:hAnsi="仿宋" w:eastAsia="仿宋"/>
                <w:sz w:val="24"/>
                <w:highlight w:val="none"/>
                <w:lang w:val="en-US" w:eastAsia="zh-CN"/>
              </w:rPr>
              <w:fldChar w:fldCharType="begin">
                <w:ffData>
                  <w:name w:val="Text106"/>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期限</w:t>
            </w:r>
          </w:p>
        </w:tc>
        <w:tc>
          <w:tcPr>
            <w:tcW w:w="6600" w:type="dxa"/>
          </w:tcPr>
          <w:p>
            <w:pPr>
              <w:spacing w:line="360" w:lineRule="auto"/>
              <w:jc w:val="left"/>
              <w:rPr>
                <w:rFonts w:hint="eastAsia" w:ascii="仿宋" w:hAnsi="仿宋" w:eastAsia="仿宋"/>
                <w:sz w:val="24"/>
                <w:highlight w:val="none"/>
                <w:lang w:val="en-US" w:eastAsia="zh-CN"/>
              </w:rPr>
            </w:pPr>
            <w:bookmarkStart w:id="85" w:name="Text107"/>
            <w:r>
              <w:rPr>
                <w:rFonts w:hint="eastAsia" w:ascii="仿宋" w:hAnsi="仿宋" w:eastAsia="仿宋"/>
                <w:sz w:val="24"/>
                <w:highlight w:val="none"/>
                <w:lang w:val="en-US" w:eastAsia="zh-CN"/>
              </w:rPr>
              <w:fldChar w:fldCharType="begin">
                <w:ffData>
                  <w:name w:val="Text107"/>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管理费率</w:t>
            </w:r>
          </w:p>
        </w:tc>
        <w:tc>
          <w:tcPr>
            <w:tcW w:w="6600" w:type="dxa"/>
          </w:tcPr>
          <w:p>
            <w:pPr>
              <w:spacing w:line="360" w:lineRule="auto"/>
              <w:jc w:val="left"/>
              <w:rPr>
                <w:rFonts w:hint="eastAsia" w:ascii="仿宋" w:hAnsi="仿宋" w:eastAsia="仿宋"/>
                <w:sz w:val="24"/>
                <w:highlight w:val="none"/>
                <w:lang w:val="en-US" w:eastAsia="zh-CN"/>
              </w:rPr>
            </w:pPr>
            <w:bookmarkStart w:id="86" w:name="Text108"/>
            <w:r>
              <w:rPr>
                <w:rFonts w:hint="eastAsia" w:ascii="仿宋" w:hAnsi="仿宋" w:eastAsia="仿宋"/>
                <w:sz w:val="24"/>
                <w:highlight w:val="none"/>
                <w:lang w:val="en-US" w:eastAsia="zh-CN"/>
              </w:rPr>
              <w:fldChar w:fldCharType="begin">
                <w:ffData>
                  <w:name w:val="Text108"/>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业绩比较基准</w:t>
            </w:r>
          </w:p>
        </w:tc>
        <w:tc>
          <w:tcPr>
            <w:tcW w:w="6600" w:type="dxa"/>
          </w:tcPr>
          <w:p>
            <w:pPr>
              <w:spacing w:line="360" w:lineRule="auto"/>
              <w:jc w:val="left"/>
              <w:rPr>
                <w:rFonts w:hint="eastAsia" w:ascii="仿宋" w:hAnsi="仿宋" w:eastAsia="仿宋"/>
                <w:sz w:val="24"/>
                <w:highlight w:val="none"/>
                <w:lang w:val="en-US" w:eastAsia="zh-CN"/>
              </w:rPr>
            </w:pPr>
            <w:bookmarkStart w:id="87" w:name="Text109"/>
            <w:r>
              <w:rPr>
                <w:rFonts w:hint="eastAsia" w:ascii="仿宋" w:hAnsi="仿宋" w:eastAsia="仿宋"/>
                <w:sz w:val="24"/>
                <w:highlight w:val="none"/>
                <w:lang w:val="en-US" w:eastAsia="zh-CN"/>
              </w:rPr>
              <w:fldChar w:fldCharType="begin">
                <w:ffData>
                  <w:name w:val="Text109"/>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销售服务费率</w:t>
            </w:r>
          </w:p>
        </w:tc>
        <w:tc>
          <w:tcPr>
            <w:tcW w:w="6600" w:type="dxa"/>
          </w:tcPr>
          <w:p>
            <w:pPr>
              <w:spacing w:line="360" w:lineRule="auto"/>
              <w:jc w:val="left"/>
              <w:rPr>
                <w:rFonts w:hint="eastAsia" w:ascii="仿宋" w:hAnsi="仿宋" w:eastAsia="仿宋"/>
                <w:sz w:val="24"/>
                <w:highlight w:val="none"/>
                <w:lang w:val="en-US" w:eastAsia="zh-CN"/>
              </w:rPr>
            </w:pPr>
            <w:bookmarkStart w:id="88" w:name="Text110"/>
            <w:r>
              <w:rPr>
                <w:rFonts w:hint="eastAsia" w:ascii="仿宋" w:hAnsi="仿宋" w:eastAsia="仿宋"/>
                <w:sz w:val="24"/>
                <w:highlight w:val="none"/>
                <w:lang w:val="en-US" w:eastAsia="zh-CN"/>
              </w:rPr>
              <w:fldChar w:fldCharType="begin">
                <w:ffData>
                  <w:name w:val="Text110"/>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仿宋" w:hAnsi="仿宋" w:eastAsia="仿宋"/>
                <w:sz w:val="24"/>
                <w:highlight w:val="none"/>
              </w:rPr>
            </w:pPr>
            <w:r>
              <w:rPr>
                <w:rFonts w:hint="eastAsia" w:ascii="仿宋" w:hAnsi="仿宋" w:eastAsia="仿宋"/>
                <w:sz w:val="24"/>
                <w:highlight w:val="none"/>
              </w:rPr>
              <w:t>托管费率</w:t>
            </w:r>
          </w:p>
        </w:tc>
        <w:tc>
          <w:tcPr>
            <w:tcW w:w="6600" w:type="dxa"/>
          </w:tcPr>
          <w:p>
            <w:pPr>
              <w:spacing w:line="360" w:lineRule="auto"/>
              <w:jc w:val="left"/>
              <w:rPr>
                <w:rFonts w:hint="eastAsia" w:ascii="仿宋" w:hAnsi="仿宋" w:eastAsia="仿宋"/>
                <w:sz w:val="24"/>
                <w:highlight w:val="none"/>
                <w:lang w:val="en-US" w:eastAsia="zh-CN"/>
              </w:rPr>
            </w:pPr>
            <w:bookmarkStart w:id="89" w:name="Text111"/>
            <w:r>
              <w:rPr>
                <w:rFonts w:hint="eastAsia" w:ascii="仿宋" w:hAnsi="仿宋" w:eastAsia="仿宋"/>
                <w:sz w:val="24"/>
                <w:highlight w:val="none"/>
                <w:lang w:val="en-US" w:eastAsia="zh-CN"/>
              </w:rPr>
              <w:fldChar w:fldCharType="begin">
                <w:ffData>
                  <w:name w:val="Text111"/>
                  <w:enabled/>
                  <w:calcOnExit w:val="0"/>
                  <w:textInput/>
                </w:ffData>
              </w:fldChar>
            </w:r>
            <w:r>
              <w:rPr>
                <w:rFonts w:hint="eastAsia" w:ascii="仿宋" w:hAnsi="仿宋" w:eastAsia="仿宋"/>
                <w:sz w:val="24"/>
                <w:highlight w:val="none"/>
                <w:lang w:val="en-US" w:eastAsia="zh-CN"/>
              </w:rPr>
              <w:instrText xml:space="preserve">FORMTEXT</w:instrText>
            </w:r>
            <w:r>
              <w:rPr>
                <w:rFonts w:hint="eastAsia" w:ascii="仿宋" w:hAnsi="仿宋" w:eastAsia="仿宋"/>
                <w:sz w:val="24"/>
                <w:highlight w:val="none"/>
                <w:lang w:val="en-US" w:eastAsia="zh-CN"/>
              </w:rPr>
              <w:fldChar w:fldCharType="separate"/>
            </w:r>
            <w:r>
              <w:rPr>
                <w:rFonts w:hint="default" w:ascii="仿宋" w:hAnsi="仿宋" w:eastAsia="仿宋"/>
                <w:sz w:val="24"/>
                <w:highlight w:val="none"/>
                <w:lang w:val="en-US" w:eastAsia="zh-CN"/>
              </w:rPr>
              <w:t>     </w:t>
            </w:r>
            <w:r>
              <w:rPr>
                <w:rFonts w:hint="eastAsia" w:ascii="仿宋" w:hAnsi="仿宋" w:eastAsia="仿宋"/>
                <w:sz w:val="24"/>
                <w:highlight w:val="none"/>
                <w:lang w:val="en-US" w:eastAsia="zh-CN"/>
              </w:rPr>
              <w:fldChar w:fldCharType="end"/>
            </w:r>
            <w:bookmarkEnd w:id="89"/>
          </w:p>
        </w:tc>
      </w:tr>
    </w:tbl>
    <w:p>
      <w:pPr>
        <w:spacing w:line="360" w:lineRule="auto"/>
        <w:jc w:val="left"/>
        <w:rPr>
          <w:rFonts w:ascii="仿宋" w:hAnsi="仿宋" w:eastAsia="仿宋"/>
          <w:sz w:val="24"/>
          <w:highlight w:val="none"/>
        </w:rPr>
      </w:pPr>
    </w:p>
    <w:p>
      <w:pPr>
        <w:jc w:val="left"/>
        <w:rPr>
          <w:rFonts w:ascii="仿宋" w:hAnsi="仿宋" w:eastAsia="仿宋"/>
          <w:sz w:val="28"/>
          <w:szCs w:val="28"/>
          <w:highlight w:val="none"/>
        </w:rPr>
      </w:pPr>
    </w:p>
    <w:p>
      <w:pPr>
        <w:jc w:val="right"/>
        <w:rPr>
          <w:rFonts w:ascii="仿宋" w:hAnsi="仿宋" w:eastAsia="仿宋"/>
          <w:sz w:val="28"/>
          <w:szCs w:val="28"/>
          <w:highlight w:val="none"/>
        </w:rPr>
      </w:pPr>
      <w:bookmarkStart w:id="90" w:name="Text262"/>
      <w:r>
        <w:rPr>
          <w:rFonts w:hint="eastAsia" w:ascii="仿宋" w:hAnsi="仿宋" w:eastAsia="仿宋" w:cs="Times New Roman"/>
          <w:kern w:val="2"/>
          <w:sz w:val="28"/>
          <w:szCs w:val="28"/>
          <w:highlight w:val="none"/>
          <w:lang w:val="en-US" w:eastAsia="zh-CN" w:bidi="ar-SA"/>
        </w:rPr>
        <w:fldChar w:fldCharType="begin">
          <w:ffData>
            <w:name w:val="Text262"/>
            <w:enabled/>
            <w:calcOnExit w:val="0"/>
            <w:textInput>
              <w:default w:val="北银理财有限责任公司"/>
            </w:textInput>
          </w:ffData>
        </w:fldChar>
      </w:r>
      <w:r>
        <w:rPr>
          <w:rFonts w:hint="eastAsia" w:ascii="仿宋" w:hAnsi="仿宋" w:eastAsia="仿宋" w:cs="Times New Roman"/>
          <w:kern w:val="2"/>
          <w:sz w:val="28"/>
          <w:szCs w:val="28"/>
          <w:highlight w:val="none"/>
          <w:lang w:val="en-US" w:eastAsia="zh-CN" w:bidi="ar-SA"/>
        </w:rPr>
        <w:instrText xml:space="preserve">FORMTEXT</w:instrText>
      </w:r>
      <w:r>
        <w:rPr>
          <w:rFonts w:hint="eastAsia" w:ascii="仿宋" w:hAnsi="仿宋" w:eastAsia="仿宋" w:cs="Times New Roman"/>
          <w:kern w:val="2"/>
          <w:sz w:val="28"/>
          <w:szCs w:val="28"/>
          <w:highlight w:val="none"/>
          <w:lang w:val="en-US" w:eastAsia="zh-CN" w:bidi="ar-SA"/>
        </w:rPr>
        <w:fldChar w:fldCharType="separate"/>
      </w:r>
      <w:r>
        <w:rPr>
          <w:rFonts w:hint="eastAsia" w:ascii="仿宋" w:hAnsi="仿宋" w:eastAsia="仿宋" w:cs="Times New Roman"/>
          <w:kern w:val="2"/>
          <w:sz w:val="28"/>
          <w:szCs w:val="28"/>
          <w:highlight w:val="none"/>
          <w:lang w:val="en-US" w:eastAsia="zh-CN" w:bidi="ar-SA"/>
        </w:rPr>
        <w:t>北银理财有限责任公司</w:t>
      </w:r>
      <w:r>
        <w:rPr>
          <w:rFonts w:hint="eastAsia" w:ascii="仿宋" w:hAnsi="仿宋" w:eastAsia="仿宋" w:cs="Times New Roman"/>
          <w:kern w:val="2"/>
          <w:sz w:val="28"/>
          <w:szCs w:val="28"/>
          <w:highlight w:val="none"/>
          <w:lang w:val="en-US" w:eastAsia="zh-CN" w:bidi="ar-SA"/>
        </w:rPr>
        <w:fldChar w:fldCharType="end"/>
      </w:r>
      <w:bookmarkEnd w:id="90"/>
      <w:r>
        <w:rPr>
          <w:rFonts w:hint="eastAsia" w:ascii="仿宋" w:hAnsi="仿宋" w:eastAsia="仿宋"/>
          <w:sz w:val="28"/>
          <w:szCs w:val="28"/>
          <w:highlight w:val="none"/>
        </w:rPr>
        <w:t>（公章或预留印鉴</w:t>
      </w:r>
      <w:r>
        <w:rPr>
          <w:rFonts w:ascii="仿宋" w:hAnsi="仿宋" w:eastAsia="仿宋"/>
          <w:sz w:val="28"/>
          <w:szCs w:val="28"/>
          <w:highlight w:val="none"/>
        </w:rPr>
        <w:t>）</w:t>
      </w:r>
    </w:p>
    <w:p>
      <w:pPr>
        <w:widowControl/>
        <w:jc w:val="right"/>
        <w:rPr>
          <w:rFonts w:ascii="仿宋" w:hAnsi="仿宋" w:eastAsia="仿宋"/>
          <w:sz w:val="24"/>
          <w:highlight w:val="none"/>
        </w:rPr>
      </w:pPr>
      <w:r>
        <w:rPr>
          <w:rFonts w:hint="eastAsia" w:ascii="仿宋" w:hAnsi="仿宋" w:eastAsia="仿宋"/>
          <w:sz w:val="28"/>
          <w:szCs w:val="28"/>
          <w:highlight w:val="none"/>
        </w:rPr>
        <w:t xml:space="preserve"> </w:t>
      </w:r>
      <w:bookmarkStart w:id="91" w:name="Text112"/>
      <w:r>
        <w:rPr>
          <w:rFonts w:hint="eastAsia" w:ascii="仿宋" w:hAnsi="仿宋" w:eastAsia="仿宋"/>
          <w:sz w:val="28"/>
          <w:szCs w:val="28"/>
          <w:highlight w:val="none"/>
        </w:rPr>
        <w:fldChar w:fldCharType="begin">
          <w:ffData>
            <w:name w:val="Text112"/>
            <w:enabled/>
            <w:calcOnExit w:val="0"/>
            <w:textInput/>
          </w:ffData>
        </w:fldChar>
      </w:r>
      <w:r>
        <w:rPr>
          <w:rFonts w:hint="eastAsia" w:ascii="仿宋" w:hAnsi="仿宋" w:eastAsia="仿宋"/>
          <w:sz w:val="28"/>
          <w:szCs w:val="28"/>
          <w:highlight w:val="none"/>
        </w:rPr>
        <w:instrText xml:space="preserve">FORMTEXT</w:instrText>
      </w:r>
      <w:r>
        <w:rPr>
          <w:rFonts w:hint="eastAsia" w:ascii="仿宋" w:hAnsi="仿宋" w:eastAsia="仿宋"/>
          <w:sz w:val="28"/>
          <w:szCs w:val="28"/>
          <w:highlight w:val="none"/>
        </w:rPr>
        <w:fldChar w:fldCharType="separate"/>
      </w:r>
      <w:r>
        <w:rPr>
          <w:rFonts w:hint="default" w:ascii="仿宋" w:hAnsi="仿宋" w:eastAsia="仿宋"/>
          <w:sz w:val="28"/>
          <w:szCs w:val="28"/>
          <w:highlight w:val="none"/>
          <w:lang w:val="en-US"/>
        </w:rPr>
        <w:t>     </w:t>
      </w:r>
      <w:r>
        <w:rPr>
          <w:rFonts w:hint="eastAsia" w:ascii="仿宋" w:hAnsi="仿宋" w:eastAsia="仿宋"/>
          <w:sz w:val="28"/>
          <w:szCs w:val="28"/>
          <w:highlight w:val="none"/>
        </w:rPr>
        <w:fldChar w:fldCharType="end"/>
      </w:r>
      <w:bookmarkEnd w:id="91"/>
      <w:r>
        <w:rPr>
          <w:rFonts w:hint="eastAsia" w:ascii="仿宋" w:hAnsi="仿宋" w:eastAsia="仿宋"/>
          <w:sz w:val="28"/>
          <w:szCs w:val="28"/>
          <w:highlight w:val="none"/>
        </w:rPr>
        <w:t>年</w:t>
      </w:r>
      <w:bookmarkStart w:id="92" w:name="Text113"/>
      <w:r>
        <w:rPr>
          <w:rFonts w:hint="eastAsia" w:ascii="仿宋" w:hAnsi="仿宋" w:eastAsia="仿宋"/>
          <w:sz w:val="28"/>
          <w:szCs w:val="28"/>
          <w:highlight w:val="none"/>
        </w:rPr>
        <w:fldChar w:fldCharType="begin">
          <w:ffData>
            <w:name w:val="Text113"/>
            <w:enabled/>
            <w:calcOnExit w:val="0"/>
            <w:textInput/>
          </w:ffData>
        </w:fldChar>
      </w:r>
      <w:r>
        <w:rPr>
          <w:rFonts w:hint="eastAsia" w:ascii="仿宋" w:hAnsi="仿宋" w:eastAsia="仿宋"/>
          <w:sz w:val="28"/>
          <w:szCs w:val="28"/>
          <w:highlight w:val="none"/>
        </w:rPr>
        <w:instrText xml:space="preserve">FORMTEXT</w:instrText>
      </w:r>
      <w:r>
        <w:rPr>
          <w:rFonts w:hint="eastAsia" w:ascii="仿宋" w:hAnsi="仿宋" w:eastAsia="仿宋"/>
          <w:sz w:val="28"/>
          <w:szCs w:val="28"/>
          <w:highlight w:val="none"/>
        </w:rPr>
        <w:fldChar w:fldCharType="separate"/>
      </w:r>
      <w:r>
        <w:rPr>
          <w:rFonts w:hint="default" w:ascii="仿宋" w:hAnsi="仿宋" w:eastAsia="仿宋"/>
          <w:sz w:val="28"/>
          <w:szCs w:val="28"/>
          <w:highlight w:val="none"/>
          <w:lang w:val="en-US"/>
        </w:rPr>
        <w:t>     </w:t>
      </w:r>
      <w:r>
        <w:rPr>
          <w:rFonts w:hint="eastAsia" w:ascii="仿宋" w:hAnsi="仿宋" w:eastAsia="仿宋"/>
          <w:sz w:val="28"/>
          <w:szCs w:val="28"/>
          <w:highlight w:val="none"/>
        </w:rPr>
        <w:fldChar w:fldCharType="end"/>
      </w:r>
      <w:bookmarkEnd w:id="92"/>
      <w:r>
        <w:rPr>
          <w:rFonts w:hint="eastAsia" w:ascii="仿宋" w:hAnsi="仿宋" w:eastAsia="仿宋"/>
          <w:sz w:val="28"/>
          <w:szCs w:val="28"/>
          <w:highlight w:val="none"/>
        </w:rPr>
        <w:t>月</w:t>
      </w:r>
      <w:bookmarkStart w:id="93" w:name="Text114"/>
      <w:r>
        <w:rPr>
          <w:rFonts w:hint="eastAsia" w:ascii="仿宋" w:hAnsi="仿宋" w:eastAsia="仿宋"/>
          <w:sz w:val="28"/>
          <w:szCs w:val="28"/>
          <w:highlight w:val="none"/>
        </w:rPr>
        <w:fldChar w:fldCharType="begin">
          <w:ffData>
            <w:name w:val="Text114"/>
            <w:enabled/>
            <w:calcOnExit w:val="0"/>
            <w:textInput/>
          </w:ffData>
        </w:fldChar>
      </w:r>
      <w:r>
        <w:rPr>
          <w:rFonts w:hint="eastAsia" w:ascii="仿宋" w:hAnsi="仿宋" w:eastAsia="仿宋"/>
          <w:sz w:val="28"/>
          <w:szCs w:val="28"/>
          <w:highlight w:val="none"/>
        </w:rPr>
        <w:instrText xml:space="preserve">FORMTEXT</w:instrText>
      </w:r>
      <w:r>
        <w:rPr>
          <w:rFonts w:hint="eastAsia" w:ascii="仿宋" w:hAnsi="仿宋" w:eastAsia="仿宋"/>
          <w:sz w:val="28"/>
          <w:szCs w:val="28"/>
          <w:highlight w:val="none"/>
        </w:rPr>
        <w:fldChar w:fldCharType="separate"/>
      </w:r>
      <w:r>
        <w:rPr>
          <w:rFonts w:hint="default" w:ascii="仿宋" w:hAnsi="仿宋" w:eastAsia="仿宋"/>
          <w:sz w:val="28"/>
          <w:szCs w:val="28"/>
          <w:highlight w:val="none"/>
          <w:lang w:val="en-US"/>
        </w:rPr>
        <w:t>     </w:t>
      </w:r>
      <w:r>
        <w:rPr>
          <w:rFonts w:hint="eastAsia" w:ascii="仿宋" w:hAnsi="仿宋" w:eastAsia="仿宋"/>
          <w:sz w:val="28"/>
          <w:szCs w:val="28"/>
          <w:highlight w:val="none"/>
        </w:rPr>
        <w:fldChar w:fldCharType="end"/>
      </w:r>
      <w:bookmarkEnd w:id="93"/>
      <w:r>
        <w:rPr>
          <w:rFonts w:hint="eastAsia" w:ascii="仿宋" w:hAnsi="仿宋" w:eastAsia="仿宋"/>
          <w:sz w:val="28"/>
          <w:szCs w:val="28"/>
          <w:highlight w:val="none"/>
        </w:rPr>
        <w:t>日</w:t>
      </w:r>
    </w:p>
    <w:p>
      <w:pPr>
        <w:widowControl/>
        <w:jc w:val="left"/>
        <w:rPr>
          <w:highlight w:val="none"/>
        </w:rPr>
      </w:pPr>
      <w:r>
        <w:rPr>
          <w:highlight w:val="none"/>
        </w:rPr>
        <w:br w:type="page"/>
      </w:r>
    </w:p>
    <w:p>
      <w:pPr>
        <w:jc w:val="left"/>
        <w:rPr>
          <w:rFonts w:ascii="仿宋" w:hAnsi="仿宋" w:eastAsia="仿宋"/>
          <w:b/>
          <w:sz w:val="30"/>
          <w:szCs w:val="30"/>
          <w:highlight w:val="none"/>
        </w:rPr>
      </w:pPr>
      <w:r>
        <w:rPr>
          <w:rFonts w:hint="eastAsia" w:ascii="仿宋" w:hAnsi="仿宋" w:eastAsia="仿宋"/>
          <w:b/>
          <w:sz w:val="30"/>
          <w:szCs w:val="30"/>
          <w:highlight w:val="none"/>
        </w:rPr>
        <w:t>附件二</w:t>
      </w:r>
    </w:p>
    <w:p>
      <w:pPr>
        <w:tabs>
          <w:tab w:val="left" w:pos="6090"/>
        </w:tabs>
        <w:spacing w:line="360" w:lineRule="auto"/>
        <w:ind w:firstLine="562" w:firstLineChars="200"/>
        <w:jc w:val="center"/>
        <w:rPr>
          <w:rFonts w:hint="eastAsia" w:ascii="仿宋" w:hAnsi="仿宋" w:eastAsia="仿宋" w:cs="仿宋"/>
          <w:b/>
          <w:bCs/>
          <w:sz w:val="28"/>
          <w:highlight w:val="none"/>
        </w:rPr>
      </w:pPr>
      <w:r>
        <w:rPr>
          <w:rFonts w:hint="eastAsia" w:ascii="仿宋" w:hAnsi="仿宋" w:eastAsia="仿宋" w:cs="仿宋"/>
          <w:b/>
          <w:bCs/>
          <w:sz w:val="28"/>
          <w:highlight w:val="none"/>
        </w:rPr>
        <w:t>授权通知书</w:t>
      </w:r>
    </w:p>
    <w:p>
      <w:pPr>
        <w:tabs>
          <w:tab w:val="left" w:pos="6090"/>
        </w:tabs>
        <w:spacing w:line="360" w:lineRule="auto"/>
        <w:rPr>
          <w:rFonts w:ascii="仿宋_GB2312" w:hAnsi="宋体" w:eastAsia="仿宋_GB2312"/>
          <w:sz w:val="24"/>
          <w:highlight w:val="none"/>
        </w:rPr>
      </w:pPr>
      <w:bookmarkStart w:id="94" w:name="Text115"/>
      <w:r>
        <w:rPr>
          <w:rFonts w:hint="eastAsia" w:ascii="仿宋_GB2312" w:hAnsi="宋体" w:eastAsia="仿宋_GB2312"/>
          <w:sz w:val="24"/>
          <w:highlight w:val="none"/>
        </w:rPr>
        <w:fldChar w:fldCharType="begin">
          <w:ffData>
            <w:name w:val="Text115"/>
            <w:enabled/>
            <w:calcOnExit w:val="0"/>
            <w:textInput/>
          </w:ffData>
        </w:fldChar>
      </w:r>
      <w:r>
        <w:rPr>
          <w:rFonts w:hint="eastAsia" w:ascii="仿宋_GB2312" w:hAnsi="宋体" w:eastAsia="仿宋_GB2312"/>
          <w:sz w:val="24"/>
          <w:highlight w:val="none"/>
        </w:rPr>
        <w:instrText xml:space="preserve">FORMTEXT</w:instrText>
      </w:r>
      <w:r>
        <w:rPr>
          <w:rFonts w:hint="eastAsia" w:ascii="仿宋_GB2312" w:hAnsi="宋体" w:eastAsia="仿宋_GB2312"/>
          <w:sz w:val="24"/>
          <w:highlight w:val="none"/>
        </w:rPr>
        <w:fldChar w:fldCharType="separate"/>
      </w:r>
      <w:r>
        <w:rPr>
          <w:rFonts w:hint="default" w:ascii="仿宋_GB2312" w:hAnsi="宋体" w:eastAsia="仿宋_GB2312"/>
          <w:sz w:val="24"/>
          <w:highlight w:val="none"/>
          <w:lang w:val="en-US"/>
        </w:rPr>
        <w:t>     </w:t>
      </w:r>
      <w:r>
        <w:rPr>
          <w:rFonts w:hint="eastAsia" w:ascii="仿宋_GB2312" w:hAnsi="宋体" w:eastAsia="仿宋_GB2312"/>
          <w:sz w:val="24"/>
          <w:highlight w:val="none"/>
        </w:rPr>
        <w:fldChar w:fldCharType="end"/>
      </w:r>
      <w:bookmarkEnd w:id="94"/>
      <w:r>
        <w:rPr>
          <w:rFonts w:hint="eastAsia" w:ascii="仿宋_GB2312" w:hAnsi="宋体" w:eastAsia="仿宋_GB2312"/>
          <w:sz w:val="24"/>
          <w:highlight w:val="none"/>
        </w:rPr>
        <w:t>：</w:t>
      </w:r>
    </w:p>
    <w:p>
      <w:pPr>
        <w:spacing w:line="24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单位授权以下人员向你行发送相关业务通知和指令。现将发送用章样本、有关人员签字（章）样本及相应权限、授权传真号码、授权邮箱、指令确认人员及联系方式等通知你行，请在使用时核验。被授权人在授权范围内向你行发送业务通知和指令的真实性、准确性及合法性由我单位负全部责任，你行执行前述通知或者指令的全部法律后果由我单位承担。</w:t>
      </w:r>
    </w:p>
    <w:p>
      <w:pPr>
        <w:spacing w:line="24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此外，我单位知晓、同意并授权你行收集和使用以下被授权人员的个人信息。我单位确认并承诺，我单位已获得被授权人员同意向你行提供个人信息，且被授权人员已知晓个人信息使用用途。我单位将对上述个人信息的提供承担全部责任，如违反此项承诺给你行造成损失的，由我单位承担一切法律后果。</w:t>
      </w:r>
    </w:p>
    <w:tbl>
      <w:tblPr>
        <w:tblStyle w:val="16"/>
        <w:tblW w:w="892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984"/>
        <w:gridCol w:w="1273"/>
        <w:gridCol w:w="1669"/>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4" w:space="0"/>
              <w:left w:val="single" w:color="auto" w:sz="4" w:space="0"/>
              <w:bottom w:val="single" w:color="auto" w:sz="4" w:space="0"/>
              <w:right w:val="single" w:color="auto" w:sz="4" w:space="0"/>
            </w:tcBorders>
          </w:tcPr>
          <w:p>
            <w:pPr>
              <w:spacing w:line="360" w:lineRule="auto"/>
              <w:ind w:firstLine="600" w:firstLineChars="250"/>
              <w:rPr>
                <w:rFonts w:ascii="仿宋_GB2312" w:eastAsia="仿宋_GB2312"/>
                <w:sz w:val="24"/>
                <w:highlight w:val="none"/>
              </w:rPr>
            </w:pPr>
            <w:r>
              <w:rPr>
                <w:rFonts w:hint="eastAsia" w:ascii="仿宋_GB2312" w:eastAsia="仿宋_GB2312"/>
                <w:sz w:val="24"/>
                <w:highlight w:val="none"/>
              </w:rPr>
              <w:t>姓名</w:t>
            </w:r>
          </w:p>
        </w:tc>
        <w:tc>
          <w:tcPr>
            <w:tcW w:w="1984" w:type="dxa"/>
            <w:tcBorders>
              <w:top w:val="single" w:color="auto" w:sz="4" w:space="0"/>
              <w:left w:val="single" w:color="auto" w:sz="4" w:space="0"/>
              <w:bottom w:val="single" w:color="auto" w:sz="4" w:space="0"/>
              <w:right w:val="single" w:color="auto" w:sz="4" w:space="0"/>
            </w:tcBorders>
          </w:tcPr>
          <w:p>
            <w:pPr>
              <w:spacing w:line="360" w:lineRule="auto"/>
              <w:ind w:firstLine="600" w:firstLineChars="250"/>
              <w:rPr>
                <w:rFonts w:ascii="仿宋_GB2312" w:eastAsia="仿宋_GB2312"/>
                <w:sz w:val="24"/>
                <w:highlight w:val="none"/>
              </w:rPr>
            </w:pPr>
            <w:r>
              <w:rPr>
                <w:rFonts w:hint="eastAsia" w:ascii="仿宋_GB2312" w:eastAsia="仿宋_GB2312"/>
                <w:sz w:val="24"/>
                <w:highlight w:val="none"/>
              </w:rPr>
              <w:t>授权电话</w:t>
            </w:r>
          </w:p>
        </w:tc>
        <w:tc>
          <w:tcPr>
            <w:tcW w:w="1273"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仿宋_GB2312" w:eastAsia="仿宋_GB2312"/>
                <w:sz w:val="24"/>
                <w:highlight w:val="none"/>
              </w:rPr>
            </w:pPr>
            <w:r>
              <w:rPr>
                <w:rFonts w:hint="eastAsia" w:ascii="仿宋_GB2312" w:eastAsia="仿宋_GB2312"/>
                <w:sz w:val="24"/>
                <w:highlight w:val="none"/>
              </w:rPr>
              <w:t>权限</w:t>
            </w:r>
          </w:p>
        </w:tc>
        <w:tc>
          <w:tcPr>
            <w:tcW w:w="1669"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仿宋_GB2312" w:eastAsia="仿宋_GB2312"/>
                <w:sz w:val="24"/>
                <w:highlight w:val="none"/>
              </w:rPr>
            </w:pPr>
            <w:r>
              <w:rPr>
                <w:rFonts w:hint="eastAsia" w:ascii="仿宋_GB2312" w:eastAsia="仿宋_GB2312"/>
                <w:sz w:val="24"/>
                <w:highlight w:val="none"/>
              </w:rPr>
              <w:t>签字样本</w:t>
            </w:r>
          </w:p>
        </w:tc>
        <w:tc>
          <w:tcPr>
            <w:tcW w:w="2016"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仿宋_GB2312" w:eastAsia="仿宋_GB2312"/>
                <w:sz w:val="24"/>
                <w:highlight w:val="none"/>
              </w:rPr>
            </w:pPr>
            <w:r>
              <w:rPr>
                <w:rFonts w:hint="eastAsia" w:ascii="仿宋_GB2312" w:eastAsia="仿宋_GB2312"/>
                <w:sz w:val="24"/>
                <w:highlight w:val="none"/>
              </w:rPr>
              <w:t>印章样本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95" w:name="Text116"/>
            <w:r>
              <w:rPr>
                <w:rFonts w:hint="eastAsia" w:ascii="仿宋_GB2312" w:eastAsia="仿宋_GB2312"/>
                <w:sz w:val="24"/>
                <w:highlight w:val="none"/>
                <w:lang w:val="en-US" w:eastAsia="zh-CN"/>
              </w:rPr>
              <w:fldChar w:fldCharType="begin">
                <w:ffData>
                  <w:name w:val="Text116"/>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95"/>
          </w:p>
        </w:tc>
        <w:tc>
          <w:tcPr>
            <w:tcW w:w="19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96" w:name="Text119"/>
            <w:r>
              <w:rPr>
                <w:rFonts w:hint="eastAsia" w:ascii="仿宋_GB2312" w:eastAsia="仿宋_GB2312"/>
                <w:sz w:val="24"/>
                <w:highlight w:val="none"/>
                <w:lang w:val="en-US" w:eastAsia="zh-CN"/>
              </w:rPr>
              <w:fldChar w:fldCharType="begin">
                <w:ffData>
                  <w:name w:val="Text119"/>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96"/>
          </w:p>
        </w:tc>
        <w:tc>
          <w:tcPr>
            <w:tcW w:w="127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eastAsia="仿宋_GB2312"/>
                <w:sz w:val="24"/>
                <w:highlight w:val="none"/>
                <w:lang w:val="en-US" w:eastAsia="zh-CN"/>
              </w:rPr>
            </w:pPr>
            <w:bookmarkStart w:id="97" w:name="Text122"/>
            <w:r>
              <w:rPr>
                <w:rFonts w:hint="eastAsia" w:ascii="仿宋_GB2312" w:eastAsia="仿宋_GB2312"/>
                <w:sz w:val="24"/>
                <w:highlight w:val="none"/>
                <w:lang w:val="en-US" w:eastAsia="zh-CN"/>
              </w:rPr>
              <w:fldChar w:fldCharType="begin">
                <w:ffData>
                  <w:name w:val="Text122"/>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97"/>
          </w:p>
        </w:tc>
        <w:tc>
          <w:tcPr>
            <w:tcW w:w="166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98" w:name="Text125"/>
            <w:r>
              <w:rPr>
                <w:rFonts w:hint="eastAsia" w:ascii="仿宋_GB2312" w:eastAsia="仿宋_GB2312"/>
                <w:sz w:val="24"/>
                <w:highlight w:val="none"/>
                <w:lang w:val="en-US" w:eastAsia="zh-CN"/>
              </w:rPr>
              <w:fldChar w:fldCharType="begin">
                <w:ffData>
                  <w:name w:val="Text125"/>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98"/>
          </w:p>
        </w:tc>
        <w:tc>
          <w:tcPr>
            <w:tcW w:w="2016"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99" w:name="Text128"/>
            <w:r>
              <w:rPr>
                <w:rFonts w:hint="eastAsia" w:ascii="仿宋_GB2312" w:eastAsia="仿宋_GB2312"/>
                <w:sz w:val="24"/>
                <w:highlight w:val="none"/>
                <w:lang w:val="en-US" w:eastAsia="zh-CN"/>
              </w:rPr>
              <w:fldChar w:fldCharType="begin">
                <w:ffData>
                  <w:name w:val="Text128"/>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0" w:name="Text117"/>
            <w:r>
              <w:rPr>
                <w:rFonts w:hint="eastAsia" w:ascii="仿宋_GB2312" w:eastAsia="仿宋_GB2312"/>
                <w:sz w:val="24"/>
                <w:highlight w:val="none"/>
                <w:lang w:val="en-US" w:eastAsia="zh-CN"/>
              </w:rPr>
              <w:fldChar w:fldCharType="begin">
                <w:ffData>
                  <w:name w:val="Text117"/>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0"/>
          </w:p>
        </w:tc>
        <w:tc>
          <w:tcPr>
            <w:tcW w:w="19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1" w:name="Text120"/>
            <w:r>
              <w:rPr>
                <w:rFonts w:hint="eastAsia" w:ascii="仿宋_GB2312" w:eastAsia="仿宋_GB2312"/>
                <w:sz w:val="24"/>
                <w:highlight w:val="none"/>
                <w:lang w:val="en-US" w:eastAsia="zh-CN"/>
              </w:rPr>
              <w:fldChar w:fldCharType="begin">
                <w:ffData>
                  <w:name w:val="Text120"/>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1"/>
          </w:p>
        </w:tc>
        <w:tc>
          <w:tcPr>
            <w:tcW w:w="127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eastAsia="仿宋_GB2312"/>
                <w:sz w:val="24"/>
                <w:highlight w:val="none"/>
                <w:lang w:val="en-US" w:eastAsia="zh-CN"/>
              </w:rPr>
            </w:pPr>
            <w:bookmarkStart w:id="102" w:name="Text123"/>
            <w:r>
              <w:rPr>
                <w:rFonts w:hint="eastAsia" w:ascii="仿宋_GB2312" w:eastAsia="仿宋_GB2312"/>
                <w:sz w:val="24"/>
                <w:highlight w:val="none"/>
                <w:lang w:val="en-US" w:eastAsia="zh-CN"/>
              </w:rPr>
              <w:fldChar w:fldCharType="begin">
                <w:ffData>
                  <w:name w:val="Text123"/>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2"/>
          </w:p>
        </w:tc>
        <w:tc>
          <w:tcPr>
            <w:tcW w:w="166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3" w:name="Text126"/>
            <w:r>
              <w:rPr>
                <w:rFonts w:hint="eastAsia" w:ascii="仿宋_GB2312" w:eastAsia="仿宋_GB2312"/>
                <w:sz w:val="24"/>
                <w:highlight w:val="none"/>
                <w:lang w:val="en-US" w:eastAsia="zh-CN"/>
              </w:rPr>
              <w:fldChar w:fldCharType="begin">
                <w:ffData>
                  <w:name w:val="Text126"/>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3"/>
          </w:p>
        </w:tc>
        <w:tc>
          <w:tcPr>
            <w:tcW w:w="2016"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4" w:name="Text129"/>
            <w:r>
              <w:rPr>
                <w:rFonts w:hint="eastAsia" w:ascii="仿宋_GB2312" w:eastAsia="仿宋_GB2312"/>
                <w:sz w:val="24"/>
                <w:highlight w:val="none"/>
                <w:lang w:val="en-US" w:eastAsia="zh-CN"/>
              </w:rPr>
              <w:fldChar w:fldCharType="begin">
                <w:ffData>
                  <w:name w:val="Text129"/>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5" w:name="Text118"/>
            <w:r>
              <w:rPr>
                <w:rFonts w:hint="eastAsia" w:ascii="仿宋_GB2312" w:eastAsia="仿宋_GB2312"/>
                <w:sz w:val="24"/>
                <w:highlight w:val="none"/>
                <w:lang w:val="en-US" w:eastAsia="zh-CN"/>
              </w:rPr>
              <w:fldChar w:fldCharType="begin">
                <w:ffData>
                  <w:name w:val="Text118"/>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5"/>
          </w:p>
        </w:tc>
        <w:tc>
          <w:tcPr>
            <w:tcW w:w="19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6" w:name="Text121"/>
            <w:r>
              <w:rPr>
                <w:rFonts w:hint="eastAsia" w:ascii="仿宋_GB2312" w:eastAsia="仿宋_GB2312"/>
                <w:sz w:val="24"/>
                <w:highlight w:val="none"/>
                <w:lang w:val="en-US" w:eastAsia="zh-CN"/>
              </w:rPr>
              <w:fldChar w:fldCharType="begin">
                <w:ffData>
                  <w:name w:val="Text121"/>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6"/>
          </w:p>
        </w:tc>
        <w:tc>
          <w:tcPr>
            <w:tcW w:w="127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eastAsia="仿宋_GB2312"/>
                <w:sz w:val="24"/>
                <w:highlight w:val="none"/>
                <w:lang w:val="en-US" w:eastAsia="zh-CN"/>
              </w:rPr>
            </w:pPr>
            <w:bookmarkStart w:id="107" w:name="Text124"/>
            <w:r>
              <w:rPr>
                <w:rFonts w:hint="eastAsia" w:ascii="仿宋_GB2312" w:eastAsia="仿宋_GB2312"/>
                <w:sz w:val="24"/>
                <w:highlight w:val="none"/>
                <w:lang w:val="en-US" w:eastAsia="zh-CN"/>
              </w:rPr>
              <w:fldChar w:fldCharType="begin">
                <w:ffData>
                  <w:name w:val="Text124"/>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7"/>
          </w:p>
        </w:tc>
        <w:tc>
          <w:tcPr>
            <w:tcW w:w="166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8" w:name="Text127"/>
            <w:r>
              <w:rPr>
                <w:rFonts w:hint="eastAsia" w:ascii="仿宋_GB2312" w:eastAsia="仿宋_GB2312"/>
                <w:sz w:val="24"/>
                <w:highlight w:val="none"/>
                <w:lang w:val="en-US" w:eastAsia="zh-CN"/>
              </w:rPr>
              <w:fldChar w:fldCharType="begin">
                <w:ffData>
                  <w:name w:val="Text127"/>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8"/>
          </w:p>
        </w:tc>
        <w:tc>
          <w:tcPr>
            <w:tcW w:w="2016"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仿宋_GB2312" w:eastAsia="仿宋_GB2312"/>
                <w:sz w:val="24"/>
                <w:highlight w:val="none"/>
                <w:lang w:val="en-US" w:eastAsia="zh-CN"/>
              </w:rPr>
            </w:pPr>
            <w:bookmarkStart w:id="109" w:name="Text130"/>
            <w:r>
              <w:rPr>
                <w:rFonts w:hint="eastAsia" w:ascii="仿宋_GB2312" w:eastAsia="仿宋_GB2312"/>
                <w:sz w:val="24"/>
                <w:highlight w:val="none"/>
                <w:lang w:val="en-US" w:eastAsia="zh-CN"/>
              </w:rPr>
              <w:fldChar w:fldCharType="begin">
                <w:ffData>
                  <w:name w:val="Text130"/>
                  <w:enabled/>
                  <w:calcOnExit w:val="0"/>
                  <w:textInput/>
                </w:ffData>
              </w:fldChar>
            </w:r>
            <w:r>
              <w:rPr>
                <w:rFonts w:hint="eastAsia" w:ascii="仿宋_GB2312" w:eastAsia="仿宋_GB2312"/>
                <w:sz w:val="24"/>
                <w:highlight w:val="none"/>
                <w:lang w:val="en-US" w:eastAsia="zh-CN"/>
              </w:rPr>
              <w:instrText xml:space="preserve">FORMTEXT</w:instrText>
            </w:r>
            <w:r>
              <w:rPr>
                <w:rFonts w:hint="eastAsia" w:ascii="仿宋_GB2312" w:eastAsia="仿宋_GB2312"/>
                <w:sz w:val="24"/>
                <w:highlight w:val="none"/>
                <w:lang w:val="en-US" w:eastAsia="zh-CN"/>
              </w:rPr>
              <w:fldChar w:fldCharType="separate"/>
            </w:r>
            <w:r>
              <w:rPr>
                <w:rFonts w:hint="default" w:ascii="仿宋_GB2312" w:eastAsia="仿宋_GB2312"/>
                <w:sz w:val="24"/>
                <w:highlight w:val="none"/>
                <w:lang w:val="en-US" w:eastAsia="zh-CN"/>
              </w:rPr>
              <w:t>     </w:t>
            </w:r>
            <w:r>
              <w:rPr>
                <w:rFonts w:hint="eastAsia" w:ascii="仿宋_GB2312" w:eastAsia="仿宋_GB2312"/>
                <w:sz w:val="24"/>
                <w:highlight w:val="none"/>
                <w:lang w:val="en-US" w:eastAsia="zh-CN"/>
              </w:rPr>
              <w:fldChar w:fldCharType="end"/>
            </w:r>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trPr>
        <w:tc>
          <w:tcPr>
            <w:tcW w:w="198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highlight w:val="none"/>
              </w:rPr>
            </w:pPr>
          </w:p>
          <w:p>
            <w:pPr>
              <w:spacing w:line="360" w:lineRule="auto"/>
              <w:rPr>
                <w:rFonts w:ascii="仿宋_GB2312" w:eastAsia="仿宋_GB2312"/>
                <w:sz w:val="24"/>
                <w:highlight w:val="none"/>
              </w:rPr>
            </w:pPr>
            <w:r>
              <w:rPr>
                <w:rFonts w:hint="eastAsia" w:ascii="仿宋_GB2312" w:eastAsia="仿宋_GB2312"/>
                <w:sz w:val="24"/>
                <w:highlight w:val="none"/>
              </w:rPr>
              <w:t>业务通知及指令发送用章</w:t>
            </w:r>
          </w:p>
        </w:tc>
        <w:tc>
          <w:tcPr>
            <w:tcW w:w="69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highlight w:val="none"/>
              </w:rPr>
            </w:pPr>
          </w:p>
          <w:p>
            <w:pPr>
              <w:spacing w:line="360" w:lineRule="auto"/>
              <w:ind w:firstLine="480" w:firstLineChars="200"/>
              <w:rPr>
                <w:rFonts w:ascii="仿宋_GB2312" w:eastAsia="仿宋_GB2312"/>
                <w:sz w:val="24"/>
                <w:highlight w:val="none"/>
              </w:rPr>
            </w:pPr>
            <w:bookmarkStart w:id="110" w:name="Text131"/>
            <w:r>
              <w:rPr>
                <w:rFonts w:hint="eastAsia" w:ascii="仿宋_GB2312" w:eastAsia="仿宋_GB2312"/>
                <w:sz w:val="24"/>
                <w:highlight w:val="none"/>
              </w:rPr>
              <w:fldChar w:fldCharType="begin">
                <w:ffData>
                  <w:name w:val="Text131"/>
                  <w:enabled/>
                  <w:calcOnExit w:val="0"/>
                  <w:textInput/>
                </w:ffData>
              </w:fldChar>
            </w:r>
            <w:r>
              <w:rPr>
                <w:rFonts w:hint="eastAsia" w:ascii="仿宋_GB2312" w:eastAsia="仿宋_GB2312"/>
                <w:sz w:val="24"/>
                <w:highlight w:val="none"/>
              </w:rPr>
              <w:instrText xml:space="preserve">FORMTEXT</w:instrText>
            </w:r>
            <w:r>
              <w:rPr>
                <w:rFonts w:hint="eastAsia" w:ascii="仿宋_GB2312" w:eastAsia="仿宋_GB2312"/>
                <w:sz w:val="24"/>
                <w:highlight w:val="none"/>
              </w:rPr>
              <w:fldChar w:fldCharType="separate"/>
            </w:r>
            <w:r>
              <w:rPr>
                <w:rFonts w:hint="default" w:ascii="仿宋_GB2312" w:eastAsia="仿宋_GB2312"/>
                <w:sz w:val="24"/>
                <w:highlight w:val="none"/>
                <w:lang w:val="en-US"/>
              </w:rPr>
              <w:t>     </w:t>
            </w:r>
            <w:r>
              <w:rPr>
                <w:rFonts w:hint="eastAsia" w:ascii="仿宋_GB2312" w:eastAsia="仿宋_GB2312"/>
                <w:sz w:val="24"/>
                <w:highlight w:val="none"/>
              </w:rPr>
              <w:fldChar w:fldCharType="end"/>
            </w:r>
            <w:bookmarkEnd w:id="110"/>
            <w:r>
              <w:rPr>
                <w:rFonts w:hint="eastAsia" w:ascii="仿宋_GB2312" w:eastAsia="仿宋_GB2312"/>
                <w:sz w:val="24"/>
                <w:highlight w:val="none"/>
              </w:rPr>
              <w:t xml:space="preserve">                      （用章样本）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highlight w:val="none"/>
              </w:rPr>
            </w:pPr>
            <w:r>
              <w:rPr>
                <w:rFonts w:hint="eastAsia" w:ascii="仿宋_GB2312" w:eastAsia="仿宋_GB2312"/>
                <w:sz w:val="24"/>
                <w:highlight w:val="none"/>
              </w:rPr>
              <w:t>授权传真号码</w:t>
            </w:r>
          </w:p>
        </w:tc>
        <w:tc>
          <w:tcPr>
            <w:tcW w:w="6942" w:type="dxa"/>
            <w:gridSpan w:val="4"/>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仿宋_GB2312" w:eastAsia="仿宋_GB2312"/>
                <w:highlight w:val="none"/>
                <w:lang w:val="en-US" w:eastAsia="zh-CN"/>
              </w:rPr>
            </w:pPr>
            <w:bookmarkStart w:id="111" w:name="Text132"/>
            <w:r>
              <w:rPr>
                <w:rFonts w:hint="eastAsia" w:ascii="仿宋_GB2312" w:eastAsia="仿宋_GB2312"/>
                <w:highlight w:val="none"/>
                <w:lang w:val="en-US" w:eastAsia="zh-CN"/>
              </w:rPr>
              <w:fldChar w:fldCharType="begin">
                <w:ffData>
                  <w:name w:val="Text132"/>
                  <w:enabled/>
                  <w:calcOnExit w:val="0"/>
                  <w:textInput/>
                </w:ffData>
              </w:fldChar>
            </w:r>
            <w:r>
              <w:rPr>
                <w:rFonts w:hint="eastAsia" w:ascii="仿宋_GB2312" w:eastAsia="仿宋_GB2312"/>
                <w:highlight w:val="none"/>
                <w:lang w:val="en-US" w:eastAsia="zh-CN"/>
              </w:rPr>
              <w:instrText xml:space="preserve">FORMTEXT</w:instrText>
            </w:r>
            <w:r>
              <w:rPr>
                <w:rFonts w:hint="eastAsia" w:ascii="仿宋_GB2312" w:eastAsia="仿宋_GB2312"/>
                <w:highlight w:val="none"/>
                <w:lang w:val="en-US" w:eastAsia="zh-CN"/>
              </w:rPr>
              <w:fldChar w:fldCharType="separate"/>
            </w:r>
            <w:r>
              <w:rPr>
                <w:rFonts w:hint="default" w:ascii="仿宋_GB2312" w:eastAsia="仿宋_GB2312"/>
                <w:highlight w:val="none"/>
                <w:lang w:val="en-US" w:eastAsia="zh-CN"/>
              </w:rPr>
              <w:t>     </w:t>
            </w:r>
            <w:r>
              <w:rPr>
                <w:rFonts w:hint="eastAsia" w:ascii="仿宋_GB2312" w:eastAsia="仿宋_GB2312"/>
                <w:highlight w:val="none"/>
                <w:lang w:val="en-US" w:eastAsia="zh-CN"/>
              </w:rPr>
              <w:fldChar w:fldCharType="end"/>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highlight w:val="none"/>
              </w:rPr>
            </w:pPr>
            <w:r>
              <w:rPr>
                <w:rFonts w:hint="eastAsia" w:ascii="仿宋_GB2312" w:eastAsia="仿宋_GB2312"/>
                <w:sz w:val="24"/>
                <w:highlight w:val="none"/>
              </w:rPr>
              <w:t>授权邮箱</w:t>
            </w:r>
          </w:p>
        </w:tc>
        <w:tc>
          <w:tcPr>
            <w:tcW w:w="6942" w:type="dxa"/>
            <w:gridSpan w:val="4"/>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仿宋_GB2312" w:eastAsia="仿宋_GB2312"/>
                <w:highlight w:val="none"/>
                <w:lang w:val="en-US" w:eastAsia="zh-CN"/>
              </w:rPr>
            </w:pPr>
            <w:bookmarkStart w:id="112" w:name="Text133"/>
            <w:r>
              <w:rPr>
                <w:rFonts w:hint="eastAsia" w:ascii="仿宋_GB2312" w:eastAsia="仿宋_GB2312"/>
                <w:highlight w:val="none"/>
                <w:lang w:val="en-US" w:eastAsia="zh-CN"/>
              </w:rPr>
              <w:fldChar w:fldCharType="begin">
                <w:ffData>
                  <w:name w:val="Text133"/>
                  <w:enabled/>
                  <w:calcOnExit w:val="0"/>
                  <w:textInput/>
                </w:ffData>
              </w:fldChar>
            </w:r>
            <w:r>
              <w:rPr>
                <w:rFonts w:hint="eastAsia" w:ascii="仿宋_GB2312" w:eastAsia="仿宋_GB2312"/>
                <w:highlight w:val="none"/>
                <w:lang w:val="en-US" w:eastAsia="zh-CN"/>
              </w:rPr>
              <w:instrText xml:space="preserve">FORMTEXT</w:instrText>
            </w:r>
            <w:r>
              <w:rPr>
                <w:rFonts w:hint="eastAsia" w:ascii="仿宋_GB2312" w:eastAsia="仿宋_GB2312"/>
                <w:highlight w:val="none"/>
                <w:lang w:val="en-US" w:eastAsia="zh-CN"/>
              </w:rPr>
              <w:fldChar w:fldCharType="separate"/>
            </w:r>
            <w:r>
              <w:rPr>
                <w:rFonts w:hint="default" w:ascii="仿宋_GB2312" w:eastAsia="仿宋_GB2312"/>
                <w:highlight w:val="none"/>
                <w:lang w:val="en-US" w:eastAsia="zh-CN"/>
              </w:rPr>
              <w:t>     </w:t>
            </w:r>
            <w:r>
              <w:rPr>
                <w:rFonts w:hint="eastAsia" w:ascii="仿宋_GB2312" w:eastAsia="仿宋_GB2312"/>
                <w:highlight w:val="none"/>
                <w:lang w:val="en-US" w:eastAsia="zh-CN"/>
              </w:rPr>
              <w:fldChar w:fldCharType="end"/>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98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highlight w:val="none"/>
              </w:rPr>
            </w:pPr>
            <w:r>
              <w:rPr>
                <w:rFonts w:hint="eastAsia" w:ascii="仿宋_GB2312" w:eastAsia="仿宋_GB2312"/>
                <w:sz w:val="24"/>
                <w:highlight w:val="none"/>
              </w:rPr>
              <w:t>其他指令确认人员及联系方式</w:t>
            </w:r>
          </w:p>
        </w:tc>
        <w:tc>
          <w:tcPr>
            <w:tcW w:w="6942" w:type="dxa"/>
            <w:gridSpan w:val="4"/>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仿宋_GB2312" w:eastAsia="仿宋_GB2312"/>
                <w:highlight w:val="none"/>
                <w:lang w:val="en-US" w:eastAsia="zh-CN"/>
              </w:rPr>
            </w:pPr>
            <w:bookmarkStart w:id="113" w:name="Text134"/>
            <w:r>
              <w:rPr>
                <w:rFonts w:hint="eastAsia" w:ascii="仿宋_GB2312" w:eastAsia="仿宋_GB2312"/>
                <w:highlight w:val="none"/>
                <w:lang w:val="en-US" w:eastAsia="zh-CN"/>
              </w:rPr>
              <w:fldChar w:fldCharType="begin">
                <w:ffData>
                  <w:name w:val="Text134"/>
                  <w:enabled/>
                  <w:calcOnExit w:val="0"/>
                  <w:textInput/>
                </w:ffData>
              </w:fldChar>
            </w:r>
            <w:r>
              <w:rPr>
                <w:rFonts w:hint="eastAsia" w:ascii="仿宋_GB2312" w:eastAsia="仿宋_GB2312"/>
                <w:highlight w:val="none"/>
                <w:lang w:val="en-US" w:eastAsia="zh-CN"/>
              </w:rPr>
              <w:instrText xml:space="preserve">FORMTEXT</w:instrText>
            </w:r>
            <w:r>
              <w:rPr>
                <w:rFonts w:hint="eastAsia" w:ascii="仿宋_GB2312" w:eastAsia="仿宋_GB2312"/>
                <w:highlight w:val="none"/>
                <w:lang w:val="en-US" w:eastAsia="zh-CN"/>
              </w:rPr>
              <w:fldChar w:fldCharType="separate"/>
            </w:r>
            <w:r>
              <w:rPr>
                <w:rFonts w:hint="default" w:ascii="仿宋_GB2312" w:eastAsia="仿宋_GB2312"/>
                <w:highlight w:val="none"/>
                <w:lang w:val="en-US" w:eastAsia="zh-CN"/>
              </w:rPr>
              <w:t>     </w:t>
            </w:r>
            <w:r>
              <w:rPr>
                <w:rFonts w:hint="eastAsia" w:ascii="仿宋_GB2312" w:eastAsia="仿宋_GB2312"/>
                <w:highlight w:val="none"/>
                <w:lang w:val="en-US" w:eastAsia="zh-CN"/>
              </w:rPr>
              <w:fldChar w:fldCharType="end"/>
            </w:r>
            <w:bookmarkEnd w:id="113"/>
          </w:p>
        </w:tc>
      </w:tr>
    </w:tbl>
    <w:p>
      <w:pPr>
        <w:spacing w:line="240" w:lineRule="auto"/>
        <w:rPr>
          <w:rFonts w:ascii="仿宋_GB2312" w:hAnsi="宋体" w:eastAsia="仿宋_GB2312"/>
          <w:sz w:val="24"/>
          <w:highlight w:val="none"/>
        </w:rPr>
      </w:pPr>
      <w:r>
        <w:rPr>
          <w:rFonts w:hint="eastAsia" w:ascii="仿宋_GB2312" w:eastAsia="仿宋_GB2312"/>
          <w:sz w:val="24"/>
          <w:highlight w:val="none"/>
        </w:rPr>
        <w:t>备注：</w:t>
      </w:r>
      <w:r>
        <w:rPr>
          <w:rFonts w:hint="eastAsia" w:ascii="仿宋_GB2312" w:hAnsi="宋体" w:eastAsia="仿宋_GB2312"/>
          <w:sz w:val="24"/>
          <w:highlight w:val="none"/>
        </w:rPr>
        <w:t>1、指令发送用章须与被授权人签字（章）同时出具，指令方为有效。业务通知用章可单独使用。</w:t>
      </w:r>
    </w:p>
    <w:p>
      <w:pPr>
        <w:spacing w:line="24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 xml:space="preserve">  2、权限类型：</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经办  □复核  □审批。</w:t>
      </w:r>
    </w:p>
    <w:p>
      <w:pPr>
        <w:spacing w:line="24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 xml:space="preserve">  3、上述信息变更，我单位负责提前通知你行。</w:t>
      </w:r>
    </w:p>
    <w:p>
      <w:pPr>
        <w:spacing w:line="360" w:lineRule="auto"/>
        <w:jc w:val="right"/>
        <w:rPr>
          <w:rFonts w:ascii="仿宋_GB2312" w:hAnsi="宋体" w:eastAsia="仿宋_GB2312"/>
          <w:sz w:val="24"/>
          <w:highlight w:val="none"/>
        </w:rPr>
      </w:pPr>
      <w:r>
        <w:rPr>
          <w:rFonts w:hint="eastAsia" w:ascii="仿宋_GB2312" w:hAnsi="宋体" w:eastAsia="仿宋_GB2312"/>
          <w:sz w:val="24"/>
          <w:highlight w:val="none"/>
        </w:rPr>
        <w:t xml:space="preserve">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 xml:space="preserve">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 xml:space="preserve">  </w:t>
      </w:r>
      <w:bookmarkStart w:id="114" w:name="Text261"/>
      <w:r>
        <w:rPr>
          <w:rFonts w:hint="eastAsia" w:ascii="仿宋_GB2312" w:hAnsi="宋体" w:eastAsia="仿宋_GB2312"/>
          <w:sz w:val="24"/>
          <w:highlight w:val="none"/>
        </w:rPr>
        <w:fldChar w:fldCharType="begin">
          <w:ffData>
            <w:name w:val="Text261"/>
            <w:enabled/>
            <w:calcOnExit w:val="0"/>
            <w:textInput/>
          </w:ffData>
        </w:fldChar>
      </w:r>
      <w:r>
        <w:rPr>
          <w:rFonts w:hint="eastAsia" w:ascii="仿宋_GB2312" w:hAnsi="宋体" w:eastAsia="仿宋_GB2312"/>
          <w:sz w:val="24"/>
          <w:highlight w:val="none"/>
        </w:rPr>
        <w:instrText xml:space="preserve">FORMTEXT</w:instrText>
      </w:r>
      <w:r>
        <w:rPr>
          <w:rFonts w:hint="eastAsia" w:ascii="仿宋_GB2312" w:hAnsi="宋体" w:eastAsia="仿宋_GB2312"/>
          <w:sz w:val="24"/>
          <w:highlight w:val="none"/>
        </w:rPr>
        <w:fldChar w:fldCharType="separate"/>
      </w:r>
      <w:r>
        <w:rPr>
          <w:rFonts w:hint="default" w:ascii="仿宋_GB2312" w:hAnsi="宋体" w:eastAsia="仿宋_GB2312"/>
          <w:sz w:val="24"/>
          <w:highlight w:val="none"/>
          <w:lang w:val="en-US"/>
        </w:rPr>
        <w:t> </w:t>
      </w:r>
      <w:r>
        <w:rPr>
          <w:rFonts w:hint="eastAsia" w:ascii="仿宋_GB2312" w:hAnsi="宋体" w:eastAsia="仿宋_GB2312"/>
          <w:sz w:val="24"/>
          <w:highlight w:val="none"/>
        </w:rPr>
        <w:t>北银理财有限责任公司</w:t>
      </w:r>
      <w:r>
        <w:rPr>
          <w:rFonts w:hint="default" w:ascii="仿宋_GB2312" w:hAnsi="宋体" w:eastAsia="仿宋_GB2312"/>
          <w:sz w:val="24"/>
          <w:highlight w:val="none"/>
          <w:lang w:val="en-US"/>
        </w:rPr>
        <w:t> </w:t>
      </w:r>
      <w:r>
        <w:rPr>
          <w:rFonts w:hint="eastAsia" w:ascii="仿宋_GB2312" w:hAnsi="宋体" w:eastAsia="仿宋_GB2312"/>
          <w:sz w:val="24"/>
          <w:highlight w:val="none"/>
        </w:rPr>
        <w:fldChar w:fldCharType="end"/>
      </w:r>
      <w:bookmarkEnd w:id="114"/>
      <w:r>
        <w:rPr>
          <w:rFonts w:hint="eastAsia" w:ascii="仿宋_GB2312" w:hAnsi="宋体" w:eastAsia="仿宋_GB2312"/>
          <w:sz w:val="24"/>
          <w:highlight w:val="none"/>
        </w:rPr>
        <w:t>（公章）：</w:t>
      </w:r>
    </w:p>
    <w:p>
      <w:pPr>
        <w:spacing w:line="360" w:lineRule="auto"/>
        <w:ind w:right="1200" w:firstLine="480" w:firstLineChars="200"/>
        <w:jc w:val="right"/>
        <w:rPr>
          <w:rFonts w:ascii="仿宋_GB2312" w:hAnsi="宋体" w:eastAsia="仿宋_GB2312"/>
          <w:sz w:val="24"/>
          <w:highlight w:val="none"/>
        </w:rPr>
      </w:pPr>
    </w:p>
    <w:p>
      <w:pPr>
        <w:spacing w:line="360" w:lineRule="auto"/>
        <w:ind w:firstLine="480" w:firstLineChars="200"/>
        <w:jc w:val="right"/>
        <w:rPr>
          <w:rFonts w:ascii="仿宋_GB2312" w:hAnsi="宋体" w:eastAsia="仿宋_GB2312"/>
          <w:sz w:val="24"/>
          <w:highlight w:val="none"/>
        </w:rPr>
      </w:pPr>
      <w:r>
        <w:rPr>
          <w:rFonts w:hint="eastAsia" w:ascii="仿宋_GB2312" w:hAnsi="宋体" w:eastAsia="仿宋_GB2312"/>
          <w:sz w:val="24"/>
          <w:highlight w:val="none"/>
        </w:rPr>
        <w:t>法定代表人（或授权人）签字（章）：</w:t>
      </w:r>
    </w:p>
    <w:p>
      <w:pPr>
        <w:spacing w:line="360" w:lineRule="auto"/>
        <w:ind w:right="468" w:firstLine="420" w:firstLineChars="200"/>
        <w:jc w:val="right"/>
        <w:rPr>
          <w:rFonts w:ascii="宋体" w:hAnsi="宋体"/>
          <w:szCs w:val="21"/>
          <w:highlight w:val="none"/>
        </w:rPr>
      </w:pPr>
    </w:p>
    <w:p>
      <w:pPr>
        <w:spacing w:line="360" w:lineRule="auto"/>
        <w:ind w:right="468" w:firstLine="420" w:firstLineChars="200"/>
        <w:jc w:val="right"/>
        <w:rPr>
          <w:rFonts w:ascii="宋体" w:hAnsi="宋体"/>
          <w:szCs w:val="21"/>
          <w:highlight w:val="none"/>
        </w:rPr>
      </w:pPr>
      <w:r>
        <w:rPr>
          <w:rFonts w:hint="eastAsia" w:ascii="宋体" w:hAnsi="宋体"/>
          <w:szCs w:val="21"/>
          <w:highlight w:val="none"/>
        </w:rPr>
        <w:t xml:space="preserve">                    </w:t>
      </w:r>
      <w:bookmarkStart w:id="115" w:name="Text135"/>
      <w:r>
        <w:rPr>
          <w:rFonts w:hint="eastAsia" w:ascii="宋体" w:hAnsi="宋体"/>
          <w:szCs w:val="21"/>
          <w:highlight w:val="none"/>
        </w:rPr>
        <w:fldChar w:fldCharType="begin">
          <w:ffData>
            <w:name w:val="Text135"/>
            <w:enabled/>
            <w:calcOnExit w:val="0"/>
            <w:textInput/>
          </w:ffData>
        </w:fldChar>
      </w:r>
      <w:r>
        <w:rPr>
          <w:rFonts w:hint="eastAsia" w:ascii="宋体" w:hAnsi="宋体"/>
          <w:szCs w:val="21"/>
          <w:highlight w:val="none"/>
        </w:rPr>
        <w:instrText xml:space="preserve">FORMTEXT</w:instrText>
      </w:r>
      <w:r>
        <w:rPr>
          <w:rFonts w:hint="eastAsia" w:ascii="宋体" w:hAnsi="宋体"/>
          <w:szCs w:val="21"/>
          <w:highlight w:val="none"/>
        </w:rPr>
        <w:fldChar w:fldCharType="separate"/>
      </w:r>
      <w:r>
        <w:rPr>
          <w:rFonts w:hint="default" w:ascii="宋体" w:hAnsi="宋体"/>
          <w:szCs w:val="21"/>
          <w:highlight w:val="none"/>
          <w:lang w:val="en-US"/>
        </w:rPr>
        <w:t>     </w:t>
      </w:r>
      <w:r>
        <w:rPr>
          <w:rFonts w:hint="eastAsia" w:ascii="宋体" w:hAnsi="宋体"/>
          <w:szCs w:val="21"/>
          <w:highlight w:val="none"/>
        </w:rPr>
        <w:fldChar w:fldCharType="end"/>
      </w:r>
      <w:bookmarkEnd w:id="115"/>
      <w:r>
        <w:rPr>
          <w:rFonts w:hint="eastAsia" w:ascii="仿宋_GB2312" w:hAnsi="宋体" w:eastAsia="仿宋_GB2312"/>
          <w:sz w:val="24"/>
          <w:highlight w:val="none"/>
        </w:rPr>
        <w:t xml:space="preserve"> 年</w:t>
      </w:r>
      <w:bookmarkStart w:id="116" w:name="Text136"/>
      <w:r>
        <w:rPr>
          <w:rFonts w:hint="eastAsia" w:ascii="仿宋_GB2312" w:hAnsi="宋体" w:eastAsia="仿宋_GB2312"/>
          <w:sz w:val="24"/>
          <w:highlight w:val="none"/>
        </w:rPr>
        <w:fldChar w:fldCharType="begin">
          <w:ffData>
            <w:name w:val="Text136"/>
            <w:enabled/>
            <w:calcOnExit w:val="0"/>
            <w:textInput/>
          </w:ffData>
        </w:fldChar>
      </w:r>
      <w:r>
        <w:rPr>
          <w:rFonts w:hint="eastAsia" w:ascii="仿宋_GB2312" w:hAnsi="宋体" w:eastAsia="仿宋_GB2312"/>
          <w:sz w:val="24"/>
          <w:highlight w:val="none"/>
        </w:rPr>
        <w:instrText xml:space="preserve">FORMTEXT</w:instrText>
      </w:r>
      <w:r>
        <w:rPr>
          <w:rFonts w:hint="eastAsia" w:ascii="仿宋_GB2312" w:hAnsi="宋体" w:eastAsia="仿宋_GB2312"/>
          <w:sz w:val="24"/>
          <w:highlight w:val="none"/>
        </w:rPr>
        <w:fldChar w:fldCharType="separate"/>
      </w:r>
      <w:r>
        <w:rPr>
          <w:rFonts w:hint="default" w:ascii="仿宋_GB2312" w:hAnsi="宋体" w:eastAsia="仿宋_GB2312"/>
          <w:sz w:val="24"/>
          <w:highlight w:val="none"/>
          <w:lang w:val="en-US"/>
        </w:rPr>
        <w:t>     </w:t>
      </w:r>
      <w:r>
        <w:rPr>
          <w:rFonts w:hint="eastAsia" w:ascii="仿宋_GB2312" w:hAnsi="宋体" w:eastAsia="仿宋_GB2312"/>
          <w:sz w:val="24"/>
          <w:highlight w:val="none"/>
        </w:rPr>
        <w:fldChar w:fldCharType="end"/>
      </w:r>
      <w:bookmarkEnd w:id="116"/>
      <w:r>
        <w:rPr>
          <w:rFonts w:hint="eastAsia" w:ascii="仿宋_GB2312" w:hAnsi="宋体" w:eastAsia="仿宋_GB2312"/>
          <w:sz w:val="24"/>
          <w:highlight w:val="none"/>
        </w:rPr>
        <w:t>月</w:t>
      </w:r>
      <w:bookmarkStart w:id="117" w:name="Text137"/>
      <w:r>
        <w:rPr>
          <w:rFonts w:hint="eastAsia" w:ascii="仿宋_GB2312" w:hAnsi="宋体" w:eastAsia="仿宋_GB2312"/>
          <w:sz w:val="24"/>
          <w:highlight w:val="none"/>
        </w:rPr>
        <w:fldChar w:fldCharType="begin">
          <w:ffData>
            <w:name w:val="Text137"/>
            <w:enabled/>
            <w:calcOnExit w:val="0"/>
            <w:textInput/>
          </w:ffData>
        </w:fldChar>
      </w:r>
      <w:r>
        <w:rPr>
          <w:rFonts w:hint="eastAsia" w:ascii="仿宋_GB2312" w:hAnsi="宋体" w:eastAsia="仿宋_GB2312"/>
          <w:sz w:val="24"/>
          <w:highlight w:val="none"/>
        </w:rPr>
        <w:instrText xml:space="preserve">FORMTEXT</w:instrText>
      </w:r>
      <w:r>
        <w:rPr>
          <w:rFonts w:hint="eastAsia" w:ascii="仿宋_GB2312" w:hAnsi="宋体" w:eastAsia="仿宋_GB2312"/>
          <w:sz w:val="24"/>
          <w:highlight w:val="none"/>
        </w:rPr>
        <w:fldChar w:fldCharType="separate"/>
      </w:r>
      <w:r>
        <w:rPr>
          <w:rFonts w:hint="default" w:ascii="仿宋_GB2312" w:hAnsi="宋体" w:eastAsia="仿宋_GB2312"/>
          <w:sz w:val="24"/>
          <w:highlight w:val="none"/>
          <w:lang w:val="en-US"/>
        </w:rPr>
        <w:t>     </w:t>
      </w:r>
      <w:r>
        <w:rPr>
          <w:rFonts w:hint="eastAsia" w:ascii="仿宋_GB2312" w:hAnsi="宋体" w:eastAsia="仿宋_GB2312"/>
          <w:sz w:val="24"/>
          <w:highlight w:val="none"/>
        </w:rPr>
        <w:fldChar w:fldCharType="end"/>
      </w:r>
      <w:bookmarkEnd w:id="117"/>
      <w:r>
        <w:rPr>
          <w:rFonts w:hint="eastAsia" w:ascii="仿宋_GB2312" w:hAnsi="宋体" w:eastAsia="仿宋_GB2312"/>
          <w:sz w:val="24"/>
          <w:highlight w:val="none"/>
        </w:rPr>
        <w:t>日</w:t>
      </w:r>
    </w:p>
    <w:p>
      <w:pPr>
        <w:widowControl/>
        <w:jc w:val="left"/>
        <w:rPr>
          <w:sz w:val="24"/>
          <w:highlight w:val="none"/>
        </w:rPr>
      </w:pPr>
      <w:r>
        <w:rPr>
          <w:sz w:val="24"/>
          <w:highlight w:val="none"/>
        </w:rPr>
        <w:br w:type="page"/>
      </w:r>
    </w:p>
    <w:p>
      <w:pPr>
        <w:tabs>
          <w:tab w:val="left" w:pos="6090"/>
        </w:tabs>
        <w:spacing w:line="360" w:lineRule="auto"/>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附件三</w:t>
      </w:r>
    </w:p>
    <w:tbl>
      <w:tblPr>
        <w:tblStyle w:val="16"/>
        <w:tblW w:w="7819" w:type="dxa"/>
        <w:tblInd w:w="93" w:type="dxa"/>
        <w:tblLayout w:type="fixed"/>
        <w:tblCellMar>
          <w:top w:w="0" w:type="dxa"/>
          <w:left w:w="108" w:type="dxa"/>
          <w:bottom w:w="0" w:type="dxa"/>
          <w:right w:w="108" w:type="dxa"/>
        </w:tblCellMar>
      </w:tblPr>
      <w:tblGrid>
        <w:gridCol w:w="4011"/>
        <w:gridCol w:w="3808"/>
      </w:tblGrid>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北银理财有限责任公司 划款指令</w:t>
            </w:r>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none"/>
              </w:rPr>
            </w:pPr>
            <w:bookmarkStart w:id="118" w:name="Text138"/>
            <w:r>
              <w:rPr>
                <w:rFonts w:hint="eastAsia" w:ascii="宋体" w:hAnsi="宋体" w:cs="宋体"/>
                <w:kern w:val="0"/>
                <w:sz w:val="24"/>
                <w:highlight w:val="none"/>
              </w:rPr>
              <w:fldChar w:fldCharType="begin">
                <w:ffData>
                  <w:name w:val="Text138"/>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18"/>
            <w:r>
              <w:rPr>
                <w:rFonts w:hint="eastAsia" w:ascii="宋体" w:hAnsi="宋体" w:cs="宋体"/>
                <w:kern w:val="0"/>
                <w:sz w:val="24"/>
                <w:highlight w:val="none"/>
              </w:rPr>
              <w:t>年</w:t>
            </w:r>
            <w:bookmarkStart w:id="119" w:name="Text139"/>
            <w:r>
              <w:rPr>
                <w:rFonts w:hint="eastAsia" w:ascii="宋体" w:hAnsi="宋体" w:cs="宋体"/>
                <w:kern w:val="0"/>
                <w:sz w:val="24"/>
                <w:highlight w:val="none"/>
              </w:rPr>
              <w:fldChar w:fldCharType="begin">
                <w:ffData>
                  <w:name w:val="Text139"/>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19"/>
            <w:r>
              <w:rPr>
                <w:rFonts w:hint="eastAsia" w:ascii="宋体" w:hAnsi="宋体" w:cs="宋体"/>
                <w:kern w:val="0"/>
                <w:sz w:val="24"/>
                <w:highlight w:val="none"/>
              </w:rPr>
              <w:t>月</w:t>
            </w:r>
            <w:bookmarkStart w:id="120" w:name="Text140"/>
            <w:r>
              <w:rPr>
                <w:rFonts w:hint="eastAsia" w:ascii="宋体" w:hAnsi="宋体" w:cs="宋体"/>
                <w:kern w:val="0"/>
                <w:sz w:val="24"/>
                <w:highlight w:val="none"/>
              </w:rPr>
              <w:fldChar w:fldCharType="begin">
                <w:ffData>
                  <w:name w:val="Text140"/>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0"/>
            <w:r>
              <w:rPr>
                <w:rFonts w:hint="eastAsia" w:ascii="宋体" w:hAnsi="宋体" w:cs="宋体"/>
                <w:kern w:val="0"/>
                <w:sz w:val="24"/>
                <w:highlight w:val="none"/>
              </w:rPr>
              <w:t>日</w:t>
            </w:r>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rPr>
              <w:t>编 号：</w:t>
            </w:r>
            <w:bookmarkStart w:id="121" w:name="Text141"/>
            <w:r>
              <w:rPr>
                <w:rFonts w:hint="eastAsia" w:ascii="宋体" w:hAnsi="宋体" w:cs="宋体"/>
                <w:kern w:val="0"/>
                <w:sz w:val="24"/>
                <w:highlight w:val="none"/>
              </w:rPr>
              <w:fldChar w:fldCharType="begin">
                <w:ffData>
                  <w:name w:val="Text141"/>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1"/>
          </w:p>
        </w:tc>
      </w:tr>
      <w:tr>
        <w:tblPrEx>
          <w:tblCellMar>
            <w:top w:w="0" w:type="dxa"/>
            <w:left w:w="108" w:type="dxa"/>
            <w:bottom w:w="0" w:type="dxa"/>
            <w:right w:w="108" w:type="dxa"/>
          </w:tblCellMar>
        </w:tblPrEx>
        <w:trPr>
          <w:trHeight w:val="424"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付款方名称：</w:t>
            </w:r>
            <w:bookmarkStart w:id="122" w:name="Text142"/>
            <w:r>
              <w:rPr>
                <w:rFonts w:hint="eastAsia" w:ascii="宋体" w:hAnsi="宋体" w:cs="宋体"/>
                <w:kern w:val="0"/>
                <w:sz w:val="24"/>
                <w:highlight w:val="none"/>
              </w:rPr>
              <w:fldChar w:fldCharType="begin">
                <w:ffData>
                  <w:name w:val="Text142"/>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2"/>
          </w:p>
        </w:tc>
      </w:tr>
      <w:tr>
        <w:tblPrEx>
          <w:tblCellMar>
            <w:top w:w="0" w:type="dxa"/>
            <w:left w:w="108" w:type="dxa"/>
            <w:bottom w:w="0" w:type="dxa"/>
            <w:right w:w="108" w:type="dxa"/>
          </w:tblCellMar>
        </w:tblPrEx>
        <w:trPr>
          <w:trHeight w:val="424"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highlight w:val="none"/>
              </w:rPr>
            </w:pPr>
            <w:r>
              <w:rPr>
                <w:rFonts w:hint="eastAsia" w:ascii="宋体" w:hAnsi="宋体" w:cs="宋体"/>
                <w:kern w:val="0"/>
                <w:sz w:val="24"/>
                <w:highlight w:val="none"/>
              </w:rPr>
              <w:t>页 数：</w:t>
            </w:r>
            <w:bookmarkStart w:id="123" w:name="Text143"/>
            <w:r>
              <w:rPr>
                <w:rFonts w:hint="eastAsia" w:ascii="宋体" w:hAnsi="宋体" w:cs="宋体"/>
                <w:kern w:val="0"/>
                <w:sz w:val="24"/>
                <w:highlight w:val="none"/>
              </w:rPr>
              <w:fldChar w:fldCharType="begin">
                <w:ffData>
                  <w:name w:val="Text143"/>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3"/>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第</w:t>
            </w:r>
            <w:bookmarkStart w:id="124" w:name="Text144"/>
            <w:r>
              <w:rPr>
                <w:rFonts w:hint="eastAsia" w:ascii="宋体" w:hAnsi="宋体" w:cs="宋体"/>
                <w:kern w:val="0"/>
                <w:sz w:val="24"/>
                <w:highlight w:val="none"/>
              </w:rPr>
              <w:fldChar w:fldCharType="begin">
                <w:ffData>
                  <w:name w:val="Text144"/>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4"/>
            <w:r>
              <w:rPr>
                <w:rFonts w:hint="eastAsia" w:ascii="宋体" w:hAnsi="宋体" w:cs="宋体"/>
                <w:kern w:val="0"/>
                <w:sz w:val="24"/>
                <w:highlight w:val="none"/>
              </w:rPr>
              <w:t>页 ，共</w:t>
            </w:r>
            <w:bookmarkStart w:id="125" w:name="Text145"/>
            <w:r>
              <w:rPr>
                <w:rFonts w:hint="eastAsia" w:ascii="宋体" w:hAnsi="宋体" w:cs="宋体"/>
                <w:kern w:val="0"/>
                <w:sz w:val="24"/>
                <w:highlight w:val="none"/>
              </w:rPr>
              <w:fldChar w:fldCharType="begin">
                <w:ffData>
                  <w:name w:val="Text145"/>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5"/>
            <w:r>
              <w:rPr>
                <w:rFonts w:hint="eastAsia" w:ascii="宋体" w:hAnsi="宋体" w:cs="宋体"/>
                <w:kern w:val="0"/>
                <w:sz w:val="24"/>
                <w:highlight w:val="none"/>
              </w:rPr>
              <w:t>页</w:t>
            </w:r>
          </w:p>
        </w:tc>
      </w:tr>
      <w:tr>
        <w:tblPrEx>
          <w:tblCellMar>
            <w:top w:w="0" w:type="dxa"/>
            <w:left w:w="108" w:type="dxa"/>
            <w:bottom w:w="0" w:type="dxa"/>
            <w:right w:w="108" w:type="dxa"/>
          </w:tblCellMar>
        </w:tblPrEx>
        <w:trPr>
          <w:trHeight w:val="424"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付款方账号：</w:t>
            </w:r>
            <w:bookmarkStart w:id="126" w:name="Text146"/>
            <w:r>
              <w:rPr>
                <w:rFonts w:hint="eastAsia" w:ascii="宋体" w:hAnsi="宋体" w:cs="宋体"/>
                <w:kern w:val="0"/>
                <w:sz w:val="24"/>
                <w:highlight w:val="none"/>
              </w:rPr>
              <w:fldChar w:fldCharType="begin">
                <w:ffData>
                  <w:name w:val="Text146"/>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6"/>
          </w:p>
        </w:tc>
      </w:tr>
      <w:tr>
        <w:tblPrEx>
          <w:tblCellMar>
            <w:top w:w="0" w:type="dxa"/>
            <w:left w:w="108" w:type="dxa"/>
            <w:bottom w:w="0" w:type="dxa"/>
            <w:right w:w="108" w:type="dxa"/>
          </w:tblCellMar>
        </w:tblPrEx>
        <w:trPr>
          <w:trHeight w:val="465"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请于年月日时前支付下列款项（共笔）：</w:t>
            </w:r>
            <w:bookmarkStart w:id="127" w:name="Text147"/>
            <w:r>
              <w:rPr>
                <w:rFonts w:hint="eastAsia" w:ascii="宋体" w:hAnsi="宋体" w:cs="宋体"/>
                <w:kern w:val="0"/>
                <w:sz w:val="24"/>
                <w:highlight w:val="none"/>
              </w:rPr>
              <w:fldChar w:fldCharType="begin">
                <w:ffData>
                  <w:name w:val="Text147"/>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7"/>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金额大写：（人民币）</w:t>
            </w:r>
            <w:bookmarkStart w:id="128" w:name="Text148"/>
            <w:r>
              <w:rPr>
                <w:rFonts w:hint="eastAsia" w:ascii="宋体" w:hAnsi="宋体" w:cs="宋体"/>
                <w:kern w:val="0"/>
                <w:sz w:val="24"/>
                <w:highlight w:val="none"/>
              </w:rPr>
              <w:fldChar w:fldCharType="begin">
                <w:ffData>
                  <w:name w:val="Text148"/>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8"/>
          </w:p>
        </w:tc>
      </w:tr>
      <w:tr>
        <w:tblPrEx>
          <w:tblCellMar>
            <w:top w:w="0" w:type="dxa"/>
            <w:left w:w="108" w:type="dxa"/>
            <w:bottom w:w="0" w:type="dxa"/>
            <w:right w:w="108" w:type="dxa"/>
          </w:tblCellMar>
        </w:tblPrEx>
        <w:trPr>
          <w:trHeight w:val="480" w:hRule="atLeast"/>
        </w:trPr>
        <w:tc>
          <w:tcPr>
            <w:tcW w:w="40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金额小写：</w:t>
            </w:r>
            <w:bookmarkStart w:id="129" w:name="Text149"/>
            <w:r>
              <w:rPr>
                <w:rFonts w:hint="eastAsia" w:ascii="宋体" w:hAnsi="宋体" w:cs="宋体"/>
                <w:kern w:val="0"/>
                <w:sz w:val="24"/>
                <w:highlight w:val="none"/>
              </w:rPr>
              <w:fldChar w:fldCharType="begin">
                <w:ffData>
                  <w:name w:val="Text149"/>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29"/>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bookmarkStart w:id="130" w:name="Text152"/>
            <w:r>
              <w:rPr>
                <w:rFonts w:hint="eastAsia" w:ascii="宋体" w:hAnsi="宋体" w:eastAsia="宋体" w:cs="宋体"/>
                <w:kern w:val="0"/>
                <w:sz w:val="24"/>
                <w:highlight w:val="none"/>
                <w:lang w:val="en-US" w:eastAsia="zh-CN"/>
              </w:rPr>
              <w:fldChar w:fldCharType="begin">
                <w:ffData>
                  <w:name w:val="Text152"/>
                  <w:enabled/>
                  <w:calcOnExit w:val="0"/>
                  <w:textInput/>
                </w:ffData>
              </w:fldChar>
            </w:r>
            <w:r>
              <w:rPr>
                <w:rFonts w:hint="eastAsia" w:ascii="宋体" w:hAnsi="宋体" w:eastAsia="宋体" w:cs="宋体"/>
                <w:kern w:val="0"/>
                <w:sz w:val="24"/>
                <w:highlight w:val="none"/>
                <w:lang w:val="en-US" w:eastAsia="zh-CN"/>
              </w:rPr>
              <w:instrText xml:space="preserve">FORMTEXT</w:instrText>
            </w:r>
            <w:r>
              <w:rPr>
                <w:rFonts w:hint="eastAsia" w:ascii="宋体" w:hAnsi="宋体" w:eastAsia="宋体" w:cs="宋体"/>
                <w:kern w:val="0"/>
                <w:sz w:val="24"/>
                <w:highlight w:val="none"/>
                <w:lang w:val="en-US" w:eastAsia="zh-CN"/>
              </w:rPr>
              <w:fldChar w:fldCharType="separate"/>
            </w:r>
            <w:r>
              <w:rPr>
                <w:rFonts w:hint="default" w:ascii="宋体" w:hAnsi="宋体" w:eastAsia="宋体" w:cs="宋体"/>
                <w:kern w:val="0"/>
                <w:sz w:val="24"/>
                <w:highlight w:val="none"/>
                <w:lang w:val="en-US" w:eastAsia="zh-CN"/>
              </w:rPr>
              <w:t>     </w:t>
            </w:r>
            <w:r>
              <w:rPr>
                <w:rFonts w:hint="eastAsia" w:ascii="宋体" w:hAnsi="宋体" w:eastAsia="宋体" w:cs="宋体"/>
                <w:kern w:val="0"/>
                <w:sz w:val="24"/>
                <w:highlight w:val="none"/>
                <w:lang w:val="en-US" w:eastAsia="zh-CN"/>
              </w:rPr>
              <w:fldChar w:fldCharType="end"/>
            </w:r>
            <w:bookmarkEnd w:id="130"/>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收款人名称：</w:t>
            </w:r>
            <w:bookmarkStart w:id="131" w:name="Text150"/>
            <w:r>
              <w:rPr>
                <w:rFonts w:hint="eastAsia" w:ascii="宋体" w:hAnsi="宋体" w:cs="宋体"/>
                <w:kern w:val="0"/>
                <w:sz w:val="24"/>
                <w:highlight w:val="none"/>
              </w:rPr>
              <w:fldChar w:fldCharType="begin">
                <w:ffData>
                  <w:name w:val="Text150"/>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1"/>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收款账号/证券资金台帐：</w:t>
            </w:r>
            <w:bookmarkStart w:id="132" w:name="Text151"/>
            <w:r>
              <w:rPr>
                <w:rFonts w:hint="eastAsia" w:ascii="宋体" w:hAnsi="宋体" w:cs="宋体"/>
                <w:kern w:val="0"/>
                <w:sz w:val="24"/>
                <w:highlight w:val="none"/>
              </w:rPr>
              <w:fldChar w:fldCharType="begin">
                <w:ffData>
                  <w:name w:val="Text151"/>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2"/>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开户银行/开户证券公司：</w:t>
            </w:r>
            <w:bookmarkStart w:id="133" w:name="Text153"/>
            <w:r>
              <w:rPr>
                <w:rFonts w:hint="eastAsia" w:ascii="宋体" w:hAnsi="宋体" w:cs="宋体"/>
                <w:kern w:val="0"/>
                <w:sz w:val="24"/>
                <w:highlight w:val="none"/>
              </w:rPr>
              <w:fldChar w:fldCharType="begin">
                <w:ffData>
                  <w:name w:val="Text153"/>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3"/>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对方银行电子联行号（非必填项）：</w:t>
            </w:r>
            <w:bookmarkStart w:id="134" w:name="Text154"/>
            <w:r>
              <w:rPr>
                <w:rFonts w:hint="eastAsia" w:ascii="宋体" w:hAnsi="宋体" w:cs="宋体"/>
                <w:kern w:val="0"/>
                <w:sz w:val="24"/>
                <w:highlight w:val="none"/>
              </w:rPr>
              <w:fldChar w:fldCharType="begin">
                <w:ffData>
                  <w:name w:val="Text154"/>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4"/>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资金用途（限15个字以内）：</w:t>
            </w:r>
            <w:bookmarkStart w:id="135" w:name="Text155"/>
            <w:r>
              <w:rPr>
                <w:rFonts w:hint="eastAsia" w:ascii="宋体" w:hAnsi="宋体" w:cs="宋体"/>
                <w:kern w:val="0"/>
                <w:sz w:val="24"/>
                <w:highlight w:val="none"/>
              </w:rPr>
              <w:fldChar w:fldCharType="begin">
                <w:ffData>
                  <w:name w:val="Text155"/>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5"/>
          </w:p>
        </w:tc>
      </w:tr>
      <w:tr>
        <w:tblPrEx>
          <w:tblCellMar>
            <w:top w:w="0" w:type="dxa"/>
            <w:left w:w="108" w:type="dxa"/>
            <w:bottom w:w="0" w:type="dxa"/>
            <w:right w:w="108" w:type="dxa"/>
          </w:tblCellMar>
        </w:tblPrEx>
        <w:trPr>
          <w:trHeight w:val="480"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备注：</w:t>
            </w:r>
            <w:bookmarkStart w:id="136" w:name="Text156"/>
            <w:r>
              <w:rPr>
                <w:rFonts w:hint="eastAsia" w:ascii="宋体" w:hAnsi="宋体" w:cs="宋体"/>
                <w:kern w:val="0"/>
                <w:sz w:val="24"/>
                <w:highlight w:val="none"/>
              </w:rPr>
              <w:fldChar w:fldCharType="begin">
                <w:ffData>
                  <w:name w:val="Text156"/>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6"/>
            <w:r>
              <w:rPr>
                <w:rFonts w:hint="eastAsia" w:ascii="宋体" w:hAnsi="宋体" w:cs="宋体"/>
                <w:kern w:val="0"/>
                <w:sz w:val="24"/>
                <w:highlight w:val="none"/>
              </w:rPr>
              <w:t xml:space="preserve"> 附件</w:t>
            </w:r>
            <w:bookmarkStart w:id="137" w:name="Text157"/>
            <w:r>
              <w:rPr>
                <w:rFonts w:hint="eastAsia" w:ascii="宋体" w:hAnsi="宋体" w:cs="宋体"/>
                <w:kern w:val="0"/>
                <w:sz w:val="24"/>
                <w:highlight w:val="none"/>
              </w:rPr>
              <w:fldChar w:fldCharType="begin">
                <w:ffData>
                  <w:name w:val="Text157"/>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7"/>
            <w:r>
              <w:rPr>
                <w:rFonts w:hint="eastAsia" w:ascii="宋体" w:hAnsi="宋体" w:cs="宋体"/>
                <w:kern w:val="0"/>
                <w:sz w:val="24"/>
                <w:highlight w:val="none"/>
              </w:rPr>
              <w:t>张     □ 加急   □ 银证转账   □证银转账</w:t>
            </w:r>
          </w:p>
        </w:tc>
      </w:tr>
      <w:tr>
        <w:tblPrEx>
          <w:tblCellMar>
            <w:top w:w="0" w:type="dxa"/>
            <w:left w:w="108" w:type="dxa"/>
            <w:bottom w:w="0" w:type="dxa"/>
            <w:right w:w="108" w:type="dxa"/>
          </w:tblCellMar>
        </w:tblPrEx>
        <w:trPr>
          <w:trHeight w:val="424" w:hRule="atLeast"/>
        </w:trPr>
        <w:tc>
          <w:tcPr>
            <w:tcW w:w="4011"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24"/>
                <w:highlight w:val="none"/>
              </w:rPr>
            </w:pPr>
            <w:r>
              <w:rPr>
                <w:rFonts w:hint="eastAsia" w:ascii="宋体" w:hAnsi="宋体" w:cs="宋体"/>
                <w:kern w:val="0"/>
                <w:sz w:val="24"/>
                <w:highlight w:val="none"/>
              </w:rPr>
              <w:t>预留印鉴：</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经办人：</w:t>
            </w:r>
            <w:bookmarkStart w:id="138" w:name="Text158"/>
            <w:r>
              <w:rPr>
                <w:rFonts w:hint="eastAsia" w:ascii="宋体" w:hAnsi="宋体" w:cs="宋体"/>
                <w:kern w:val="0"/>
                <w:sz w:val="24"/>
                <w:highlight w:val="none"/>
              </w:rPr>
              <w:fldChar w:fldCharType="begin">
                <w:ffData>
                  <w:name w:val="Text158"/>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8"/>
          </w:p>
        </w:tc>
      </w:tr>
      <w:tr>
        <w:tblPrEx>
          <w:tblCellMar>
            <w:top w:w="0" w:type="dxa"/>
            <w:left w:w="108" w:type="dxa"/>
            <w:bottom w:w="0" w:type="dxa"/>
            <w:right w:w="108" w:type="dxa"/>
          </w:tblCellMar>
        </w:tblPrEx>
        <w:trPr>
          <w:trHeight w:val="424" w:hRule="atLeast"/>
        </w:trPr>
        <w:tc>
          <w:tcPr>
            <w:tcW w:w="4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highlight w:val="none"/>
              </w:rPr>
            </w:pP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复核人：</w:t>
            </w:r>
            <w:bookmarkStart w:id="139" w:name="Text159"/>
            <w:r>
              <w:rPr>
                <w:rFonts w:hint="eastAsia" w:ascii="宋体" w:hAnsi="宋体" w:cs="宋体"/>
                <w:kern w:val="0"/>
                <w:sz w:val="24"/>
                <w:highlight w:val="none"/>
              </w:rPr>
              <w:fldChar w:fldCharType="begin">
                <w:ffData>
                  <w:name w:val="Text159"/>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39"/>
          </w:p>
        </w:tc>
      </w:tr>
      <w:tr>
        <w:tblPrEx>
          <w:tblCellMar>
            <w:top w:w="0" w:type="dxa"/>
            <w:left w:w="108" w:type="dxa"/>
            <w:bottom w:w="0" w:type="dxa"/>
            <w:right w:w="108" w:type="dxa"/>
          </w:tblCellMar>
        </w:tblPrEx>
        <w:trPr>
          <w:trHeight w:val="424" w:hRule="atLeast"/>
        </w:trPr>
        <w:tc>
          <w:tcPr>
            <w:tcW w:w="4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highlight w:val="none"/>
              </w:rPr>
            </w:pP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签发人：</w:t>
            </w:r>
            <w:bookmarkStart w:id="140" w:name="Text160"/>
            <w:r>
              <w:rPr>
                <w:rFonts w:hint="eastAsia" w:ascii="宋体" w:hAnsi="宋体" w:cs="宋体"/>
                <w:kern w:val="0"/>
                <w:sz w:val="24"/>
                <w:highlight w:val="none"/>
              </w:rPr>
              <w:fldChar w:fldCharType="begin">
                <w:ffData>
                  <w:name w:val="Text160"/>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0"/>
          </w:p>
        </w:tc>
      </w:tr>
      <w:tr>
        <w:tblPrEx>
          <w:tblCellMar>
            <w:top w:w="0" w:type="dxa"/>
            <w:left w:w="108" w:type="dxa"/>
            <w:bottom w:w="0" w:type="dxa"/>
            <w:right w:w="108" w:type="dxa"/>
          </w:tblCellMar>
        </w:tblPrEx>
        <w:trPr>
          <w:trHeight w:val="795" w:hRule="atLeast"/>
        </w:trPr>
        <w:tc>
          <w:tcPr>
            <w:tcW w:w="4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highlight w:val="none"/>
              </w:rPr>
            </w:pP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424" w:hRule="atLeast"/>
        </w:trPr>
        <w:tc>
          <w:tcPr>
            <w:tcW w:w="40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托管银行核算经办：</w:t>
            </w:r>
            <w:bookmarkStart w:id="141" w:name="Text162"/>
            <w:r>
              <w:rPr>
                <w:rFonts w:hint="eastAsia" w:ascii="宋体" w:hAnsi="宋体" w:cs="宋体"/>
                <w:kern w:val="0"/>
                <w:sz w:val="24"/>
                <w:highlight w:val="none"/>
              </w:rPr>
              <w:fldChar w:fldCharType="begin">
                <w:ffData>
                  <w:name w:val="Text162"/>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1"/>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投资监督：</w:t>
            </w:r>
            <w:bookmarkStart w:id="142" w:name="Text161"/>
            <w:r>
              <w:rPr>
                <w:rFonts w:hint="eastAsia" w:ascii="宋体" w:hAnsi="宋体" w:cs="宋体"/>
                <w:kern w:val="0"/>
                <w:sz w:val="24"/>
                <w:highlight w:val="none"/>
              </w:rPr>
              <w:fldChar w:fldCharType="begin">
                <w:ffData>
                  <w:name w:val="Text161"/>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2"/>
          </w:p>
        </w:tc>
      </w:tr>
      <w:tr>
        <w:tblPrEx>
          <w:tblCellMar>
            <w:top w:w="0" w:type="dxa"/>
            <w:left w:w="108" w:type="dxa"/>
            <w:bottom w:w="0" w:type="dxa"/>
            <w:right w:w="108" w:type="dxa"/>
          </w:tblCellMar>
        </w:tblPrEx>
        <w:trPr>
          <w:trHeight w:val="424" w:hRule="atLeast"/>
        </w:trPr>
        <w:tc>
          <w:tcPr>
            <w:tcW w:w="40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托管银行核算复核：</w:t>
            </w:r>
            <w:bookmarkStart w:id="143" w:name="Text163"/>
            <w:r>
              <w:rPr>
                <w:rFonts w:hint="eastAsia" w:ascii="宋体" w:hAnsi="宋体" w:cs="宋体"/>
                <w:kern w:val="0"/>
                <w:sz w:val="24"/>
                <w:highlight w:val="none"/>
              </w:rPr>
              <w:fldChar w:fldCharType="begin">
                <w:ffData>
                  <w:name w:val="Text163"/>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3"/>
          </w:p>
        </w:tc>
        <w:tc>
          <w:tcPr>
            <w:tcW w:w="3808"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highlight w:val="none"/>
                <w:lang w:val="en-US" w:eastAsia="zh-CN"/>
              </w:rPr>
            </w:pPr>
            <w:bookmarkStart w:id="144" w:name="Text167"/>
            <w:r>
              <w:rPr>
                <w:rFonts w:hint="eastAsia" w:ascii="宋体" w:hAnsi="宋体" w:eastAsia="宋体" w:cs="宋体"/>
                <w:kern w:val="0"/>
                <w:sz w:val="24"/>
                <w:highlight w:val="none"/>
                <w:lang w:val="en-US" w:eastAsia="zh-CN"/>
              </w:rPr>
              <w:fldChar w:fldCharType="begin">
                <w:ffData>
                  <w:name w:val="Text167"/>
                  <w:enabled/>
                  <w:calcOnExit w:val="0"/>
                  <w:textInput/>
                </w:ffData>
              </w:fldChar>
            </w:r>
            <w:r>
              <w:rPr>
                <w:rFonts w:hint="eastAsia" w:ascii="宋体" w:hAnsi="宋体" w:eastAsia="宋体" w:cs="宋体"/>
                <w:kern w:val="0"/>
                <w:sz w:val="24"/>
                <w:highlight w:val="none"/>
                <w:lang w:val="en-US" w:eastAsia="zh-CN"/>
              </w:rPr>
              <w:instrText xml:space="preserve">FORMTEXT</w:instrText>
            </w:r>
            <w:r>
              <w:rPr>
                <w:rFonts w:hint="eastAsia" w:ascii="宋体" w:hAnsi="宋体" w:eastAsia="宋体" w:cs="宋体"/>
                <w:kern w:val="0"/>
                <w:sz w:val="24"/>
                <w:highlight w:val="none"/>
                <w:lang w:val="en-US" w:eastAsia="zh-CN"/>
              </w:rPr>
              <w:fldChar w:fldCharType="separate"/>
            </w:r>
            <w:r>
              <w:rPr>
                <w:rFonts w:hint="default" w:ascii="宋体" w:hAnsi="宋体" w:eastAsia="宋体" w:cs="宋体"/>
                <w:kern w:val="0"/>
                <w:sz w:val="24"/>
                <w:highlight w:val="none"/>
                <w:lang w:val="en-US" w:eastAsia="zh-CN"/>
              </w:rPr>
              <w:t>     </w:t>
            </w:r>
            <w:r>
              <w:rPr>
                <w:rFonts w:hint="eastAsia" w:ascii="宋体" w:hAnsi="宋体" w:eastAsia="宋体" w:cs="宋体"/>
                <w:kern w:val="0"/>
                <w:sz w:val="24"/>
                <w:highlight w:val="none"/>
                <w:lang w:val="en-US" w:eastAsia="zh-CN"/>
              </w:rPr>
              <w:fldChar w:fldCharType="end"/>
            </w:r>
            <w:bookmarkEnd w:id="144"/>
          </w:p>
        </w:tc>
      </w:tr>
      <w:tr>
        <w:tblPrEx>
          <w:tblCellMar>
            <w:top w:w="0" w:type="dxa"/>
            <w:left w:w="108" w:type="dxa"/>
            <w:bottom w:w="0" w:type="dxa"/>
            <w:right w:w="108" w:type="dxa"/>
          </w:tblCellMar>
        </w:tblPrEx>
        <w:trPr>
          <w:trHeight w:val="424" w:hRule="atLeast"/>
        </w:trPr>
        <w:tc>
          <w:tcPr>
            <w:tcW w:w="40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托管银行清算经办：</w:t>
            </w:r>
            <w:bookmarkStart w:id="145" w:name="Text164"/>
            <w:r>
              <w:rPr>
                <w:rFonts w:hint="eastAsia" w:ascii="宋体" w:hAnsi="宋体" w:cs="宋体"/>
                <w:kern w:val="0"/>
                <w:sz w:val="24"/>
                <w:highlight w:val="none"/>
              </w:rPr>
              <w:fldChar w:fldCharType="begin">
                <w:ffData>
                  <w:name w:val="Text164"/>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5"/>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托管银行部门负责人：</w:t>
            </w:r>
            <w:bookmarkStart w:id="146" w:name="Text166"/>
            <w:r>
              <w:rPr>
                <w:rFonts w:hint="eastAsia" w:ascii="宋体" w:hAnsi="宋体" w:cs="宋体"/>
                <w:kern w:val="0"/>
                <w:sz w:val="24"/>
                <w:highlight w:val="none"/>
              </w:rPr>
              <w:fldChar w:fldCharType="begin">
                <w:ffData>
                  <w:name w:val="Text166"/>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6"/>
          </w:p>
        </w:tc>
      </w:tr>
      <w:tr>
        <w:tblPrEx>
          <w:tblCellMar>
            <w:top w:w="0" w:type="dxa"/>
            <w:left w:w="108" w:type="dxa"/>
            <w:bottom w:w="0" w:type="dxa"/>
            <w:right w:w="108" w:type="dxa"/>
          </w:tblCellMar>
        </w:tblPrEx>
        <w:trPr>
          <w:trHeight w:val="424" w:hRule="atLeast"/>
        </w:trPr>
        <w:tc>
          <w:tcPr>
            <w:tcW w:w="40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托管银行清算审批：</w:t>
            </w:r>
            <w:bookmarkStart w:id="147" w:name="Text165"/>
            <w:r>
              <w:rPr>
                <w:rFonts w:hint="eastAsia" w:ascii="宋体" w:hAnsi="宋体" w:cs="宋体"/>
                <w:kern w:val="0"/>
                <w:sz w:val="24"/>
                <w:highlight w:val="none"/>
              </w:rPr>
              <w:fldChar w:fldCharType="begin">
                <w:ffData>
                  <w:name w:val="Text165"/>
                  <w:enabled/>
                  <w:calcOnExit w:val="0"/>
                  <w:textInput/>
                </w:ffData>
              </w:fldChar>
            </w:r>
            <w:r>
              <w:rPr>
                <w:rFonts w:hint="eastAsia" w:ascii="宋体" w:hAnsi="宋体" w:cs="宋体"/>
                <w:kern w:val="0"/>
                <w:sz w:val="24"/>
                <w:highlight w:val="none"/>
              </w:rPr>
              <w:instrText xml:space="preserve">FORMTEXT</w:instrText>
            </w:r>
            <w:r>
              <w:rPr>
                <w:rFonts w:hint="eastAsia" w:ascii="宋体" w:hAnsi="宋体" w:cs="宋体"/>
                <w:kern w:val="0"/>
                <w:sz w:val="24"/>
                <w:highlight w:val="none"/>
              </w:rPr>
              <w:fldChar w:fldCharType="separate"/>
            </w:r>
            <w:r>
              <w:rPr>
                <w:rFonts w:hint="default" w:ascii="宋体" w:hAnsi="宋体" w:cs="宋体"/>
                <w:kern w:val="0"/>
                <w:sz w:val="24"/>
                <w:highlight w:val="none"/>
                <w:lang w:val="en-US"/>
              </w:rPr>
              <w:t>     </w:t>
            </w:r>
            <w:r>
              <w:rPr>
                <w:rFonts w:hint="eastAsia" w:ascii="宋体" w:hAnsi="宋体" w:cs="宋体"/>
                <w:kern w:val="0"/>
                <w:sz w:val="24"/>
                <w:highlight w:val="none"/>
              </w:rPr>
              <w:fldChar w:fldCharType="end"/>
            </w:r>
            <w:bookmarkEnd w:id="147"/>
          </w:p>
        </w:tc>
        <w:tc>
          <w:tcPr>
            <w:tcW w:w="3808"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highlight w:val="none"/>
                <w:lang w:val="en-US" w:eastAsia="zh-CN"/>
              </w:rPr>
            </w:pPr>
            <w:bookmarkStart w:id="148" w:name="Text168"/>
            <w:r>
              <w:rPr>
                <w:rFonts w:hint="eastAsia" w:ascii="宋体" w:hAnsi="宋体" w:eastAsia="宋体" w:cs="宋体"/>
                <w:kern w:val="0"/>
                <w:sz w:val="24"/>
                <w:highlight w:val="none"/>
                <w:lang w:val="en-US" w:eastAsia="zh-CN"/>
              </w:rPr>
              <w:fldChar w:fldCharType="begin">
                <w:ffData>
                  <w:name w:val="Text168"/>
                  <w:enabled/>
                  <w:calcOnExit w:val="0"/>
                  <w:textInput/>
                </w:ffData>
              </w:fldChar>
            </w:r>
            <w:r>
              <w:rPr>
                <w:rFonts w:hint="eastAsia" w:ascii="宋体" w:hAnsi="宋体" w:eastAsia="宋体" w:cs="宋体"/>
                <w:kern w:val="0"/>
                <w:sz w:val="24"/>
                <w:highlight w:val="none"/>
                <w:lang w:val="en-US" w:eastAsia="zh-CN"/>
              </w:rPr>
              <w:instrText xml:space="preserve">FORMTEXT</w:instrText>
            </w:r>
            <w:r>
              <w:rPr>
                <w:rFonts w:hint="eastAsia" w:ascii="宋体" w:hAnsi="宋体" w:eastAsia="宋体" w:cs="宋体"/>
                <w:kern w:val="0"/>
                <w:sz w:val="24"/>
                <w:highlight w:val="none"/>
                <w:lang w:val="en-US" w:eastAsia="zh-CN"/>
              </w:rPr>
              <w:fldChar w:fldCharType="separate"/>
            </w:r>
            <w:r>
              <w:rPr>
                <w:rFonts w:hint="default" w:ascii="宋体" w:hAnsi="宋体" w:eastAsia="宋体" w:cs="宋体"/>
                <w:kern w:val="0"/>
                <w:sz w:val="24"/>
                <w:highlight w:val="none"/>
                <w:lang w:val="en-US" w:eastAsia="zh-CN"/>
              </w:rPr>
              <w:t>     </w:t>
            </w:r>
            <w:r>
              <w:rPr>
                <w:rFonts w:hint="eastAsia" w:ascii="宋体" w:hAnsi="宋体" w:eastAsia="宋体" w:cs="宋体"/>
                <w:kern w:val="0"/>
                <w:sz w:val="24"/>
                <w:highlight w:val="none"/>
                <w:lang w:val="en-US" w:eastAsia="zh-CN"/>
              </w:rPr>
              <w:fldChar w:fldCharType="end"/>
            </w:r>
            <w:bookmarkEnd w:id="148"/>
          </w:p>
        </w:tc>
      </w:tr>
      <w:tr>
        <w:tblPrEx>
          <w:tblCellMar>
            <w:top w:w="0" w:type="dxa"/>
            <w:left w:w="108" w:type="dxa"/>
            <w:bottom w:w="0" w:type="dxa"/>
            <w:right w:w="108" w:type="dxa"/>
          </w:tblCellMar>
        </w:tblPrEx>
        <w:trPr>
          <w:trHeight w:val="495" w:hRule="atLeast"/>
        </w:trPr>
        <w:tc>
          <w:tcPr>
            <w:tcW w:w="7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highlight w:val="none"/>
              </w:rPr>
            </w:pPr>
            <w:r>
              <w:rPr>
                <w:rFonts w:hint="eastAsia" w:ascii="宋体" w:hAnsi="宋体" w:cs="宋体"/>
                <w:kern w:val="0"/>
                <w:sz w:val="24"/>
                <w:highlight w:val="none"/>
              </w:rPr>
              <w:t>传真标识：已传真 □</w:t>
            </w:r>
          </w:p>
        </w:tc>
      </w:tr>
    </w:tbl>
    <w:p>
      <w:pPr>
        <w:rPr>
          <w:rFonts w:ascii="宋体" w:hAnsi="宋体"/>
          <w:bCs/>
          <w:kern w:val="0"/>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jc w:val="left"/>
        <w:outlineLvl w:val="0"/>
        <w:rPr>
          <w:rFonts w:ascii="仿宋" w:hAnsi="仿宋" w:eastAsia="仿宋"/>
          <w:b/>
          <w:sz w:val="30"/>
          <w:szCs w:val="30"/>
          <w:highlight w:val="none"/>
        </w:rPr>
      </w:pPr>
      <w:r>
        <w:rPr>
          <w:rFonts w:hint="eastAsia" w:ascii="仿宋" w:hAnsi="仿宋" w:eastAsia="仿宋"/>
          <w:b/>
          <w:sz w:val="30"/>
          <w:szCs w:val="30"/>
          <w:highlight w:val="none"/>
        </w:rPr>
        <w:t>附件四</w:t>
      </w:r>
    </w:p>
    <w:p>
      <w:pPr>
        <w:jc w:val="center"/>
        <w:outlineLvl w:val="0"/>
        <w:rPr>
          <w:rFonts w:ascii="仿宋" w:hAnsi="仿宋" w:eastAsia="仿宋"/>
          <w:b/>
          <w:sz w:val="28"/>
          <w:szCs w:val="28"/>
          <w:highlight w:val="none"/>
        </w:rPr>
      </w:pPr>
      <w:r>
        <w:rPr>
          <w:rFonts w:hint="eastAsia" w:ascii="仿宋" w:hAnsi="仿宋" w:eastAsia="仿宋"/>
          <w:b/>
          <w:sz w:val="28"/>
          <w:szCs w:val="28"/>
          <w:highlight w:val="none"/>
        </w:rPr>
        <w:t>北银理财有限责任公司理财产品</w:t>
      </w:r>
    </w:p>
    <w:p>
      <w:pPr>
        <w:jc w:val="center"/>
        <w:outlineLvl w:val="0"/>
        <w:rPr>
          <w:rFonts w:ascii="宋体" w:hAnsi="宋体"/>
          <w:b/>
          <w:sz w:val="24"/>
          <w:highlight w:val="none"/>
        </w:rPr>
      </w:pPr>
      <w:r>
        <w:rPr>
          <w:rFonts w:hint="eastAsia" w:ascii="仿宋" w:hAnsi="仿宋" w:eastAsia="仿宋"/>
          <w:b/>
          <w:sz w:val="28"/>
          <w:szCs w:val="28"/>
          <w:highlight w:val="none"/>
        </w:rPr>
        <w:t>投资监督事项表</w:t>
      </w:r>
    </w:p>
    <w:p>
      <w:pPr>
        <w:rPr>
          <w:rFonts w:ascii="宋体" w:hAnsi="宋体"/>
          <w:b/>
          <w:sz w:val="24"/>
          <w:highlight w:val="none"/>
        </w:rPr>
      </w:pPr>
      <w:r>
        <w:rPr>
          <w:rFonts w:hint="eastAsia" w:ascii="宋体" w:hAnsi="宋体"/>
          <w:b/>
          <w:sz w:val="24"/>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highlight w:val="none"/>
              </w:rPr>
            </w:pPr>
          </w:p>
          <w:p>
            <w:pPr>
              <w:jc w:val="center"/>
              <w:rPr>
                <w:rFonts w:ascii="仿宋" w:hAnsi="仿宋" w:eastAsia="仿宋"/>
                <w:highlight w:val="none"/>
              </w:rPr>
            </w:pPr>
          </w:p>
          <w:p>
            <w:pPr>
              <w:jc w:val="center"/>
              <w:rPr>
                <w:rFonts w:ascii="仿宋" w:hAnsi="仿宋" w:eastAsia="仿宋"/>
                <w:highlight w:val="none"/>
              </w:rPr>
            </w:pPr>
          </w:p>
          <w:p>
            <w:pPr>
              <w:jc w:val="center"/>
              <w:rPr>
                <w:rFonts w:ascii="仿宋" w:hAnsi="仿宋" w:eastAsia="仿宋"/>
                <w:highlight w:val="none"/>
              </w:rPr>
            </w:pPr>
            <w:r>
              <w:rPr>
                <w:rFonts w:hint="eastAsia" w:ascii="仿宋" w:hAnsi="仿宋" w:eastAsia="仿宋"/>
                <w:highlight w:val="none"/>
              </w:rPr>
              <w:t>投资监督依据</w:t>
            </w:r>
          </w:p>
          <w:p>
            <w:pPr>
              <w:jc w:val="center"/>
              <w:rPr>
                <w:rFonts w:ascii="仿宋" w:hAnsi="仿宋" w:eastAsia="仿宋"/>
                <w:b/>
                <w:highlight w:val="none"/>
              </w:rPr>
            </w:pPr>
          </w:p>
        </w:tc>
        <w:tc>
          <w:tcPr>
            <w:tcW w:w="6883" w:type="dxa"/>
            <w:tcBorders>
              <w:top w:val="single" w:color="auto" w:sz="4" w:space="0"/>
              <w:left w:val="nil"/>
              <w:bottom w:val="single" w:color="auto" w:sz="4" w:space="0"/>
              <w:right w:val="single" w:color="auto" w:sz="4" w:space="0"/>
            </w:tcBorders>
            <w:vAlign w:val="center"/>
          </w:tcPr>
          <w:p>
            <w:pPr>
              <w:spacing w:line="500" w:lineRule="exact"/>
              <w:ind w:firstLine="420"/>
              <w:rPr>
                <w:rFonts w:ascii="仿宋" w:hAnsi="仿宋" w:eastAsia="仿宋"/>
                <w:highlight w:val="none"/>
              </w:rPr>
            </w:pPr>
            <w:r>
              <w:rPr>
                <w:rFonts w:hint="eastAsia" w:ascii="仿宋" w:hAnsi="仿宋" w:eastAsia="仿宋"/>
                <w:highlight w:val="none"/>
              </w:rPr>
              <w:t>甲方经与乙方协商后向乙方提供《投资监督事项表》，乙方根据事项表对甲方的投资范围、投资比例、投资限制进行监督。乙方依据每个估值核对日次日双方确认的估值表仅对直接投资进行投资监督。</w:t>
            </w:r>
          </w:p>
          <w:p>
            <w:pPr>
              <w:spacing w:line="500" w:lineRule="exact"/>
              <w:ind w:firstLine="420"/>
              <w:rPr>
                <w:rFonts w:ascii="仿宋" w:hAnsi="仿宋" w:eastAsia="仿宋"/>
                <w:highlight w:val="none"/>
              </w:rPr>
            </w:pPr>
            <w:r>
              <w:rPr>
                <w:rFonts w:hint="eastAsia" w:ascii="仿宋" w:hAnsi="仿宋" w:eastAsia="仿宋"/>
                <w:highlight w:val="none"/>
              </w:rPr>
              <w:t>在法律或监管机构的监管规则发生变化时，甲方与乙方协商一致后，可以对理财产品的投资范围、投资比例、投资限制进行调整，并将调整事项以书面形式通过双方认可的方式告知乙方，并应考虑乙方系统开发和测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highlight w:val="none"/>
              </w:rPr>
            </w:pPr>
            <w:r>
              <w:rPr>
                <w:rFonts w:hint="eastAsia" w:ascii="仿宋" w:hAnsi="仿宋" w:eastAsia="仿宋"/>
                <w:highlight w:val="none"/>
              </w:rPr>
              <w:t>运作监督事项</w:t>
            </w:r>
          </w:p>
          <w:p>
            <w:pPr>
              <w:jc w:val="center"/>
              <w:rPr>
                <w:rFonts w:ascii="仿宋" w:hAnsi="仿宋" w:eastAsia="仿宋"/>
                <w:b/>
                <w:highlight w:val="none"/>
              </w:rPr>
            </w:pPr>
          </w:p>
        </w:tc>
        <w:tc>
          <w:tcPr>
            <w:tcW w:w="6883" w:type="dxa"/>
            <w:tcBorders>
              <w:top w:val="single" w:color="auto" w:sz="4" w:space="0"/>
              <w:left w:val="nil"/>
              <w:bottom w:val="single" w:color="auto" w:sz="4" w:space="0"/>
              <w:right w:val="single" w:color="auto" w:sz="4" w:space="0"/>
            </w:tcBorders>
            <w:vAlign w:val="center"/>
          </w:tcPr>
          <w:p>
            <w:pPr>
              <w:pStyle w:val="5"/>
              <w:rPr>
                <w:rFonts w:hint="eastAsia" w:ascii="仿宋" w:hAnsi="仿宋" w:eastAsia="仿宋"/>
                <w:highlight w:val="none"/>
                <w:lang w:val="en-US" w:eastAsia="zh-CN"/>
              </w:rPr>
            </w:pPr>
            <w:bookmarkStart w:id="149" w:name="Text170"/>
            <w:r>
              <w:rPr>
                <w:rFonts w:hint="eastAsia" w:ascii="仿宋" w:hAnsi="仿宋" w:eastAsia="仿宋"/>
                <w:highlight w:val="none"/>
                <w:lang w:val="en-US" w:eastAsia="zh-CN"/>
              </w:rPr>
              <w:fldChar w:fldCharType="begin">
                <w:ffData>
                  <w:name w:val="Text170"/>
                  <w:enabled/>
                  <w:calcOnExit w:val="0"/>
                  <w:textInput/>
                </w:ffData>
              </w:fldChar>
            </w:r>
            <w:r>
              <w:rPr>
                <w:rFonts w:hint="eastAsia" w:ascii="仿宋" w:hAnsi="仿宋" w:eastAsia="仿宋"/>
                <w:highlight w:val="none"/>
                <w:lang w:val="en-US" w:eastAsia="zh-CN"/>
              </w:rPr>
              <w:instrText xml:space="preserve">FORMTEXT</w:instrText>
            </w:r>
            <w:r>
              <w:rPr>
                <w:rFonts w:hint="eastAsia" w:ascii="仿宋" w:hAnsi="仿宋" w:eastAsia="仿宋"/>
                <w:highlight w:val="none"/>
                <w:lang w:val="en-US" w:eastAsia="zh-CN"/>
              </w:rPr>
              <w:fldChar w:fldCharType="separate"/>
            </w:r>
            <w:r>
              <w:rPr>
                <w:rFonts w:hint="default" w:ascii="仿宋" w:hAnsi="仿宋" w:eastAsia="仿宋"/>
                <w:highlight w:val="none"/>
                <w:lang w:val="en-US" w:eastAsia="zh-CN"/>
              </w:rPr>
              <w:t>     </w:t>
            </w:r>
            <w:r>
              <w:rPr>
                <w:rFonts w:hint="eastAsia" w:ascii="仿宋" w:hAnsi="仿宋" w:eastAsia="仿宋"/>
                <w:highlight w:val="none"/>
                <w:lang w:val="en-US" w:eastAsia="zh-CN"/>
              </w:rPr>
              <w:fldChar w:fldCharType="end"/>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highlight w:val="none"/>
              </w:rPr>
            </w:pPr>
          </w:p>
          <w:p>
            <w:pPr>
              <w:jc w:val="center"/>
              <w:rPr>
                <w:rFonts w:ascii="仿宋" w:hAnsi="仿宋" w:eastAsia="仿宋"/>
                <w:highlight w:val="none"/>
              </w:rPr>
            </w:pPr>
          </w:p>
          <w:p>
            <w:pPr>
              <w:jc w:val="center"/>
              <w:rPr>
                <w:rFonts w:ascii="仿宋" w:hAnsi="仿宋" w:eastAsia="仿宋"/>
                <w:highlight w:val="none"/>
              </w:rPr>
            </w:pPr>
          </w:p>
          <w:p>
            <w:pPr>
              <w:jc w:val="center"/>
              <w:rPr>
                <w:rFonts w:ascii="仿宋" w:hAnsi="仿宋" w:eastAsia="仿宋"/>
                <w:highlight w:val="none"/>
              </w:rPr>
            </w:pPr>
            <w:r>
              <w:rPr>
                <w:rFonts w:hint="eastAsia" w:ascii="仿宋" w:hAnsi="仿宋" w:eastAsia="仿宋"/>
                <w:highlight w:val="none"/>
              </w:rPr>
              <w:t>投资监督声明</w:t>
            </w:r>
          </w:p>
          <w:p>
            <w:pPr>
              <w:jc w:val="center"/>
              <w:rPr>
                <w:rFonts w:ascii="仿宋" w:hAnsi="仿宋" w:eastAsia="仿宋"/>
                <w:b/>
                <w:highlight w:val="none"/>
              </w:rPr>
            </w:pPr>
          </w:p>
        </w:tc>
        <w:tc>
          <w:tcPr>
            <w:tcW w:w="6883" w:type="dxa"/>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highlight w:val="none"/>
              </w:rPr>
            </w:pPr>
            <w:r>
              <w:rPr>
                <w:rFonts w:hint="eastAsia" w:ascii="仿宋" w:hAnsi="仿宋" w:eastAsia="仿宋"/>
                <w:highlight w:val="none"/>
              </w:rPr>
              <w:t xml:space="preserve">    1.经甲方确认同意，乙方投资监督的及时性、准确性和完整性受限于甲方、投资顾问、证券经纪商以及其他中介机构提供的数据和信息，合规投资的最终责任在甲方，乙方对这些机构信息的及时性、准确性和完整性不作任何担保、暗示或表示。如因上述机构提供信息的真实性、准确性和完整性存在瑕疵而所引发的损失，乙方不承担任何责任。</w:t>
            </w:r>
          </w:p>
          <w:p>
            <w:pPr>
              <w:spacing w:line="500" w:lineRule="exact"/>
              <w:rPr>
                <w:rFonts w:ascii="仿宋" w:hAnsi="仿宋" w:eastAsia="仿宋"/>
                <w:highlight w:val="none"/>
              </w:rPr>
            </w:pPr>
            <w:r>
              <w:rPr>
                <w:rFonts w:hint="eastAsia" w:ascii="仿宋" w:hAnsi="仿宋" w:eastAsia="仿宋"/>
                <w:highlight w:val="none"/>
              </w:rPr>
              <w:t xml:space="preserve">    2.乙方不对甲方的任何投资行为承担责任。乙方不因提供投资监督提示函而承担任何因甲方违规投资所产生的有关责任，也没有义务去采取任何手段回应任何与投资监督提示函有关的信息和报道。但如收到甲方的书面函件，乙方将就投资监督提示函所述的违规行为提供有关资料。</w:t>
            </w:r>
          </w:p>
          <w:p>
            <w:pPr>
              <w:spacing w:line="500" w:lineRule="exact"/>
              <w:rPr>
                <w:rFonts w:ascii="仿宋" w:hAnsi="仿宋" w:eastAsia="仿宋"/>
                <w:highlight w:val="none"/>
              </w:rPr>
            </w:pPr>
            <w:r>
              <w:rPr>
                <w:rFonts w:hint="eastAsia" w:ascii="仿宋" w:hAnsi="仿宋" w:eastAsia="仿宋"/>
                <w:highlight w:val="none"/>
              </w:rPr>
              <w:t xml:space="preserve">    3.甲方负责关联交易的报告和披露。乙方依照甲方提供的关联方名单履行监督职责，</w:t>
            </w:r>
            <w:r>
              <w:rPr>
                <w:rFonts w:hint="eastAsia" w:ascii="仿宋" w:hAnsi="仿宋" w:eastAsia="仿宋"/>
                <w:highlight w:val="none"/>
                <w:lang w:val="en-US" w:eastAsia="zh-CN"/>
              </w:rPr>
              <w:t>甲方</w:t>
            </w:r>
            <w:r>
              <w:rPr>
                <w:rFonts w:hint="eastAsia" w:ascii="仿宋" w:hAnsi="仿宋" w:eastAsia="仿宋"/>
                <w:highlight w:val="none"/>
              </w:rPr>
              <w:t>应主动定期更新名单，由于甲方未按照相关规定提供关联方名单而造成的违规交易，乙方不承担责任。</w:t>
            </w:r>
          </w:p>
          <w:p>
            <w:pPr>
              <w:spacing w:line="500" w:lineRule="exact"/>
              <w:rPr>
                <w:rFonts w:ascii="仿宋" w:hAnsi="仿宋" w:eastAsia="仿宋"/>
                <w:highlight w:val="none"/>
              </w:rPr>
            </w:pPr>
            <w:r>
              <w:rPr>
                <w:rFonts w:hint="eastAsia" w:ascii="仿宋" w:hAnsi="仿宋" w:eastAsia="仿宋"/>
                <w:highlight w:val="none"/>
              </w:rPr>
              <w:t xml:space="preserve">    4.乙方不对本理财产品运作过程中触及预警、止损线的减仓或平仓行为承担监督职责。</w:t>
            </w:r>
          </w:p>
        </w:tc>
      </w:tr>
    </w:tbl>
    <w:p>
      <w:pPr>
        <w:jc w:val="left"/>
        <w:rPr>
          <w:rFonts w:ascii="仿宋" w:hAnsi="仿宋" w:eastAsia="仿宋"/>
          <w:szCs w:val="21"/>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（此页无正文，为《北银理财有限责任公司理财产品投资监督事项表》签署页）</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pStyle w:val="36"/>
        <w:widowControl/>
        <w:rPr>
          <w:highlight w:val="none"/>
        </w:rPr>
      </w:pPr>
      <w:r>
        <w:rPr>
          <w:rFonts w:hint="eastAsia"/>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甲方：</w:t>
      </w:r>
      <w:bookmarkStart w:id="150" w:name="Text179"/>
      <w:r>
        <w:rPr>
          <w:rFonts w:hint="eastAsia" w:ascii="仿宋" w:hAnsi="仿宋" w:eastAsia="仿宋" w:cs="Times New Roman"/>
          <w:kern w:val="2"/>
          <w:sz w:val="21"/>
          <w:szCs w:val="24"/>
          <w:highlight w:val="none"/>
          <w:lang w:val="en-US" w:eastAsia="zh-CN" w:bidi="ar-SA"/>
        </w:rPr>
        <w:fldChar w:fldCharType="begin">
          <w:ffData>
            <w:name w:val="Text179"/>
            <w:enabled/>
            <w:calcOnExit w:val="0"/>
            <w:textInput>
              <w:default w:val="北银理财有限责任公司"/>
            </w:textInput>
          </w:ffData>
        </w:fldChar>
      </w:r>
      <w:r>
        <w:rPr>
          <w:rFonts w:hint="eastAsia" w:ascii="仿宋" w:hAnsi="仿宋" w:eastAsia="仿宋" w:cs="Times New Roman"/>
          <w:kern w:val="2"/>
          <w:sz w:val="21"/>
          <w:szCs w:val="24"/>
          <w:highlight w:val="none"/>
          <w:lang w:val="en-US" w:eastAsia="zh-CN" w:bidi="ar-SA"/>
        </w:rPr>
        <w:instrText xml:space="preserve">FORMTEXT</w:instrText>
      </w:r>
      <w:r>
        <w:rPr>
          <w:rFonts w:hint="eastAsia" w:ascii="仿宋" w:hAnsi="仿宋" w:eastAsia="仿宋" w:cs="Times New Roman"/>
          <w:kern w:val="2"/>
          <w:sz w:val="21"/>
          <w:szCs w:val="24"/>
          <w:highlight w:val="none"/>
          <w:lang w:val="en-US" w:eastAsia="zh-CN" w:bidi="ar-SA"/>
        </w:rPr>
        <w:fldChar w:fldCharType="separate"/>
      </w:r>
      <w:r>
        <w:rPr>
          <w:rFonts w:hint="eastAsia" w:ascii="仿宋" w:hAnsi="仿宋" w:eastAsia="仿宋" w:cs="Times New Roman"/>
          <w:kern w:val="2"/>
          <w:sz w:val="21"/>
          <w:szCs w:val="24"/>
          <w:highlight w:val="none"/>
          <w:lang w:val="en-US" w:eastAsia="zh-CN" w:bidi="ar-SA"/>
        </w:rPr>
        <w:t>北银理财有限责任公司</w:t>
      </w:r>
      <w:r>
        <w:rPr>
          <w:rFonts w:hint="eastAsia" w:ascii="仿宋" w:hAnsi="仿宋" w:eastAsia="仿宋" w:cs="Times New Roman"/>
          <w:kern w:val="2"/>
          <w:sz w:val="21"/>
          <w:szCs w:val="24"/>
          <w:highlight w:val="none"/>
          <w:lang w:val="en-US" w:eastAsia="zh-CN" w:bidi="ar-SA"/>
        </w:rPr>
        <w:fldChar w:fldCharType="end"/>
      </w:r>
      <w:bookmarkEnd w:id="150"/>
      <w:r>
        <w:rPr>
          <w:rFonts w:hint="eastAsia" w:ascii="仿宋" w:hAnsi="仿宋" w:eastAsia="仿宋"/>
          <w:highlight w:val="none"/>
        </w:rPr>
        <w:t>（预留印鉴）</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bookmarkStart w:id="151" w:name="Text172"/>
      <w:r>
        <w:rPr>
          <w:rFonts w:hint="eastAsia" w:ascii="仿宋" w:hAnsi="仿宋" w:eastAsia="仿宋"/>
          <w:highlight w:val="none"/>
        </w:rPr>
        <w:fldChar w:fldCharType="begin">
          <w:ffData>
            <w:name w:val="Text172"/>
            <w:enabled/>
            <w:calcOnExit w:val="0"/>
            <w:textInput/>
          </w:ffData>
        </w:fldChar>
      </w:r>
      <w:r>
        <w:rPr>
          <w:rFonts w:hint="eastAsia" w:ascii="仿宋" w:hAnsi="仿宋" w:eastAsia="仿宋"/>
          <w:highlight w:val="none"/>
        </w:rPr>
        <w:instrText xml:space="preserve">FORMTEXT</w:instrText>
      </w:r>
      <w:r>
        <w:rPr>
          <w:rFonts w:hint="eastAsia" w:ascii="仿宋" w:hAnsi="仿宋" w:eastAsia="仿宋"/>
          <w:highlight w:val="none"/>
        </w:rPr>
        <w:fldChar w:fldCharType="separate"/>
      </w:r>
      <w:r>
        <w:rPr>
          <w:rFonts w:hint="default" w:ascii="仿宋" w:hAnsi="仿宋" w:eastAsia="仿宋"/>
          <w:highlight w:val="none"/>
          <w:lang w:val="en-US"/>
        </w:rPr>
        <w:t>     </w:t>
      </w:r>
      <w:r>
        <w:rPr>
          <w:rFonts w:hint="eastAsia" w:ascii="仿宋" w:hAnsi="仿宋" w:eastAsia="仿宋"/>
          <w:highlight w:val="none"/>
        </w:rPr>
        <w:fldChar w:fldCharType="end"/>
      </w:r>
      <w:bookmarkEnd w:id="151"/>
      <w:r>
        <w:rPr>
          <w:rFonts w:hint="eastAsia" w:ascii="仿宋" w:hAnsi="仿宋" w:eastAsia="仿宋"/>
          <w:highlight w:val="none"/>
        </w:rPr>
        <w:t>年</w:t>
      </w:r>
      <w:bookmarkStart w:id="152" w:name="Text173"/>
      <w:r>
        <w:rPr>
          <w:rFonts w:hint="eastAsia" w:ascii="仿宋" w:hAnsi="仿宋" w:eastAsia="仿宋"/>
          <w:highlight w:val="none"/>
        </w:rPr>
        <w:fldChar w:fldCharType="begin">
          <w:ffData>
            <w:name w:val="Text173"/>
            <w:enabled/>
            <w:calcOnExit w:val="0"/>
            <w:textInput/>
          </w:ffData>
        </w:fldChar>
      </w:r>
      <w:r>
        <w:rPr>
          <w:rFonts w:hint="eastAsia" w:ascii="仿宋" w:hAnsi="仿宋" w:eastAsia="仿宋"/>
          <w:highlight w:val="none"/>
        </w:rPr>
        <w:instrText xml:space="preserve">FORMTEXT</w:instrText>
      </w:r>
      <w:r>
        <w:rPr>
          <w:rFonts w:hint="eastAsia" w:ascii="仿宋" w:hAnsi="仿宋" w:eastAsia="仿宋"/>
          <w:highlight w:val="none"/>
        </w:rPr>
        <w:fldChar w:fldCharType="separate"/>
      </w:r>
      <w:r>
        <w:rPr>
          <w:rFonts w:hint="default" w:ascii="仿宋" w:hAnsi="仿宋" w:eastAsia="仿宋"/>
          <w:highlight w:val="none"/>
          <w:lang w:val="en-US"/>
        </w:rPr>
        <w:t>     </w:t>
      </w:r>
      <w:r>
        <w:rPr>
          <w:rFonts w:hint="eastAsia" w:ascii="仿宋" w:hAnsi="仿宋" w:eastAsia="仿宋"/>
          <w:highlight w:val="none"/>
        </w:rPr>
        <w:fldChar w:fldCharType="end"/>
      </w:r>
      <w:bookmarkEnd w:id="152"/>
      <w:r>
        <w:rPr>
          <w:rFonts w:hint="eastAsia" w:ascii="仿宋" w:hAnsi="仿宋" w:eastAsia="仿宋"/>
          <w:highlight w:val="none"/>
        </w:rPr>
        <w:t>月</w:t>
      </w:r>
      <w:bookmarkStart w:id="153" w:name="Text174"/>
      <w:r>
        <w:rPr>
          <w:rFonts w:hint="eastAsia" w:ascii="仿宋" w:hAnsi="仿宋" w:eastAsia="仿宋"/>
          <w:highlight w:val="none"/>
        </w:rPr>
        <w:fldChar w:fldCharType="begin">
          <w:ffData>
            <w:name w:val="Text174"/>
            <w:enabled/>
            <w:calcOnExit w:val="0"/>
            <w:textInput/>
          </w:ffData>
        </w:fldChar>
      </w:r>
      <w:r>
        <w:rPr>
          <w:rFonts w:hint="eastAsia" w:ascii="仿宋" w:hAnsi="仿宋" w:eastAsia="仿宋"/>
          <w:highlight w:val="none"/>
        </w:rPr>
        <w:instrText xml:space="preserve">FORMTEXT</w:instrText>
      </w:r>
      <w:r>
        <w:rPr>
          <w:rFonts w:hint="eastAsia" w:ascii="仿宋" w:hAnsi="仿宋" w:eastAsia="仿宋"/>
          <w:highlight w:val="none"/>
        </w:rPr>
        <w:fldChar w:fldCharType="separate"/>
      </w:r>
      <w:r>
        <w:rPr>
          <w:rFonts w:hint="default" w:ascii="仿宋" w:hAnsi="仿宋" w:eastAsia="仿宋"/>
          <w:highlight w:val="none"/>
          <w:lang w:val="en-US"/>
        </w:rPr>
        <w:t>     </w:t>
      </w:r>
      <w:r>
        <w:rPr>
          <w:rFonts w:hint="eastAsia" w:ascii="仿宋" w:hAnsi="仿宋" w:eastAsia="仿宋"/>
          <w:highlight w:val="none"/>
        </w:rPr>
        <w:fldChar w:fldCharType="end"/>
      </w:r>
      <w:bookmarkEnd w:id="153"/>
      <w:r>
        <w:rPr>
          <w:rFonts w:hint="eastAsia" w:ascii="仿宋" w:hAnsi="仿宋" w:eastAsia="仿宋"/>
          <w:highlight w:val="none"/>
        </w:rPr>
        <w:t>日</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pStyle w:val="36"/>
        <w:widowControl/>
        <w:rPr>
          <w:rFonts w:ascii="仿宋" w:hAnsi="仿宋" w:eastAsia="仿宋"/>
          <w:sz w:val="21"/>
          <w:szCs w:val="21"/>
          <w:highlight w:val="none"/>
        </w:rPr>
      </w:pPr>
      <w:r>
        <w:rPr>
          <w:rFonts w:hint="eastAsia" w:ascii="仿宋" w:hAnsi="仿宋" w:eastAsia="仿宋"/>
          <w:sz w:val="21"/>
          <w:szCs w:val="21"/>
          <w:highlight w:val="none"/>
        </w:rPr>
        <w:t xml:space="preserve"> </w:t>
      </w:r>
    </w:p>
    <w:p>
      <w:pPr>
        <w:rPr>
          <w:szCs w:val="21"/>
          <w:highlight w:val="none"/>
        </w:rPr>
      </w:pPr>
      <w:r>
        <w:rPr>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 xml:space="preserve"> </w:t>
      </w:r>
    </w:p>
    <w:p>
      <w:pPr>
        <w:jc w:val="left"/>
        <w:rPr>
          <w:rFonts w:ascii="仿宋" w:hAnsi="仿宋" w:eastAsia="仿宋"/>
          <w:highlight w:val="none"/>
        </w:rPr>
      </w:pPr>
      <w:r>
        <w:rPr>
          <w:rFonts w:hint="eastAsia" w:ascii="仿宋" w:hAnsi="仿宋" w:eastAsia="仿宋"/>
          <w:highlight w:val="none"/>
        </w:rPr>
        <w:t>乙方：</w:t>
      </w:r>
      <w:bookmarkStart w:id="154" w:name="Text175"/>
      <w:r>
        <w:rPr>
          <w:rFonts w:hint="default" w:ascii="仿宋" w:hAnsi="仿宋" w:eastAsia="仿宋"/>
          <w:highlight w:val="none"/>
        </w:rPr>
        <w:fldChar w:fldCharType="begin">
          <w:ffData>
            <w:name w:val="Text175"/>
            <w:enabled/>
            <w:calcOnExit w:val="0"/>
            <w:textInput>
              <w:default w:val="中国民生银行股份有限公司"/>
            </w:textInput>
          </w:ffData>
        </w:fldChar>
      </w:r>
      <w:r>
        <w:rPr>
          <w:rFonts w:hint="default" w:ascii="仿宋" w:hAnsi="仿宋" w:eastAsia="仿宋"/>
          <w:highlight w:val="none"/>
        </w:rPr>
        <w:instrText xml:space="preserve">FORMTEXT</w:instrText>
      </w:r>
      <w:r>
        <w:rPr>
          <w:rFonts w:hint="default" w:ascii="仿宋" w:hAnsi="仿宋" w:eastAsia="仿宋"/>
          <w:highlight w:val="none"/>
        </w:rPr>
        <w:fldChar w:fldCharType="separate"/>
      </w:r>
      <w:r>
        <w:rPr>
          <w:rFonts w:hint="default" w:ascii="仿宋" w:hAnsi="仿宋" w:eastAsia="仿宋"/>
          <w:highlight w:val="none"/>
        </w:rPr>
        <w:t>中国民生银行股份有限公司</w:t>
      </w:r>
      <w:r>
        <w:rPr>
          <w:rFonts w:hint="default" w:ascii="仿宋" w:hAnsi="仿宋" w:eastAsia="仿宋"/>
          <w:highlight w:val="none"/>
        </w:rPr>
        <w:fldChar w:fldCharType="end"/>
      </w:r>
      <w:bookmarkEnd w:id="154"/>
      <w:r>
        <w:rPr>
          <w:rFonts w:hint="eastAsia" w:ascii="仿宋" w:hAnsi="仿宋" w:eastAsia="仿宋"/>
          <w:highlight w:val="none"/>
        </w:rPr>
        <w:t>（预留印鉴）</w:t>
      </w:r>
    </w:p>
    <w:p>
      <w:pPr>
        <w:rPr>
          <w:rFonts w:ascii="仿宋" w:hAnsi="仿宋" w:eastAsia="仿宋"/>
          <w:highlight w:val="none"/>
        </w:rPr>
      </w:pPr>
      <w:r>
        <w:rPr>
          <w:rFonts w:hint="eastAsia" w:ascii="仿宋" w:hAnsi="仿宋" w:eastAsia="仿宋"/>
          <w:highlight w:val="none"/>
        </w:rPr>
        <w:t xml:space="preserve"> </w:t>
      </w:r>
    </w:p>
    <w:p>
      <w:pPr>
        <w:rPr>
          <w:rFonts w:ascii="仿宋" w:hAnsi="仿宋" w:eastAsia="仿宋"/>
          <w:highlight w:val="none"/>
        </w:rPr>
      </w:pPr>
      <w:bookmarkStart w:id="155" w:name="Text176"/>
      <w:r>
        <w:rPr>
          <w:rFonts w:hint="eastAsia" w:ascii="仿宋" w:hAnsi="仿宋" w:eastAsia="仿宋"/>
          <w:highlight w:val="none"/>
        </w:rPr>
        <w:fldChar w:fldCharType="begin">
          <w:ffData>
            <w:name w:val="Text176"/>
            <w:enabled/>
            <w:calcOnExit w:val="0"/>
            <w:textInput/>
          </w:ffData>
        </w:fldChar>
      </w:r>
      <w:r>
        <w:rPr>
          <w:rFonts w:hint="eastAsia" w:ascii="仿宋" w:hAnsi="仿宋" w:eastAsia="仿宋"/>
          <w:highlight w:val="none"/>
        </w:rPr>
        <w:instrText xml:space="preserve">FORMTEXT</w:instrText>
      </w:r>
      <w:r>
        <w:rPr>
          <w:rFonts w:hint="eastAsia" w:ascii="仿宋" w:hAnsi="仿宋" w:eastAsia="仿宋"/>
          <w:highlight w:val="none"/>
        </w:rPr>
        <w:fldChar w:fldCharType="separate"/>
      </w:r>
      <w:r>
        <w:rPr>
          <w:rFonts w:hint="default" w:ascii="仿宋" w:hAnsi="仿宋" w:eastAsia="仿宋"/>
          <w:highlight w:val="none"/>
          <w:lang w:val="en-US"/>
        </w:rPr>
        <w:t>     </w:t>
      </w:r>
      <w:r>
        <w:rPr>
          <w:rFonts w:hint="eastAsia" w:ascii="仿宋" w:hAnsi="仿宋" w:eastAsia="仿宋"/>
          <w:highlight w:val="none"/>
        </w:rPr>
        <w:fldChar w:fldCharType="end"/>
      </w:r>
      <w:bookmarkEnd w:id="155"/>
      <w:r>
        <w:rPr>
          <w:rFonts w:hint="eastAsia" w:ascii="仿宋" w:hAnsi="仿宋" w:eastAsia="仿宋"/>
          <w:highlight w:val="none"/>
        </w:rPr>
        <w:t>年</w:t>
      </w:r>
      <w:bookmarkStart w:id="156" w:name="Text177"/>
      <w:r>
        <w:rPr>
          <w:rFonts w:hint="eastAsia" w:ascii="仿宋" w:hAnsi="仿宋" w:eastAsia="仿宋"/>
          <w:highlight w:val="none"/>
        </w:rPr>
        <w:fldChar w:fldCharType="begin">
          <w:ffData>
            <w:name w:val="Text177"/>
            <w:enabled/>
            <w:calcOnExit w:val="0"/>
            <w:textInput/>
          </w:ffData>
        </w:fldChar>
      </w:r>
      <w:r>
        <w:rPr>
          <w:rFonts w:hint="eastAsia" w:ascii="仿宋" w:hAnsi="仿宋" w:eastAsia="仿宋"/>
          <w:highlight w:val="none"/>
        </w:rPr>
        <w:instrText xml:space="preserve">FORMTEXT</w:instrText>
      </w:r>
      <w:r>
        <w:rPr>
          <w:rFonts w:hint="eastAsia" w:ascii="仿宋" w:hAnsi="仿宋" w:eastAsia="仿宋"/>
          <w:highlight w:val="none"/>
        </w:rPr>
        <w:fldChar w:fldCharType="separate"/>
      </w:r>
      <w:r>
        <w:rPr>
          <w:rFonts w:hint="default" w:ascii="仿宋" w:hAnsi="仿宋" w:eastAsia="仿宋"/>
          <w:highlight w:val="none"/>
          <w:lang w:val="en-US"/>
        </w:rPr>
        <w:t>     </w:t>
      </w:r>
      <w:r>
        <w:rPr>
          <w:rFonts w:hint="eastAsia" w:ascii="仿宋" w:hAnsi="仿宋" w:eastAsia="仿宋"/>
          <w:highlight w:val="none"/>
        </w:rPr>
        <w:fldChar w:fldCharType="end"/>
      </w:r>
      <w:bookmarkEnd w:id="156"/>
      <w:r>
        <w:rPr>
          <w:rFonts w:hint="eastAsia" w:ascii="仿宋" w:hAnsi="仿宋" w:eastAsia="仿宋"/>
          <w:highlight w:val="none"/>
        </w:rPr>
        <w:t>月</w:t>
      </w:r>
      <w:bookmarkStart w:id="157" w:name="Text178"/>
      <w:r>
        <w:rPr>
          <w:rFonts w:hint="eastAsia" w:ascii="仿宋" w:hAnsi="仿宋" w:eastAsia="仿宋"/>
          <w:highlight w:val="none"/>
        </w:rPr>
        <w:fldChar w:fldCharType="begin">
          <w:ffData>
            <w:name w:val="Text178"/>
            <w:enabled/>
            <w:calcOnExit w:val="0"/>
            <w:textInput/>
          </w:ffData>
        </w:fldChar>
      </w:r>
      <w:r>
        <w:rPr>
          <w:rFonts w:hint="eastAsia" w:ascii="仿宋" w:hAnsi="仿宋" w:eastAsia="仿宋"/>
          <w:highlight w:val="none"/>
        </w:rPr>
        <w:instrText xml:space="preserve">FORMTEXT</w:instrText>
      </w:r>
      <w:r>
        <w:rPr>
          <w:rFonts w:hint="eastAsia" w:ascii="仿宋" w:hAnsi="仿宋" w:eastAsia="仿宋"/>
          <w:highlight w:val="none"/>
        </w:rPr>
        <w:fldChar w:fldCharType="separate"/>
      </w:r>
      <w:r>
        <w:rPr>
          <w:rFonts w:hint="default" w:ascii="仿宋" w:hAnsi="仿宋" w:eastAsia="仿宋"/>
          <w:highlight w:val="none"/>
          <w:lang w:val="en-US"/>
        </w:rPr>
        <w:t>     </w:t>
      </w:r>
      <w:r>
        <w:rPr>
          <w:rFonts w:hint="eastAsia" w:ascii="仿宋" w:hAnsi="仿宋" w:eastAsia="仿宋"/>
          <w:highlight w:val="none"/>
        </w:rPr>
        <w:fldChar w:fldCharType="end"/>
      </w:r>
      <w:bookmarkEnd w:id="157"/>
      <w:r>
        <w:rPr>
          <w:rFonts w:hint="eastAsia" w:ascii="仿宋" w:hAnsi="仿宋" w:eastAsia="仿宋"/>
          <w:highlight w:val="none"/>
        </w:rPr>
        <w:t>日</w:t>
      </w:r>
    </w:p>
    <w:p>
      <w:pPr>
        <w:adjustRightInd w:val="0"/>
        <w:snapToGrid w:val="0"/>
        <w:spacing w:line="360" w:lineRule="auto"/>
        <w:ind w:firstLine="640" w:firstLineChars="200"/>
        <w:jc w:val="center"/>
        <w:rPr>
          <w:rFonts w:ascii="宋体" w:hAnsi="宋体"/>
          <w:sz w:val="32"/>
          <w:szCs w:val="28"/>
          <w:highlight w:val="none"/>
        </w:rPr>
      </w:pPr>
    </w:p>
    <w:p>
      <w:pPr>
        <w:spacing w:line="360" w:lineRule="auto"/>
        <w:rPr>
          <w:highlight w:val="none"/>
        </w:rPr>
        <w:sectPr>
          <w:pgSz w:w="11906" w:h="16838"/>
          <w:pgMar w:top="1440" w:right="1800" w:bottom="1440" w:left="1800" w:header="851" w:footer="992" w:gutter="0"/>
          <w:cols w:space="425" w:num="1"/>
          <w:docGrid w:type="lines" w:linePitch="312" w:charSpace="0"/>
        </w:sectPr>
      </w:pPr>
    </w:p>
    <w:p>
      <w:pPr>
        <w:widowControl/>
        <w:spacing w:line="360" w:lineRule="auto"/>
        <w:jc w:val="left"/>
        <w:outlineLvl w:val="0"/>
        <w:rPr>
          <w:rFonts w:ascii="仿宋" w:hAnsi="仿宋" w:eastAsia="仿宋"/>
          <w:b/>
          <w:sz w:val="30"/>
          <w:szCs w:val="30"/>
          <w:highlight w:val="none"/>
        </w:rPr>
      </w:pPr>
      <w:bookmarkStart w:id="158" w:name="_Toc369242598"/>
      <w:bookmarkStart w:id="159" w:name="_Toc347565760"/>
      <w:bookmarkStart w:id="160" w:name="_Toc383771107"/>
      <w:bookmarkStart w:id="161" w:name="_Toc446341571"/>
      <w:bookmarkStart w:id="162" w:name="_Toc56068645"/>
      <w:r>
        <w:rPr>
          <w:rFonts w:hint="eastAsia" w:ascii="仿宋" w:hAnsi="仿宋" w:eastAsia="仿宋"/>
          <w:b/>
          <w:sz w:val="30"/>
          <w:szCs w:val="30"/>
          <w:highlight w:val="none"/>
        </w:rPr>
        <w:t>附件</w:t>
      </w:r>
      <w:bookmarkEnd w:id="158"/>
      <w:bookmarkEnd w:id="159"/>
      <w:bookmarkEnd w:id="160"/>
      <w:bookmarkStart w:id="163" w:name="_Toc369242599"/>
      <w:bookmarkStart w:id="164" w:name="_Toc383771108"/>
      <w:r>
        <w:rPr>
          <w:rFonts w:hint="eastAsia" w:ascii="仿宋" w:hAnsi="仿宋" w:eastAsia="仿宋"/>
          <w:b/>
          <w:sz w:val="30"/>
          <w:szCs w:val="30"/>
          <w:highlight w:val="none"/>
        </w:rPr>
        <w:t>五</w:t>
      </w:r>
    </w:p>
    <w:p>
      <w:pPr>
        <w:widowControl/>
        <w:spacing w:line="360" w:lineRule="auto"/>
        <w:ind w:firstLine="3213" w:firstLineChars="1000"/>
        <w:jc w:val="left"/>
        <w:rPr>
          <w:rFonts w:ascii="仿宋" w:hAnsi="仿宋" w:eastAsia="仿宋"/>
          <w:b/>
          <w:sz w:val="32"/>
          <w:szCs w:val="32"/>
          <w:highlight w:val="none"/>
        </w:rPr>
      </w:pPr>
      <w:r>
        <w:rPr>
          <w:rFonts w:hint="eastAsia" w:ascii="仿宋" w:hAnsi="仿宋" w:eastAsia="仿宋"/>
          <w:b/>
          <w:sz w:val="32"/>
          <w:szCs w:val="32"/>
          <w:highlight w:val="none"/>
        </w:rPr>
        <w:t>预留印鉴样本</w:t>
      </w:r>
      <w:bookmarkEnd w:id="161"/>
      <w:bookmarkEnd w:id="162"/>
      <w:bookmarkEnd w:id="163"/>
      <w:bookmarkEnd w:id="164"/>
    </w:p>
    <w:p>
      <w:pPr>
        <w:ind w:firstLine="480" w:firstLineChars="200"/>
        <w:rPr>
          <w:rFonts w:ascii="仿宋" w:hAnsi="仿宋" w:eastAsia="仿宋" w:cs="仿宋"/>
          <w:sz w:val="24"/>
          <w:highlight w:val="none"/>
        </w:rPr>
      </w:pPr>
    </w:p>
    <w:p>
      <w:pPr>
        <w:ind w:firstLine="480" w:firstLineChars="200"/>
        <w:rPr>
          <w:rFonts w:ascii="仿宋" w:hAnsi="仿宋" w:eastAsia="仿宋" w:cs="仿宋"/>
          <w:sz w:val="24"/>
          <w:highlight w:val="none"/>
        </w:rPr>
      </w:pPr>
    </w:p>
    <w:p>
      <w:pPr>
        <w:ind w:firstLine="480" w:firstLineChars="200"/>
        <w:rPr>
          <w:rFonts w:ascii="仿宋" w:hAnsi="仿宋" w:eastAsia="仿宋" w:cs="仿宋"/>
          <w:bCs/>
          <w:sz w:val="24"/>
          <w:highlight w:val="none"/>
        </w:rPr>
      </w:pPr>
      <w:r>
        <w:rPr>
          <w:rFonts w:hint="eastAsia" w:ascii="仿宋" w:hAnsi="仿宋" w:eastAsia="仿宋" w:cs="仿宋"/>
          <w:sz w:val="24"/>
          <w:highlight w:val="none"/>
        </w:rPr>
        <w:t>北银理财有限责任公司（作为管理人）、</w:t>
      </w:r>
      <w:r>
        <w:rPr>
          <w:rFonts w:hint="eastAsia" w:ascii="仿宋" w:hAnsi="仿宋" w:eastAsia="仿宋" w:cs="仿宋"/>
          <w:sz w:val="24"/>
          <w:highlight w:val="none"/>
          <w:lang w:eastAsia="zh-CN"/>
        </w:rPr>
        <w:t>中国民生银行股份有限公司</w:t>
      </w:r>
      <w:r>
        <w:rPr>
          <w:rFonts w:hint="eastAsia" w:ascii="仿宋" w:hAnsi="仿宋" w:eastAsia="仿宋" w:cs="仿宋"/>
          <w:sz w:val="24"/>
          <w:highlight w:val="none"/>
        </w:rPr>
        <w:t>（作为</w:t>
      </w:r>
      <w:r>
        <w:rPr>
          <w:rFonts w:hint="eastAsia" w:ascii="仿宋" w:hAnsi="仿宋" w:eastAsia="仿宋" w:cs="仿宋"/>
          <w:bCs/>
          <w:sz w:val="24"/>
          <w:highlight w:val="none"/>
        </w:rPr>
        <w:t>托管人）已签署《北银理财理财产品托管合同》。以下为管理人及托管人的预留印鉴，该印鉴将用于本协议项下《成立要素函》、《投资运作监督事项表》等相关文件的盖章。</w:t>
      </w:r>
    </w:p>
    <w:p>
      <w:pPr>
        <w:pStyle w:val="7"/>
        <w:spacing w:line="360" w:lineRule="auto"/>
        <w:ind w:firstLine="410" w:firstLineChars="171"/>
        <w:jc w:val="left"/>
        <w:rPr>
          <w:rFonts w:ascii="仿宋" w:hAnsi="仿宋" w:eastAsia="仿宋" w:cs="仿宋"/>
          <w:sz w:val="24"/>
          <w:szCs w:val="24"/>
          <w:highlight w:val="none"/>
        </w:rPr>
      </w:pP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11"/>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11" w:type="dxa"/>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托管人预留印鉴</w:t>
            </w:r>
          </w:p>
        </w:tc>
        <w:tc>
          <w:tcPr>
            <w:tcW w:w="4466" w:type="dxa"/>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管理人预留印鉴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3" w:hRule="atLeast"/>
        </w:trPr>
        <w:tc>
          <w:tcPr>
            <w:tcW w:w="4011" w:type="dxa"/>
          </w:tcPr>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（用章样本）</w:t>
            </w:r>
          </w:p>
        </w:tc>
        <w:tc>
          <w:tcPr>
            <w:tcW w:w="4466" w:type="dxa"/>
          </w:tcPr>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ind w:right="240"/>
              <w:jc w:val="center"/>
              <w:rPr>
                <w:rFonts w:ascii="仿宋" w:hAnsi="仿宋" w:eastAsia="仿宋" w:cs="仿宋"/>
                <w:b/>
                <w:sz w:val="24"/>
                <w:highlight w:val="none"/>
              </w:rPr>
            </w:pPr>
            <w:r>
              <w:rPr>
                <w:rFonts w:hint="eastAsia" w:ascii="仿宋" w:hAnsi="仿宋" w:eastAsia="仿宋" w:cs="仿宋"/>
                <w:sz w:val="24"/>
                <w:highlight w:val="none"/>
              </w:rPr>
              <w:t>（用章样本）</w:t>
            </w:r>
          </w:p>
        </w:tc>
      </w:tr>
    </w:tbl>
    <w:p>
      <w:pPr>
        <w:ind w:right="840"/>
        <w:jc w:val="right"/>
        <w:rPr>
          <w:sz w:val="28"/>
          <w:szCs w:val="28"/>
          <w:highlight w:val="none"/>
        </w:rPr>
      </w:pPr>
    </w:p>
    <w:p>
      <w:pPr>
        <w:rPr>
          <w:highlight w:val="none"/>
        </w:rPr>
      </w:pPr>
    </w:p>
    <w:p>
      <w:pPr>
        <w:spacing w:line="360" w:lineRule="auto"/>
        <w:rPr>
          <w:rFonts w:ascii="宋体" w:hAnsi="宋体"/>
          <w:szCs w:val="21"/>
          <w:highlight w:val="none"/>
        </w:rPr>
      </w:pPr>
    </w:p>
    <w:p>
      <w:pPr>
        <w:spacing w:line="360" w:lineRule="auto"/>
        <w:rPr>
          <w:highlight w:val="none"/>
        </w:rPr>
        <w:sectPr>
          <w:pgSz w:w="11906" w:h="16838"/>
          <w:pgMar w:top="1440" w:right="1800" w:bottom="1440" w:left="1800" w:header="851" w:footer="992" w:gutter="0"/>
          <w:cols w:space="720" w:num="1"/>
          <w:docGrid w:type="lines" w:linePitch="312" w:charSpace="0"/>
        </w:sectPr>
      </w:pPr>
    </w:p>
    <w:p>
      <w:pPr>
        <w:widowControl/>
        <w:spacing w:line="360" w:lineRule="auto"/>
        <w:jc w:val="left"/>
        <w:outlineLvl w:val="0"/>
        <w:rPr>
          <w:rFonts w:hint="eastAsia" w:ascii="仿宋" w:hAnsi="仿宋" w:eastAsia="仿宋"/>
          <w:b/>
          <w:sz w:val="30"/>
          <w:szCs w:val="30"/>
          <w:highlight w:val="none"/>
          <w:lang w:val="en-US" w:eastAsia="zh-CN"/>
        </w:rPr>
      </w:pPr>
      <w:r>
        <w:rPr>
          <w:rFonts w:hint="eastAsia" w:ascii="仿宋" w:hAnsi="仿宋" w:eastAsia="仿宋"/>
          <w:b/>
          <w:sz w:val="30"/>
          <w:szCs w:val="30"/>
          <w:highlight w:val="none"/>
        </w:rPr>
        <w:t>附件</w:t>
      </w:r>
      <w:r>
        <w:rPr>
          <w:rFonts w:hint="eastAsia" w:ascii="仿宋" w:hAnsi="仿宋" w:eastAsia="仿宋"/>
          <w:b/>
          <w:sz w:val="30"/>
          <w:szCs w:val="30"/>
          <w:highlight w:val="none"/>
          <w:lang w:val="en-US" w:eastAsia="zh-CN"/>
        </w:rPr>
        <w:t>六</w:t>
      </w:r>
    </w:p>
    <w:p>
      <w:pPr>
        <w:spacing w:line="360" w:lineRule="auto"/>
        <w:ind w:firstLine="562"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业务联系表</w:t>
      </w:r>
    </w:p>
    <w:p>
      <w:pPr>
        <w:spacing w:line="360" w:lineRule="auto"/>
        <w:ind w:firstLine="480" w:firstLineChars="200"/>
        <w:jc w:val="center"/>
        <w:rPr>
          <w:rFonts w:ascii="宋体" w:hAnsi="宋体" w:cs="宋体"/>
          <w:sz w:val="24"/>
          <w:highlight w:val="none"/>
        </w:rPr>
      </w:pPr>
    </w:p>
    <w:tbl>
      <w:tblPr>
        <w:tblStyle w:val="1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860"/>
        <w:gridCol w:w="1622"/>
        <w:gridCol w:w="1500"/>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5"/>
            <w:vAlign w:val="center"/>
          </w:tcPr>
          <w:p>
            <w:pPr>
              <w:spacing w:line="360" w:lineRule="auto"/>
              <w:ind w:firstLine="482" w:firstLineChars="200"/>
              <w:jc w:val="center"/>
              <w:rPr>
                <w:rFonts w:ascii="宋体" w:hAnsi="宋体" w:cs="宋体"/>
                <w:spacing w:val="6"/>
                <w:sz w:val="24"/>
                <w:highlight w:val="none"/>
              </w:rPr>
            </w:pPr>
            <w:r>
              <w:rPr>
                <w:rFonts w:hint="eastAsia" w:ascii="宋体" w:hAnsi="宋体" w:eastAsia="宋体" w:cs="宋体"/>
                <w:b/>
                <w:sz w:val="24"/>
                <w:szCs w:val="24"/>
                <w:highlight w:val="none"/>
              </w:rPr>
              <w:t>北银理财有限责任公司业务联系表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18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办公电话</w:t>
            </w:r>
          </w:p>
        </w:tc>
        <w:tc>
          <w:tcPr>
            <w:tcW w:w="162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移动电话</w:t>
            </w:r>
          </w:p>
        </w:tc>
        <w:tc>
          <w:tcPr>
            <w:tcW w:w="150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岗位</w:t>
            </w:r>
          </w:p>
        </w:tc>
        <w:tc>
          <w:tcPr>
            <w:tcW w:w="315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3" w:type="dxa"/>
            <w:vAlign w:val="center"/>
          </w:tcPr>
          <w:p>
            <w:pPr>
              <w:spacing w:line="360" w:lineRule="auto"/>
              <w:jc w:val="center"/>
              <w:rPr>
                <w:rFonts w:hint="eastAsia" w:eastAsia="宋体"/>
                <w:highlight w:val="none"/>
                <w:lang w:val="en-US" w:eastAsia="zh-CN"/>
              </w:rPr>
            </w:pPr>
            <w:r>
              <w:rPr>
                <w:rFonts w:hint="eastAsia"/>
              </w:rPr>
              <w:t>周浩</w:t>
            </w:r>
          </w:p>
        </w:tc>
        <w:tc>
          <w:tcPr>
            <w:tcW w:w="1860" w:type="dxa"/>
            <w:vAlign w:val="center"/>
          </w:tcPr>
          <w:p>
            <w:pPr>
              <w:spacing w:line="360" w:lineRule="auto"/>
              <w:jc w:val="center"/>
              <w:rPr>
                <w:rFonts w:hint="eastAsia" w:eastAsia="宋体"/>
                <w:highlight w:val="none"/>
                <w:lang w:val="en-US" w:eastAsia="zh-CN"/>
              </w:rPr>
            </w:pPr>
            <w:r>
              <w:rPr>
                <w:rFonts w:hint="eastAsia"/>
              </w:rPr>
              <w:t>010-68800397</w:t>
            </w:r>
          </w:p>
        </w:tc>
        <w:tc>
          <w:tcPr>
            <w:tcW w:w="1622" w:type="dxa"/>
            <w:vAlign w:val="center"/>
          </w:tcPr>
          <w:p>
            <w:pPr>
              <w:spacing w:line="360" w:lineRule="auto"/>
              <w:jc w:val="center"/>
              <w:rPr>
                <w:rFonts w:hint="eastAsia" w:eastAsia="宋体"/>
                <w:highlight w:val="none"/>
                <w:lang w:val="en-US" w:eastAsia="zh-CN"/>
              </w:rPr>
            </w:pPr>
            <w:r>
              <w:rPr>
                <w:rFonts w:hint="eastAsia"/>
              </w:rPr>
              <w:t>15811376206</w:t>
            </w:r>
          </w:p>
        </w:tc>
        <w:tc>
          <w:tcPr>
            <w:tcW w:w="1500" w:type="dxa"/>
            <w:vAlign w:val="center"/>
          </w:tcPr>
          <w:p>
            <w:pPr>
              <w:spacing w:line="360" w:lineRule="auto"/>
              <w:jc w:val="center"/>
              <w:rPr>
                <w:highlight w:val="none"/>
              </w:rPr>
            </w:pPr>
            <w:r>
              <w:rPr>
                <w:rFonts w:hint="eastAsia"/>
              </w:rPr>
              <w:t>清算</w:t>
            </w:r>
          </w:p>
        </w:tc>
        <w:tc>
          <w:tcPr>
            <w:tcW w:w="3155" w:type="dxa"/>
            <w:vAlign w:val="center"/>
          </w:tcPr>
          <w:p>
            <w:pPr>
              <w:spacing w:line="360" w:lineRule="auto"/>
              <w:jc w:val="center"/>
              <w:rPr>
                <w:rFonts w:hint="eastAsia" w:eastAsia="宋体"/>
                <w:highlight w:val="none"/>
                <w:lang w:val="en-US" w:eastAsia="zh-CN"/>
              </w:rPr>
            </w:pPr>
            <w:r>
              <w:rPr>
                <w:rFonts w:hint="eastAsia"/>
              </w:rPr>
              <w:t>zhouhao@beijingbobwealth.com.cn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center"/>
          </w:tcPr>
          <w:p>
            <w:pPr>
              <w:spacing w:line="360" w:lineRule="auto"/>
              <w:jc w:val="center"/>
              <w:rPr>
                <w:rFonts w:hint="eastAsia" w:eastAsia="宋体"/>
                <w:highlight w:val="none"/>
                <w:lang w:val="en-US" w:eastAsia="zh-CN"/>
              </w:rPr>
            </w:pPr>
            <w:r>
              <w:rPr>
                <w:rFonts w:hint="eastAsia"/>
              </w:rPr>
              <w:t>王雨婷</w:t>
            </w:r>
          </w:p>
        </w:tc>
        <w:tc>
          <w:tcPr>
            <w:tcW w:w="1860" w:type="dxa"/>
            <w:vAlign w:val="center"/>
          </w:tcPr>
          <w:p>
            <w:pPr>
              <w:spacing w:line="360" w:lineRule="auto"/>
              <w:jc w:val="center"/>
              <w:rPr>
                <w:rFonts w:hint="eastAsia" w:eastAsia="宋体"/>
                <w:highlight w:val="none"/>
                <w:lang w:val="en-US" w:eastAsia="zh-CN"/>
              </w:rPr>
            </w:pPr>
            <w:r>
              <w:rPr>
                <w:rFonts w:hint="eastAsia"/>
              </w:rPr>
              <w:t>010-68800215</w:t>
            </w:r>
          </w:p>
        </w:tc>
        <w:tc>
          <w:tcPr>
            <w:tcW w:w="1622" w:type="dxa"/>
            <w:vAlign w:val="center"/>
          </w:tcPr>
          <w:p>
            <w:pPr>
              <w:spacing w:line="360" w:lineRule="auto"/>
              <w:jc w:val="center"/>
              <w:rPr>
                <w:rFonts w:hint="eastAsia" w:eastAsia="宋体"/>
                <w:highlight w:val="none"/>
                <w:lang w:val="en-US" w:eastAsia="zh-CN"/>
              </w:rPr>
            </w:pPr>
            <w:r>
              <w:rPr>
                <w:rFonts w:hint="eastAsia"/>
              </w:rPr>
              <w:t>18612603311</w:t>
            </w:r>
          </w:p>
        </w:tc>
        <w:tc>
          <w:tcPr>
            <w:tcW w:w="1500" w:type="dxa"/>
            <w:vAlign w:val="center"/>
          </w:tcPr>
          <w:p>
            <w:pPr>
              <w:spacing w:line="360" w:lineRule="auto"/>
              <w:jc w:val="center"/>
              <w:rPr>
                <w:highlight w:val="none"/>
              </w:rPr>
            </w:pPr>
            <w:r>
              <w:rPr>
                <w:rFonts w:hint="eastAsia"/>
              </w:rPr>
              <w:t>账户</w:t>
            </w:r>
          </w:p>
        </w:tc>
        <w:tc>
          <w:tcPr>
            <w:tcW w:w="3155" w:type="dxa"/>
            <w:vAlign w:val="center"/>
          </w:tcPr>
          <w:p>
            <w:pPr>
              <w:spacing w:line="360" w:lineRule="auto"/>
              <w:jc w:val="center"/>
              <w:rPr>
                <w:rFonts w:hint="eastAsia" w:eastAsia="宋体"/>
                <w:highlight w:val="none"/>
                <w:lang w:val="en-US" w:eastAsia="zh-CN"/>
              </w:rPr>
            </w:pPr>
            <w:r>
              <w:rPr>
                <w:rFonts w:hint="eastAsia"/>
              </w:rPr>
              <w:t>wangyuting@beijingbobwealth.com.cn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center"/>
          </w:tcPr>
          <w:p>
            <w:pPr>
              <w:spacing w:line="360" w:lineRule="auto"/>
              <w:jc w:val="center"/>
              <w:rPr>
                <w:rFonts w:hint="eastAsia" w:eastAsia="宋体"/>
                <w:highlight w:val="none"/>
                <w:lang w:val="en-US" w:eastAsia="zh-CN"/>
              </w:rPr>
            </w:pPr>
            <w:r>
              <w:rPr>
                <w:rFonts w:hint="eastAsia"/>
                <w:lang w:val="en-US" w:eastAsia="zh-CN"/>
              </w:rPr>
              <w:t>雷雨晴</w:t>
            </w:r>
          </w:p>
        </w:tc>
        <w:tc>
          <w:tcPr>
            <w:tcW w:w="1860" w:type="dxa"/>
            <w:vAlign w:val="center"/>
          </w:tcPr>
          <w:p>
            <w:pPr>
              <w:spacing w:line="360" w:lineRule="auto"/>
              <w:jc w:val="center"/>
              <w:rPr>
                <w:rFonts w:hint="eastAsia" w:eastAsia="宋体"/>
                <w:highlight w:val="none"/>
                <w:lang w:val="en-US" w:eastAsia="zh-CN"/>
              </w:rPr>
            </w:pPr>
            <w:r>
              <w:rPr>
                <w:rFonts w:hint="eastAsia"/>
              </w:rPr>
              <w:t>010-68800127</w:t>
            </w:r>
          </w:p>
        </w:tc>
        <w:tc>
          <w:tcPr>
            <w:tcW w:w="1622" w:type="dxa"/>
            <w:vAlign w:val="center"/>
          </w:tcPr>
          <w:p>
            <w:pPr>
              <w:spacing w:line="360" w:lineRule="auto"/>
              <w:jc w:val="center"/>
              <w:rPr>
                <w:rFonts w:hint="eastAsia" w:eastAsia="宋体"/>
                <w:highlight w:val="none"/>
                <w:lang w:val="en-US" w:eastAsia="zh-CN"/>
              </w:rPr>
            </w:pPr>
            <w:r>
              <w:rPr>
                <w:rFonts w:hint="eastAsia"/>
              </w:rPr>
              <w:t>18842662385</w:t>
            </w:r>
          </w:p>
        </w:tc>
        <w:tc>
          <w:tcPr>
            <w:tcW w:w="1500" w:type="dxa"/>
            <w:vAlign w:val="center"/>
          </w:tcPr>
          <w:p>
            <w:pPr>
              <w:spacing w:line="360" w:lineRule="auto"/>
              <w:jc w:val="center"/>
              <w:rPr>
                <w:highlight w:val="none"/>
              </w:rPr>
            </w:pPr>
            <w:r>
              <w:rPr>
                <w:rFonts w:hint="eastAsia"/>
              </w:rPr>
              <w:t>估值</w:t>
            </w:r>
          </w:p>
        </w:tc>
        <w:tc>
          <w:tcPr>
            <w:tcW w:w="3155" w:type="dxa"/>
            <w:vAlign w:val="center"/>
          </w:tcPr>
          <w:p>
            <w:pPr>
              <w:spacing w:line="360" w:lineRule="auto"/>
              <w:jc w:val="center"/>
              <w:rPr>
                <w:rFonts w:hint="eastAsia" w:ascii="宋体" w:hAnsi="宋体" w:eastAsia="宋体" w:cs="宋体"/>
                <w:highlight w:val="none"/>
                <w:lang w:val="en-US" w:eastAsia="zh-CN"/>
              </w:rPr>
            </w:pPr>
            <w:r>
              <w:rPr>
                <w:rFonts w:hint="eastAsia" w:ascii="宋体" w:hAnsi="宋体" w:cs="宋体"/>
                <w:lang w:val="en-US" w:eastAsia="zh-CN"/>
              </w:rPr>
              <w:t>leiyuqing</w:t>
            </w:r>
            <w:r>
              <w:rPr>
                <w:rFonts w:hint="eastAsia" w:ascii="宋体" w:hAnsi="宋体" w:cs="宋体"/>
              </w:rPr>
              <w:t>@beijingbobwealth.com.cn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center"/>
          </w:tcPr>
          <w:p>
            <w:pPr>
              <w:spacing w:line="360" w:lineRule="auto"/>
              <w:jc w:val="center"/>
              <w:rPr>
                <w:rFonts w:hint="eastAsia" w:eastAsia="宋体"/>
                <w:highlight w:val="none"/>
                <w:lang w:val="en-US" w:eastAsia="zh-CN"/>
              </w:rPr>
            </w:pPr>
            <w:r>
              <w:rPr>
                <w:rFonts w:hint="eastAsia"/>
              </w:rPr>
              <w:t>王晶</w:t>
            </w:r>
          </w:p>
        </w:tc>
        <w:tc>
          <w:tcPr>
            <w:tcW w:w="1860" w:type="dxa"/>
            <w:vAlign w:val="center"/>
          </w:tcPr>
          <w:p>
            <w:pPr>
              <w:spacing w:line="360" w:lineRule="auto"/>
              <w:jc w:val="center"/>
              <w:rPr>
                <w:rFonts w:hint="eastAsia" w:eastAsia="宋体"/>
                <w:highlight w:val="none"/>
                <w:lang w:val="en-US" w:eastAsia="zh-CN"/>
              </w:rPr>
            </w:pPr>
            <w:r>
              <w:rPr>
                <w:rFonts w:hint="eastAsia"/>
              </w:rPr>
              <w:t>010-68800251</w:t>
            </w:r>
          </w:p>
        </w:tc>
        <w:tc>
          <w:tcPr>
            <w:tcW w:w="1622" w:type="dxa"/>
            <w:vAlign w:val="center"/>
          </w:tcPr>
          <w:p>
            <w:pPr>
              <w:spacing w:line="360" w:lineRule="auto"/>
              <w:jc w:val="center"/>
              <w:rPr>
                <w:rFonts w:hint="eastAsia" w:eastAsia="宋体"/>
                <w:highlight w:val="none"/>
                <w:lang w:val="en-US" w:eastAsia="zh-CN"/>
              </w:rPr>
            </w:pPr>
            <w:r>
              <w:rPr>
                <w:rFonts w:hint="eastAsia"/>
              </w:rPr>
              <w:t>15810592063</w:t>
            </w:r>
          </w:p>
        </w:tc>
        <w:tc>
          <w:tcPr>
            <w:tcW w:w="1500" w:type="dxa"/>
            <w:vAlign w:val="center"/>
          </w:tcPr>
          <w:p>
            <w:pPr>
              <w:spacing w:line="360" w:lineRule="auto"/>
              <w:jc w:val="center"/>
              <w:rPr>
                <w:highlight w:val="none"/>
              </w:rPr>
            </w:pPr>
            <w:r>
              <w:rPr>
                <w:rFonts w:hint="eastAsia"/>
              </w:rPr>
              <w:t>注册登记</w:t>
            </w:r>
          </w:p>
        </w:tc>
        <w:tc>
          <w:tcPr>
            <w:tcW w:w="3155" w:type="dxa"/>
            <w:vAlign w:val="center"/>
          </w:tcPr>
          <w:p>
            <w:pPr>
              <w:spacing w:line="360" w:lineRule="auto"/>
              <w:jc w:val="center"/>
              <w:rPr>
                <w:rFonts w:hint="eastAsia" w:ascii="宋体" w:hAnsi="宋体" w:eastAsia="宋体" w:cs="宋体"/>
                <w:highlight w:val="none"/>
                <w:lang w:val="en-US" w:eastAsia="zh-CN"/>
              </w:rPr>
            </w:pPr>
            <w:r>
              <w:rPr>
                <w:rFonts w:hint="eastAsia" w:ascii="宋体" w:hAnsi="宋体" w:cs="宋体"/>
              </w:rPr>
              <w:t>wangjing@beijingbobwealth.com.cn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center"/>
          </w:tcPr>
          <w:p>
            <w:pPr>
              <w:spacing w:line="360" w:lineRule="auto"/>
              <w:jc w:val="center"/>
              <w:rPr>
                <w:rFonts w:hint="eastAsia" w:eastAsia="宋体"/>
                <w:highlight w:val="none"/>
                <w:lang w:val="en-US" w:eastAsia="zh-CN"/>
              </w:rPr>
            </w:pPr>
            <w:r>
              <w:rPr>
                <w:rFonts w:hint="eastAsia"/>
              </w:rPr>
              <w:t>凌佳颖</w:t>
            </w:r>
          </w:p>
        </w:tc>
        <w:tc>
          <w:tcPr>
            <w:tcW w:w="1860" w:type="dxa"/>
            <w:vAlign w:val="center"/>
          </w:tcPr>
          <w:p>
            <w:pPr>
              <w:spacing w:line="360" w:lineRule="auto"/>
              <w:jc w:val="center"/>
              <w:rPr>
                <w:rFonts w:hint="eastAsia" w:eastAsia="宋体"/>
                <w:highlight w:val="none"/>
                <w:lang w:val="en-US" w:eastAsia="zh-CN"/>
              </w:rPr>
            </w:pPr>
            <w:r>
              <w:rPr>
                <w:rFonts w:hint="eastAsia"/>
              </w:rPr>
              <w:t>010-68800340</w:t>
            </w:r>
          </w:p>
        </w:tc>
        <w:tc>
          <w:tcPr>
            <w:tcW w:w="1622" w:type="dxa"/>
            <w:vAlign w:val="center"/>
          </w:tcPr>
          <w:p>
            <w:pPr>
              <w:spacing w:line="360" w:lineRule="auto"/>
              <w:jc w:val="center"/>
              <w:rPr>
                <w:rFonts w:hint="eastAsia" w:eastAsia="宋体"/>
                <w:highlight w:val="none"/>
                <w:lang w:val="en-US" w:eastAsia="zh-CN"/>
              </w:rPr>
            </w:pPr>
            <w:r>
              <w:rPr>
                <w:rFonts w:hint="eastAsia"/>
              </w:rPr>
              <w:t>13126773061</w:t>
            </w:r>
          </w:p>
        </w:tc>
        <w:tc>
          <w:tcPr>
            <w:tcW w:w="1500" w:type="dxa"/>
            <w:vAlign w:val="center"/>
          </w:tcPr>
          <w:p>
            <w:pPr>
              <w:spacing w:line="360" w:lineRule="auto"/>
              <w:jc w:val="center"/>
              <w:rPr>
                <w:highlight w:val="none"/>
              </w:rPr>
            </w:pPr>
            <w:r>
              <w:rPr>
                <w:rFonts w:hint="eastAsia"/>
              </w:rPr>
              <w:t>投资监督</w:t>
            </w:r>
          </w:p>
        </w:tc>
        <w:tc>
          <w:tcPr>
            <w:tcW w:w="3155" w:type="dxa"/>
            <w:vAlign w:val="center"/>
          </w:tcPr>
          <w:p>
            <w:pPr>
              <w:spacing w:line="360" w:lineRule="auto"/>
              <w:jc w:val="center"/>
              <w:rPr>
                <w:rFonts w:hint="eastAsia" w:ascii="宋体" w:hAnsi="宋体" w:eastAsia="宋体" w:cs="宋体"/>
                <w:highlight w:val="none"/>
                <w:lang w:val="en-US" w:eastAsia="zh-CN"/>
              </w:rPr>
            </w:pPr>
            <w:r>
              <w:rPr>
                <w:rFonts w:hint="eastAsia" w:ascii="宋体" w:hAnsi="宋体" w:cs="宋体"/>
              </w:rPr>
              <w:t>fengxianguanlibu@beijingbobwealth.com.cn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3" w:type="dxa"/>
            <w:vAlign w:val="center"/>
          </w:tcPr>
          <w:p>
            <w:pPr>
              <w:spacing w:line="360" w:lineRule="auto"/>
              <w:jc w:val="center"/>
              <w:rPr>
                <w:rFonts w:hint="eastAsia" w:eastAsia="宋体"/>
                <w:highlight w:val="none"/>
                <w:lang w:val="en-US" w:eastAsia="zh-CN"/>
              </w:rPr>
            </w:pPr>
            <w:r>
              <w:rPr>
                <w:rFonts w:hint="eastAsia"/>
              </w:rPr>
              <w:t>李腾</w:t>
            </w:r>
          </w:p>
        </w:tc>
        <w:tc>
          <w:tcPr>
            <w:tcW w:w="1860" w:type="dxa"/>
            <w:vAlign w:val="center"/>
          </w:tcPr>
          <w:p>
            <w:pPr>
              <w:spacing w:line="360" w:lineRule="auto"/>
              <w:jc w:val="center"/>
              <w:rPr>
                <w:rFonts w:hint="eastAsia" w:eastAsia="宋体"/>
                <w:highlight w:val="none"/>
                <w:lang w:val="en-US" w:eastAsia="zh-CN"/>
              </w:rPr>
            </w:pPr>
            <w:r>
              <w:rPr>
                <w:rFonts w:hint="eastAsia"/>
              </w:rPr>
              <w:t>010-68800375</w:t>
            </w:r>
          </w:p>
        </w:tc>
        <w:tc>
          <w:tcPr>
            <w:tcW w:w="1622" w:type="dxa"/>
            <w:vAlign w:val="center"/>
          </w:tcPr>
          <w:p>
            <w:pPr>
              <w:spacing w:line="360" w:lineRule="auto"/>
              <w:jc w:val="center"/>
              <w:rPr>
                <w:rFonts w:hint="eastAsia" w:eastAsia="宋体"/>
                <w:highlight w:val="none"/>
                <w:lang w:val="en-US" w:eastAsia="zh-CN"/>
              </w:rPr>
            </w:pPr>
            <w:r>
              <w:rPr>
                <w:rFonts w:hint="eastAsia"/>
              </w:rPr>
              <w:t>15901287574</w:t>
            </w:r>
          </w:p>
        </w:tc>
        <w:tc>
          <w:tcPr>
            <w:tcW w:w="1500" w:type="dxa"/>
            <w:vAlign w:val="center"/>
          </w:tcPr>
          <w:p>
            <w:pPr>
              <w:spacing w:line="360" w:lineRule="auto"/>
              <w:jc w:val="center"/>
              <w:rPr>
                <w:highlight w:val="none"/>
              </w:rPr>
            </w:pPr>
            <w:r>
              <w:rPr>
                <w:rFonts w:hint="eastAsia"/>
              </w:rPr>
              <w:t>关联交易</w:t>
            </w:r>
          </w:p>
        </w:tc>
        <w:tc>
          <w:tcPr>
            <w:tcW w:w="3155" w:type="dxa"/>
            <w:vAlign w:val="center"/>
          </w:tcPr>
          <w:p>
            <w:pPr>
              <w:spacing w:line="360" w:lineRule="auto"/>
              <w:jc w:val="center"/>
              <w:rPr>
                <w:rFonts w:hint="eastAsia" w:eastAsia="宋体"/>
                <w:highlight w:val="none"/>
                <w:lang w:val="en-US" w:eastAsia="zh-CN"/>
              </w:rPr>
            </w:pPr>
            <w:r>
              <w:rPr>
                <w:rFonts w:hint="eastAsia"/>
              </w:rPr>
              <w:t>liteng@beijingbobwealth.com.cn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center"/>
          </w:tcPr>
          <w:p>
            <w:pPr>
              <w:spacing w:line="360" w:lineRule="auto"/>
              <w:jc w:val="center"/>
              <w:rPr>
                <w:rFonts w:hint="eastAsia" w:eastAsia="宋体"/>
                <w:highlight w:val="none"/>
                <w:lang w:val="en-US" w:eastAsia="zh-CN"/>
              </w:rPr>
            </w:pPr>
            <w:r>
              <w:rPr>
                <w:rFonts w:hint="eastAsia"/>
              </w:rPr>
              <w:t>史春馨</w:t>
            </w:r>
          </w:p>
        </w:tc>
        <w:tc>
          <w:tcPr>
            <w:tcW w:w="1860" w:type="dxa"/>
            <w:vAlign w:val="center"/>
          </w:tcPr>
          <w:p>
            <w:pPr>
              <w:spacing w:line="360" w:lineRule="auto"/>
              <w:jc w:val="center"/>
              <w:rPr>
                <w:rFonts w:hint="eastAsia" w:eastAsia="宋体"/>
                <w:highlight w:val="none"/>
                <w:lang w:val="en-US" w:eastAsia="zh-CN"/>
              </w:rPr>
            </w:pPr>
            <w:r>
              <w:rPr>
                <w:rFonts w:hint="eastAsia"/>
              </w:rPr>
              <w:t>010-68800600</w:t>
            </w:r>
          </w:p>
        </w:tc>
        <w:tc>
          <w:tcPr>
            <w:tcW w:w="1622" w:type="dxa"/>
            <w:vAlign w:val="center"/>
          </w:tcPr>
          <w:p>
            <w:pPr>
              <w:spacing w:line="360" w:lineRule="auto"/>
              <w:jc w:val="center"/>
              <w:rPr>
                <w:rFonts w:hint="eastAsia" w:eastAsia="宋体"/>
                <w:highlight w:val="none"/>
                <w:lang w:val="en-US" w:eastAsia="zh-CN"/>
              </w:rPr>
            </w:pPr>
            <w:r>
              <w:rPr>
                <w:rFonts w:hint="eastAsia"/>
              </w:rPr>
              <w:t>13910506380</w:t>
            </w:r>
          </w:p>
        </w:tc>
        <w:tc>
          <w:tcPr>
            <w:tcW w:w="1500" w:type="dxa"/>
            <w:vAlign w:val="center"/>
          </w:tcPr>
          <w:p>
            <w:pPr>
              <w:spacing w:line="360" w:lineRule="auto"/>
              <w:jc w:val="center"/>
              <w:rPr>
                <w:highlight w:val="none"/>
              </w:rPr>
            </w:pPr>
            <w:r>
              <w:rPr>
                <w:rFonts w:hint="eastAsia"/>
              </w:rPr>
              <w:t>业务负责人</w:t>
            </w:r>
          </w:p>
        </w:tc>
        <w:tc>
          <w:tcPr>
            <w:tcW w:w="3155" w:type="dxa"/>
            <w:vAlign w:val="center"/>
          </w:tcPr>
          <w:p>
            <w:pPr>
              <w:spacing w:line="360" w:lineRule="auto"/>
              <w:jc w:val="center"/>
              <w:rPr>
                <w:rFonts w:hint="eastAsia" w:ascii="宋体" w:hAnsi="宋体" w:eastAsia="宋体" w:cs="宋体"/>
                <w:highlight w:val="none"/>
                <w:lang w:val="en-US" w:eastAsia="zh-CN"/>
              </w:rPr>
            </w:pPr>
            <w:r>
              <w:rPr>
                <w:rFonts w:hint="eastAsia" w:ascii="宋体" w:hAnsi="宋体" w:cs="宋体"/>
              </w:rPr>
              <w:t>shichunxin@beijingbobwealth.com.cn</w:t>
            </w:r>
          </w:p>
        </w:tc>
      </w:tr>
    </w:tbl>
    <w:p>
      <w:pPr>
        <w:autoSpaceDE w:val="0"/>
        <w:autoSpaceDN w:val="0"/>
        <w:adjustRightInd w:val="0"/>
        <w:jc w:val="center"/>
        <w:rPr>
          <w:rFonts w:ascii="楷体_GB2312" w:eastAsia="楷体_GB2312" w:cs="宋体"/>
          <w:b/>
          <w:kern w:val="0"/>
          <w:sz w:val="30"/>
          <w:szCs w:val="30"/>
          <w:highlight w:val="none"/>
        </w:rPr>
      </w:pPr>
    </w:p>
    <w:p>
      <w:pPr>
        <w:autoSpaceDE w:val="0"/>
        <w:autoSpaceDN w:val="0"/>
        <w:adjustRightInd w:val="0"/>
        <w:jc w:val="center"/>
        <w:rPr>
          <w:rFonts w:ascii="楷体_GB2312" w:eastAsia="楷体_GB2312" w:cs="宋体"/>
          <w:b/>
          <w:kern w:val="0"/>
          <w:sz w:val="30"/>
          <w:szCs w:val="30"/>
          <w:highlight w:val="none"/>
        </w:rPr>
      </w:pPr>
    </w:p>
    <w:p>
      <w:pPr>
        <w:autoSpaceDE w:val="0"/>
        <w:autoSpaceDN w:val="0"/>
        <w:adjustRightInd w:val="0"/>
        <w:jc w:val="center"/>
        <w:rPr>
          <w:rFonts w:ascii="楷体_GB2312" w:eastAsia="楷体_GB2312" w:cs="宋体"/>
          <w:b/>
          <w:kern w:val="0"/>
          <w:sz w:val="30"/>
          <w:szCs w:val="30"/>
          <w:highlight w:val="none"/>
        </w:rPr>
      </w:pPr>
    </w:p>
    <w:p>
      <w:pPr>
        <w:autoSpaceDE w:val="0"/>
        <w:autoSpaceDN w:val="0"/>
        <w:adjustRightInd w:val="0"/>
        <w:jc w:val="center"/>
        <w:rPr>
          <w:rFonts w:ascii="楷体_GB2312" w:eastAsia="楷体_GB2312" w:cs="宋体"/>
          <w:b/>
          <w:kern w:val="0"/>
          <w:sz w:val="30"/>
          <w:szCs w:val="30"/>
          <w:highlight w:val="none"/>
        </w:rPr>
      </w:pPr>
    </w:p>
    <w:p>
      <w:pPr>
        <w:autoSpaceDE w:val="0"/>
        <w:autoSpaceDN w:val="0"/>
        <w:adjustRightInd w:val="0"/>
        <w:jc w:val="center"/>
        <w:rPr>
          <w:rFonts w:ascii="楷体_GB2312" w:eastAsia="楷体_GB2312" w:cs="宋体"/>
          <w:b/>
          <w:kern w:val="0"/>
          <w:sz w:val="30"/>
          <w:szCs w:val="30"/>
          <w:highlight w:val="none"/>
        </w:rPr>
      </w:pPr>
    </w:p>
    <w:p>
      <w:pPr>
        <w:pStyle w:val="5"/>
        <w:rPr>
          <w:rFonts w:ascii="楷体_GB2312" w:eastAsia="楷体_GB2312" w:cs="宋体"/>
          <w:b/>
          <w:kern w:val="0"/>
          <w:sz w:val="30"/>
          <w:szCs w:val="30"/>
          <w:highlight w:val="none"/>
        </w:rPr>
      </w:pPr>
    </w:p>
    <w:p>
      <w:pPr>
        <w:pStyle w:val="5"/>
        <w:rPr>
          <w:rFonts w:ascii="楷体_GB2312" w:eastAsia="楷体_GB2312" w:cs="宋体"/>
          <w:b/>
          <w:kern w:val="0"/>
          <w:sz w:val="30"/>
          <w:szCs w:val="30"/>
          <w:highlight w:val="none"/>
        </w:rPr>
      </w:pPr>
    </w:p>
    <w:p>
      <w:pPr>
        <w:widowControl/>
        <w:ind w:right="-313" w:rightChars="-149"/>
        <w:jc w:val="center"/>
        <w:rPr>
          <w:rFonts w:ascii="楷体_GB2312" w:eastAsia="楷体_GB2312" w:cs="宋体"/>
          <w:b/>
          <w:kern w:val="0"/>
          <w:sz w:val="30"/>
          <w:szCs w:val="30"/>
          <w:highlight w:val="none"/>
        </w:rPr>
      </w:pPr>
      <w:r>
        <w:rPr>
          <w:rFonts w:ascii="楷体_GB2312" w:eastAsia="楷体_GB2312" w:cs="宋体"/>
          <w:b/>
          <w:kern w:val="0"/>
          <w:sz w:val="30"/>
          <w:szCs w:val="30"/>
          <w:highlight w:val="none"/>
        </w:rPr>
        <w:br w:type="page"/>
      </w:r>
      <w:r>
        <w:rPr>
          <w:rFonts w:hint="eastAsia" w:ascii="宋体" w:hAnsi="宋体" w:cs="宋体"/>
          <w:b/>
          <w:sz w:val="21"/>
          <w:highlight w:val="none"/>
        </w:rPr>
        <w:t>中国民生银行股份有限公司业务联系单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707"/>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4A4A4"/>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岗位分工</w:t>
            </w:r>
          </w:p>
        </w:tc>
        <w:tc>
          <w:tcPr>
            <w:tcW w:w="4571" w:type="dxa"/>
            <w:tcBorders>
              <w:top w:val="single" w:color="auto" w:sz="4" w:space="0"/>
              <w:left w:val="single" w:color="auto" w:sz="4" w:space="0"/>
              <w:bottom w:val="single" w:color="auto" w:sz="4" w:space="0"/>
              <w:right w:val="single" w:color="auto" w:sz="4" w:space="0"/>
            </w:tcBorders>
            <w:shd w:val="clear" w:color="auto" w:fill="A4A4A4"/>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账户业务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b/>
                <w:sz w:val="21"/>
                <w:highlight w:val="none"/>
              </w:rPr>
              <w:t>账户咨询</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010-57093226/3294/3215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1"/>
                <w:highlight w:val="none"/>
              </w:rPr>
            </w:pPr>
            <w:r>
              <w:rPr>
                <w:rFonts w:hint="eastAsia" w:ascii="宋体" w:hAnsi="宋体" w:cs="宋体"/>
                <w:b/>
                <w:sz w:val="21"/>
                <w:highlight w:val="none"/>
              </w:rPr>
              <w:t>账户咨询办理邮箱</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tgzh1@cmbc.com.cn,tgzh2@cmbc.com.cn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账户业务总协调</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证券结算业务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bCs/>
                <w:sz w:val="21"/>
                <w:highlight w:val="none"/>
              </w:rPr>
            </w:pPr>
            <w:r>
              <w:rPr>
                <w:rFonts w:hint="eastAsia" w:ascii="宋体" w:hAnsi="宋体" w:cs="宋体"/>
                <w:b/>
                <w:bCs/>
                <w:sz w:val="21"/>
                <w:highlight w:val="none"/>
              </w:rPr>
              <w:t>场内结算</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010-57093202/3230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bCs/>
                <w:sz w:val="21"/>
                <w:highlight w:val="none"/>
              </w:rPr>
            </w:pPr>
            <w:r>
              <w:rPr>
                <w:rFonts w:hint="eastAsia" w:ascii="宋体" w:hAnsi="宋体" w:cs="宋体"/>
                <w:b/>
                <w:bCs/>
                <w:sz w:val="21"/>
                <w:highlight w:val="none"/>
              </w:rPr>
              <w:t>银行间业务</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010-57093163（上清）</w:t>
            </w:r>
          </w:p>
          <w:p>
            <w:pPr>
              <w:rPr>
                <w:rFonts w:hint="eastAsia" w:ascii="宋体" w:hAnsi="宋体" w:cs="宋体"/>
                <w:sz w:val="21"/>
                <w:highlight w:val="none"/>
              </w:rPr>
            </w:pPr>
            <w:r>
              <w:rPr>
                <w:rFonts w:hint="eastAsia" w:ascii="宋体" w:hAnsi="宋体" w:cs="宋体"/>
                <w:sz w:val="21"/>
                <w:highlight w:val="none"/>
              </w:rPr>
              <w:t>010-57093154（中债）</w:t>
            </w:r>
          </w:p>
          <w:p>
            <w:pPr>
              <w:rPr>
                <w:rFonts w:hint="eastAsia" w:ascii="宋体" w:hAnsi="宋体" w:cs="宋体"/>
                <w:sz w:val="21"/>
                <w:highlight w:val="none"/>
              </w:rPr>
            </w:pPr>
            <w:r>
              <w:rPr>
                <w:rFonts w:hint="eastAsia" w:ascii="宋体" w:hAnsi="宋体" w:cs="宋体"/>
                <w:sz w:val="21"/>
                <w:highlight w:val="none"/>
              </w:rPr>
              <w:t>010-57093428（紧急）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bCs/>
                <w:sz w:val="21"/>
                <w:highlight w:val="none"/>
              </w:rPr>
            </w:pPr>
            <w:r>
              <w:rPr>
                <w:rFonts w:hint="eastAsia" w:ascii="宋体" w:hAnsi="宋体" w:cs="宋体"/>
                <w:b/>
                <w:bCs/>
                <w:sz w:val="21"/>
                <w:highlight w:val="none"/>
              </w:rPr>
              <w:t>定期存款业务</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定期存款业务办理邮箱</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mstgqs@cmbc.com.cn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证券业务总协调</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CD8C2"/>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清算业务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b/>
                <w:bCs/>
                <w:sz w:val="21"/>
                <w:highlight w:val="none"/>
              </w:rPr>
              <w:t>指令接收传真</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highlight w:val="none"/>
              </w:rPr>
            </w:pPr>
            <w:r>
              <w:rPr>
                <w:rFonts w:hint="eastAsia" w:ascii="宋体" w:hAnsi="宋体" w:cs="宋体"/>
                <w:sz w:val="21"/>
                <w:highlight w:val="none"/>
              </w:rPr>
              <w:t>010-56368300，010-56368301，010-56368302，010-56368303，010-56368304，010-56368305，010-56368306，010-56368307，010-56368308，010-56368309,</w:t>
            </w:r>
          </w:p>
          <w:p>
            <w:pPr>
              <w:rPr>
                <w:rFonts w:hint="eastAsia" w:ascii="宋体" w:hAnsi="宋体" w:cs="宋体"/>
                <w:sz w:val="21"/>
                <w:highlight w:val="none"/>
              </w:rPr>
            </w:pPr>
            <w:r>
              <w:rPr>
                <w:rFonts w:hint="eastAsia" w:ascii="宋体" w:hAnsi="宋体" w:cs="宋体"/>
                <w:sz w:val="21"/>
                <w:highlight w:val="none"/>
              </w:rPr>
              <w:t>010-56368310，010-56368311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bCs/>
                <w:sz w:val="21"/>
                <w:highlight w:val="none"/>
              </w:rPr>
            </w:pPr>
            <w:r>
              <w:rPr>
                <w:rFonts w:hint="eastAsia" w:ascii="宋体" w:hAnsi="宋体" w:cs="宋体"/>
                <w:b/>
                <w:bCs/>
                <w:sz w:val="21"/>
                <w:highlight w:val="none"/>
              </w:rPr>
              <w:t>QDII/QFI指令接收及境外托管行对接</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bCs/>
                <w:sz w:val="21"/>
                <w:highlight w:val="none"/>
              </w:rPr>
            </w:pPr>
            <w:r>
              <w:rPr>
                <w:rFonts w:hint="eastAsia" w:ascii="宋体" w:hAnsi="宋体" w:cs="宋体"/>
                <w:b/>
                <w:bCs/>
                <w:sz w:val="21"/>
                <w:highlight w:val="none"/>
              </w:rPr>
              <w:t>资金划拨、指令审核、定存协议审核业务紧急联系电话</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010-57093341</w:t>
            </w:r>
          </w:p>
          <w:p>
            <w:pPr>
              <w:rPr>
                <w:rFonts w:hint="eastAsia" w:ascii="宋体" w:hAnsi="宋体" w:cs="宋体"/>
                <w:sz w:val="21"/>
                <w:highlight w:val="none"/>
              </w:rPr>
            </w:pPr>
            <w:r>
              <w:rPr>
                <w:rFonts w:hint="eastAsia" w:ascii="宋体" w:hAnsi="宋体" w:cs="宋体"/>
                <w:sz w:val="21"/>
                <w:highlight w:val="none"/>
              </w:rPr>
              <w:t>010-57093235</w:t>
            </w:r>
          </w:p>
          <w:p>
            <w:pPr>
              <w:rPr>
                <w:rFonts w:hint="eastAsia" w:ascii="宋体" w:hAnsi="宋体" w:cs="宋体"/>
                <w:sz w:val="21"/>
                <w:highlight w:val="none"/>
              </w:rPr>
            </w:pPr>
            <w:r>
              <w:rPr>
                <w:rFonts w:hint="eastAsia" w:ascii="宋体" w:hAnsi="宋体" w:cs="宋体"/>
                <w:sz w:val="21"/>
                <w:highlight w:val="none"/>
              </w:rPr>
              <w:t>010-57093143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1"/>
                <w:highlight w:val="none"/>
              </w:rPr>
            </w:pPr>
            <w:r>
              <w:rPr>
                <w:rFonts w:hint="eastAsia" w:ascii="宋体" w:hAnsi="宋体" w:cs="宋体"/>
                <w:b/>
                <w:bCs/>
                <w:sz w:val="21"/>
                <w:highlight w:val="none"/>
              </w:rPr>
              <w:t>客户服务（指令确认、产品成立资料提交、年金缴费及待遇支付、指令执行情况/账户流水/余额查询）</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010-57093136</w:t>
            </w:r>
          </w:p>
          <w:p>
            <w:pPr>
              <w:rPr>
                <w:rFonts w:hint="eastAsia" w:ascii="宋体" w:hAnsi="宋体" w:cs="宋体"/>
                <w:sz w:val="21"/>
                <w:highlight w:val="none"/>
              </w:rPr>
            </w:pPr>
            <w:r>
              <w:rPr>
                <w:rFonts w:hint="eastAsia" w:ascii="宋体" w:hAnsi="宋体" w:cs="宋体"/>
                <w:sz w:val="21"/>
                <w:highlight w:val="none"/>
              </w:rPr>
              <w:t>010-57093157</w:t>
            </w:r>
          </w:p>
          <w:p>
            <w:pPr>
              <w:rPr>
                <w:rFonts w:hint="eastAsia" w:ascii="宋体" w:hAnsi="宋体" w:cs="宋体"/>
                <w:sz w:val="21"/>
                <w:highlight w:val="none"/>
              </w:rPr>
            </w:pPr>
            <w:r>
              <w:rPr>
                <w:rFonts w:hint="eastAsia" w:ascii="宋体" w:hAnsi="宋体" w:cs="宋体"/>
                <w:sz w:val="21"/>
                <w:highlight w:val="none"/>
              </w:rPr>
              <w:t>010-57093198</w:t>
            </w:r>
          </w:p>
          <w:p>
            <w:pPr>
              <w:rPr>
                <w:rFonts w:hint="eastAsia" w:ascii="宋体" w:hAnsi="宋体" w:cs="宋体"/>
                <w:sz w:val="21"/>
                <w:highlight w:val="none"/>
              </w:rPr>
            </w:pPr>
            <w:r>
              <w:rPr>
                <w:rFonts w:hint="eastAsia" w:ascii="宋体" w:hAnsi="宋体" w:cs="宋体"/>
                <w:sz w:val="21"/>
                <w:highlight w:val="none"/>
              </w:rPr>
              <w:t>010-57093346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1"/>
                <w:highlight w:val="none"/>
              </w:rPr>
            </w:pPr>
            <w:r>
              <w:rPr>
                <w:rFonts w:hint="eastAsia" w:ascii="宋体" w:hAnsi="宋体" w:cs="宋体"/>
                <w:b/>
                <w:sz w:val="21"/>
                <w:highlight w:val="none"/>
              </w:rPr>
              <w:t>清算业务公共邮箱</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mstgqingsuan@cmbc.com.cn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清算业务总协调</w:t>
            </w:r>
          </w:p>
        </w:tc>
        <w:tc>
          <w:tcPr>
            <w:tcW w:w="4571" w:type="dxa"/>
            <w:tcBorders>
              <w:top w:val="single" w:color="auto" w:sz="4" w:space="0"/>
              <w:left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核算业务、报表报告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交易数据维护</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907"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交易数据接收</w:t>
            </w:r>
          </w:p>
        </w:tc>
        <w:tc>
          <w:tcPr>
            <w:tcW w:w="2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1"/>
                <w:highlight w:val="none"/>
              </w:rPr>
            </w:pPr>
            <w:r>
              <w:rPr>
                <w:rFonts w:hint="eastAsia" w:ascii="宋体" w:hAnsi="宋体" w:cs="宋体"/>
                <w:b/>
                <w:bCs/>
                <w:sz w:val="21"/>
                <w:highlight w:val="none"/>
              </w:rPr>
              <w:t>深证通</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小站号k0241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b/>
                <w:bCs/>
                <w:sz w:val="21"/>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1"/>
                <w:highlight w:val="none"/>
              </w:rPr>
            </w:pPr>
            <w:r>
              <w:rPr>
                <w:rFonts w:hint="eastAsia" w:ascii="宋体" w:hAnsi="宋体" w:cs="宋体"/>
                <w:b/>
                <w:bCs/>
                <w:sz w:val="21"/>
                <w:highlight w:val="none"/>
              </w:rPr>
              <w:t>邮箱</w:t>
            </w:r>
            <w:r>
              <w:rPr>
                <w:rFonts w:hint="eastAsia" w:ascii="宋体" w:hAnsi="宋体" w:cs="宋体"/>
                <w:b/>
                <w:sz w:val="21"/>
                <w:highlight w:val="none"/>
              </w:rPr>
              <w:t>（仅用于紧急情况）</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sz w:val="21"/>
                <w:highlight w:val="none"/>
              </w:rPr>
            </w:pPr>
            <w:r>
              <w:rPr>
                <w:rFonts w:hint="eastAsia" w:ascii="宋体" w:hAnsi="宋体" w:cs="宋体"/>
                <w:sz w:val="21"/>
                <w:highlight w:val="none"/>
              </w:rPr>
              <w:t>custody@cmbc.com.cn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公募基金产品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基金资管产品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010-56362113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证券期货资管产品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022-58303506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14" w:type="dxa"/>
            <w:gridSpan w:val="2"/>
            <w:tcBorders>
              <w:top w:val="single" w:color="auto" w:sz="4" w:space="0"/>
              <w:left w:val="single" w:color="auto" w:sz="4" w:space="0"/>
              <w:right w:val="single" w:color="auto" w:sz="4" w:space="0"/>
            </w:tcBorders>
            <w:noWrap w:val="0"/>
            <w:vAlign w:val="center"/>
          </w:tcPr>
          <w:p>
            <w:pPr>
              <w:widowControl/>
              <w:rPr>
                <w:rFonts w:hint="eastAsia" w:ascii="宋体" w:hAnsi="宋体" w:cs="宋体"/>
                <w:b/>
                <w:bCs/>
                <w:sz w:val="21"/>
                <w:highlight w:val="none"/>
              </w:rPr>
            </w:pPr>
            <w:r>
              <w:rPr>
                <w:rFonts w:hint="eastAsia" w:ascii="宋体" w:hAnsi="宋体" w:cs="宋体"/>
                <w:b/>
                <w:bCs/>
                <w:sz w:val="21"/>
                <w:highlight w:val="none"/>
              </w:rPr>
              <w:t>QDII/QFI产品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1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保险产品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1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信托、私募产品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010-56362137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61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理财产品</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022-58303513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券商对账单/交易数据/特殊投资品种行情/特殊事项相关函件</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sz w:val="21"/>
                <w:highlight w:val="none"/>
              </w:rPr>
            </w:pPr>
            <w:r>
              <w:rPr>
                <w:rFonts w:hint="eastAsia" w:ascii="宋体" w:hAnsi="宋体" w:cs="宋体"/>
                <w:sz w:val="21"/>
                <w:highlight w:val="none"/>
              </w:rPr>
              <w:t>mstghesuan@cmbc.com.cn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核算业务总协调</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sz w:val="21"/>
                <w:highlight w:val="none"/>
              </w:rPr>
            </w:pPr>
            <w:r>
              <w:rPr>
                <w:rFonts w:hint="eastAsia" w:ascii="宋体" w:hAnsi="宋体" w:cs="宋体"/>
                <w:bCs/>
                <w:sz w:val="21"/>
                <w:highlight w:val="none"/>
              </w:rPr>
              <w:t>010-57093446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 xml:space="preserve">数据业务支持 </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bCs/>
                <w:sz w:val="21"/>
                <w:highlight w:val="none"/>
              </w:rPr>
            </w:pPr>
            <w:r>
              <w:rPr>
                <w:rFonts w:hint="eastAsia" w:ascii="宋体" w:hAnsi="宋体" w:cs="宋体"/>
                <w:sz w:val="21"/>
                <w:highlight w:val="none"/>
              </w:rPr>
              <w:t>010-57093127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 xml:space="preserve">运营技术支持负责人 </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bCs/>
                <w:sz w:val="21"/>
                <w:highlight w:val="none"/>
              </w:rPr>
            </w:pPr>
            <w:r>
              <w:rPr>
                <w:rFonts w:hint="eastAsia" w:ascii="宋体" w:hAnsi="宋体" w:cs="宋体"/>
                <w:sz w:val="21"/>
                <w:highlight w:val="none"/>
              </w:rPr>
              <w:t>010-57093836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运营作业团队总负责人</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bCs/>
                <w:sz w:val="21"/>
                <w:highlight w:val="none"/>
              </w:rPr>
            </w:pPr>
            <w:r>
              <w:rPr>
                <w:rFonts w:hint="eastAsia" w:ascii="宋体" w:hAnsi="宋体" w:cs="宋体"/>
                <w:bCs/>
                <w:sz w:val="21"/>
                <w:highlight w:val="none"/>
              </w:rPr>
              <w:t>010-57092100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85" w:type="dxa"/>
            <w:gridSpan w:val="3"/>
            <w:tcBorders>
              <w:left w:val="single" w:color="auto" w:sz="4" w:space="0"/>
              <w:right w:val="single" w:color="auto" w:sz="4" w:space="0"/>
            </w:tcBorders>
            <w:shd w:val="clear" w:color="auto" w:fill="D0CECE"/>
            <w:noWrap w:val="0"/>
            <w:vAlign w:val="center"/>
          </w:tcPr>
          <w:p>
            <w:pPr>
              <w:jc w:val="center"/>
              <w:rPr>
                <w:rFonts w:hint="eastAsia" w:ascii="宋体" w:hAnsi="宋体" w:cs="宋体"/>
                <w:b/>
                <w:bCs/>
                <w:sz w:val="21"/>
                <w:highlight w:val="none"/>
              </w:rPr>
            </w:pPr>
            <w:r>
              <w:rPr>
                <w:rFonts w:hint="eastAsia" w:ascii="宋体" w:hAnsi="宋体" w:cs="宋体"/>
                <w:b/>
                <w:bCs/>
                <w:sz w:val="21"/>
                <w:highlight w:val="none"/>
              </w:rPr>
              <w:t>投资监督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公募基金产品</w:t>
            </w:r>
          </w:p>
        </w:tc>
        <w:tc>
          <w:tcPr>
            <w:tcW w:w="4571" w:type="dxa"/>
            <w:tcBorders>
              <w:left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010-57093891、010-57092604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证券期货经营机构私募资产管理计划</w:t>
            </w:r>
          </w:p>
        </w:tc>
        <w:tc>
          <w:tcPr>
            <w:tcW w:w="4571" w:type="dxa"/>
            <w:tcBorders>
              <w:left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010-57092604、010-57093365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信托产品、保险产品</w:t>
            </w:r>
          </w:p>
        </w:tc>
        <w:tc>
          <w:tcPr>
            <w:tcW w:w="4571" w:type="dxa"/>
            <w:tcBorders>
              <w:left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
                <w:bCs/>
                <w:sz w:val="21"/>
                <w:highlight w:val="none"/>
              </w:rPr>
            </w:pPr>
            <w:r>
              <w:rPr>
                <w:rFonts w:hint="eastAsia" w:ascii="宋体" w:hAnsi="宋体" w:cs="宋体"/>
                <w:b/>
                <w:bCs/>
                <w:sz w:val="21"/>
                <w:highlight w:val="none"/>
              </w:rPr>
              <w:t>理财产品、私募基金</w:t>
            </w:r>
          </w:p>
        </w:tc>
        <w:tc>
          <w:tcPr>
            <w:tcW w:w="4571" w:type="dxa"/>
            <w:tcBorders>
              <w:left w:val="single" w:color="auto" w:sz="4" w:space="0"/>
              <w:right w:val="single" w:color="auto" w:sz="4" w:space="0"/>
            </w:tcBorders>
            <w:noWrap w:val="0"/>
            <w:vAlign w:val="center"/>
          </w:tcPr>
          <w:p>
            <w:pPr>
              <w:rPr>
                <w:rFonts w:hint="eastAsia" w:ascii="宋体" w:hAnsi="宋体" w:cs="宋体"/>
                <w:sz w:val="21"/>
                <w:highlight w:val="none"/>
              </w:rPr>
            </w:pPr>
            <w:r>
              <w:rPr>
                <w:rFonts w:hint="eastAsia" w:ascii="宋体" w:hAnsi="宋体" w:cs="宋体"/>
                <w:sz w:val="21"/>
                <w:highlight w:val="none"/>
              </w:rPr>
              <w:t>010-57092467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185" w:type="dxa"/>
            <w:gridSpan w:val="3"/>
            <w:tcBorders>
              <w:left w:val="single" w:color="auto" w:sz="4" w:space="0"/>
              <w:right w:val="single" w:color="auto" w:sz="4" w:space="0"/>
            </w:tcBorders>
            <w:shd w:val="clear" w:color="auto" w:fill="D0CECE"/>
            <w:noWrap w:val="0"/>
            <w:vAlign w:val="center"/>
          </w:tcPr>
          <w:p>
            <w:pPr>
              <w:jc w:val="center"/>
              <w:rPr>
                <w:rFonts w:hint="eastAsia" w:ascii="宋体" w:hAnsi="宋体" w:cs="宋体"/>
                <w:sz w:val="21"/>
                <w:highlight w:val="none"/>
              </w:rPr>
            </w:pPr>
            <w:r>
              <w:rPr>
                <w:rFonts w:hint="eastAsia" w:ascii="宋体" w:hAnsi="宋体" w:cs="宋体"/>
                <w:b/>
                <w:bCs/>
                <w:sz w:val="21"/>
                <w:highlight w:val="none"/>
              </w:rPr>
              <w:t>科技支持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614" w:type="dxa"/>
            <w:gridSpan w:val="2"/>
            <w:tcBorders>
              <w:left w:val="single" w:color="auto" w:sz="4" w:space="0"/>
              <w:right w:val="single" w:color="auto" w:sz="4" w:space="0"/>
            </w:tcBorders>
            <w:noWrap w:val="0"/>
            <w:vAlign w:val="center"/>
          </w:tcPr>
          <w:p>
            <w:pPr>
              <w:rPr>
                <w:rFonts w:hint="eastAsia" w:ascii="宋体" w:hAnsi="宋体" w:cs="宋体"/>
                <w:bCs/>
                <w:sz w:val="21"/>
                <w:highlight w:val="none"/>
              </w:rPr>
            </w:pPr>
            <w:r>
              <w:rPr>
                <w:rFonts w:hint="eastAsia" w:ascii="宋体" w:hAnsi="宋体" w:cs="宋体"/>
                <w:b/>
                <w:bCs/>
                <w:sz w:val="21"/>
                <w:highlight w:val="none"/>
              </w:rPr>
              <w:t>业务联系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 w:val="21"/>
                <w:highlight w:val="none"/>
              </w:rPr>
            </w:pPr>
            <w:r>
              <w:rPr>
                <w:rFonts w:hint="eastAsia" w:ascii="宋体" w:hAnsi="宋体" w:cs="宋体"/>
                <w:sz w:val="21"/>
                <w:highlight w:val="none"/>
              </w:rPr>
              <w:t>010-57093569、</w:t>
            </w:r>
            <w:r>
              <w:rPr>
                <w:rFonts w:hint="eastAsia" w:ascii="宋体" w:hAnsi="宋体" w:cs="宋体"/>
                <w:bCs/>
                <w:sz w:val="21"/>
                <w:highlight w:val="none"/>
              </w:rPr>
              <w:t>010-57093756</w:t>
            </w:r>
          </w:p>
        </w:tc>
      </w:tr>
    </w:tbl>
    <w:p>
      <w:pPr>
        <w:widowControl/>
        <w:ind w:right="-313" w:rightChars="-149"/>
        <w:jc w:val="left"/>
        <w:rPr>
          <w:rFonts w:hint="eastAsia" w:ascii="宋体" w:hAnsi="宋体" w:cs="宋体"/>
          <w:sz w:val="21"/>
          <w:highlight w:val="none"/>
        </w:rPr>
      </w:pPr>
      <w:r>
        <w:rPr>
          <w:rFonts w:hint="eastAsia" w:ascii="宋体" w:hAnsi="宋体" w:cs="宋体"/>
          <w:sz w:val="21"/>
          <w:highlight w:val="none"/>
        </w:rPr>
        <w:t>注：1.所有数据请压缩成压缩包，文件命名格式为【产品名称yyyymmdd.rar/zip】，其中yyyymmdd为8位数日期，数据表示交易日期。</w:t>
      </w:r>
    </w:p>
    <w:p>
      <w:pPr>
        <w:pStyle w:val="5"/>
        <w:rPr>
          <w:rFonts w:ascii="楷体_GB2312" w:eastAsia="楷体_GB2312" w:cs="宋体"/>
          <w:b/>
          <w:kern w:val="0"/>
          <w:sz w:val="30"/>
          <w:szCs w:val="30"/>
          <w:highlight w:val="none"/>
        </w:rPr>
      </w:pPr>
      <w:r>
        <w:rPr>
          <w:rFonts w:hint="eastAsia" w:ascii="宋体" w:hAnsi="宋体" w:cs="宋体"/>
          <w:sz w:val="21"/>
          <w:highlight w:val="none"/>
        </w:rPr>
        <w:t>2.对账单如选择邮箱发送邮件名称为【对账单-产品名称yyyymmdd】，其中yyyymmdd为8位数日期，数据表示交易日期。</w:t>
      </w:r>
    </w:p>
    <w:p>
      <w:pPr>
        <w:pStyle w:val="15"/>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CAAD7"/>
    <w:multiLevelType w:val="singleLevel"/>
    <w:tmpl w:val="9E7CAA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ECMDocumentType" w:val="contract"/>
  </w:docVars>
  <w:rsids>
    <w:rsidRoot w:val="00090C75"/>
    <w:rsid w:val="00002ECC"/>
    <w:rsid w:val="00007021"/>
    <w:rsid w:val="000234B4"/>
    <w:rsid w:val="00026161"/>
    <w:rsid w:val="00030225"/>
    <w:rsid w:val="000305CE"/>
    <w:rsid w:val="00032C6E"/>
    <w:rsid w:val="000339F6"/>
    <w:rsid w:val="0003459C"/>
    <w:rsid w:val="00041AF7"/>
    <w:rsid w:val="000459A6"/>
    <w:rsid w:val="00056E5F"/>
    <w:rsid w:val="000644C4"/>
    <w:rsid w:val="0006556D"/>
    <w:rsid w:val="00066411"/>
    <w:rsid w:val="00080087"/>
    <w:rsid w:val="00090C75"/>
    <w:rsid w:val="000A0321"/>
    <w:rsid w:val="000A76C1"/>
    <w:rsid w:val="000B4ED6"/>
    <w:rsid w:val="000B7B66"/>
    <w:rsid w:val="000D047F"/>
    <w:rsid w:val="000E3EF1"/>
    <w:rsid w:val="000E5488"/>
    <w:rsid w:val="000F03B0"/>
    <w:rsid w:val="001011CC"/>
    <w:rsid w:val="001023C8"/>
    <w:rsid w:val="0010371E"/>
    <w:rsid w:val="001048A3"/>
    <w:rsid w:val="001066E1"/>
    <w:rsid w:val="001231BA"/>
    <w:rsid w:val="001411DE"/>
    <w:rsid w:val="00141FB6"/>
    <w:rsid w:val="00162D1D"/>
    <w:rsid w:val="001702DA"/>
    <w:rsid w:val="00171DAF"/>
    <w:rsid w:val="001808E3"/>
    <w:rsid w:val="00184CA8"/>
    <w:rsid w:val="00186443"/>
    <w:rsid w:val="001B2363"/>
    <w:rsid w:val="001C0D2E"/>
    <w:rsid w:val="001E0B7B"/>
    <w:rsid w:val="001E0EC6"/>
    <w:rsid w:val="001E1D72"/>
    <w:rsid w:val="001E2A4A"/>
    <w:rsid w:val="001E3467"/>
    <w:rsid w:val="001F5F69"/>
    <w:rsid w:val="00200D1C"/>
    <w:rsid w:val="00203014"/>
    <w:rsid w:val="0020766C"/>
    <w:rsid w:val="00210F1A"/>
    <w:rsid w:val="0021438C"/>
    <w:rsid w:val="00214F7D"/>
    <w:rsid w:val="0022536C"/>
    <w:rsid w:val="00234104"/>
    <w:rsid w:val="00236D49"/>
    <w:rsid w:val="002472CC"/>
    <w:rsid w:val="00260443"/>
    <w:rsid w:val="002615CB"/>
    <w:rsid w:val="0027466B"/>
    <w:rsid w:val="00275DAE"/>
    <w:rsid w:val="0027790B"/>
    <w:rsid w:val="00290405"/>
    <w:rsid w:val="00293C5F"/>
    <w:rsid w:val="0029411C"/>
    <w:rsid w:val="002C23C6"/>
    <w:rsid w:val="002C3246"/>
    <w:rsid w:val="002D28D6"/>
    <w:rsid w:val="002D3065"/>
    <w:rsid w:val="002E10F0"/>
    <w:rsid w:val="002E392E"/>
    <w:rsid w:val="002E75A8"/>
    <w:rsid w:val="0030535D"/>
    <w:rsid w:val="003153EE"/>
    <w:rsid w:val="00357067"/>
    <w:rsid w:val="003714FE"/>
    <w:rsid w:val="003832F7"/>
    <w:rsid w:val="00387708"/>
    <w:rsid w:val="003974A3"/>
    <w:rsid w:val="003B15E9"/>
    <w:rsid w:val="003C210C"/>
    <w:rsid w:val="003C594F"/>
    <w:rsid w:val="003C7273"/>
    <w:rsid w:val="003C7F7F"/>
    <w:rsid w:val="003E39C4"/>
    <w:rsid w:val="003E57AA"/>
    <w:rsid w:val="003F06C6"/>
    <w:rsid w:val="003F7AB3"/>
    <w:rsid w:val="003F7E24"/>
    <w:rsid w:val="00401BCD"/>
    <w:rsid w:val="00406D46"/>
    <w:rsid w:val="00411FC6"/>
    <w:rsid w:val="00413085"/>
    <w:rsid w:val="00413C2C"/>
    <w:rsid w:val="00414B7A"/>
    <w:rsid w:val="004220EE"/>
    <w:rsid w:val="00422D6E"/>
    <w:rsid w:val="004263DF"/>
    <w:rsid w:val="004422A5"/>
    <w:rsid w:val="0045118C"/>
    <w:rsid w:val="00464028"/>
    <w:rsid w:val="00466C97"/>
    <w:rsid w:val="004975AF"/>
    <w:rsid w:val="004A1240"/>
    <w:rsid w:val="004A421A"/>
    <w:rsid w:val="004B7F18"/>
    <w:rsid w:val="004D130C"/>
    <w:rsid w:val="004D19F6"/>
    <w:rsid w:val="004D77AD"/>
    <w:rsid w:val="004E0B27"/>
    <w:rsid w:val="004E2EF1"/>
    <w:rsid w:val="00503A17"/>
    <w:rsid w:val="00511C9A"/>
    <w:rsid w:val="0052168F"/>
    <w:rsid w:val="00521A11"/>
    <w:rsid w:val="00522A05"/>
    <w:rsid w:val="00524425"/>
    <w:rsid w:val="00527B87"/>
    <w:rsid w:val="00540D6E"/>
    <w:rsid w:val="00542E1B"/>
    <w:rsid w:val="00546DA2"/>
    <w:rsid w:val="00551E85"/>
    <w:rsid w:val="0056091F"/>
    <w:rsid w:val="0058428C"/>
    <w:rsid w:val="0059153B"/>
    <w:rsid w:val="005968FD"/>
    <w:rsid w:val="00597302"/>
    <w:rsid w:val="005C4377"/>
    <w:rsid w:val="005D6755"/>
    <w:rsid w:val="005E18A9"/>
    <w:rsid w:val="005E54E0"/>
    <w:rsid w:val="005E77EC"/>
    <w:rsid w:val="005F30CF"/>
    <w:rsid w:val="0061247D"/>
    <w:rsid w:val="00614CCB"/>
    <w:rsid w:val="006312F9"/>
    <w:rsid w:val="00684A78"/>
    <w:rsid w:val="00690BB4"/>
    <w:rsid w:val="00694050"/>
    <w:rsid w:val="006A3DEB"/>
    <w:rsid w:val="006B0FBB"/>
    <w:rsid w:val="006B5000"/>
    <w:rsid w:val="006B6D2F"/>
    <w:rsid w:val="006D2E35"/>
    <w:rsid w:val="006D6EDD"/>
    <w:rsid w:val="006F13AD"/>
    <w:rsid w:val="006F7B23"/>
    <w:rsid w:val="00705C8D"/>
    <w:rsid w:val="00705DD3"/>
    <w:rsid w:val="00705ED4"/>
    <w:rsid w:val="0071585E"/>
    <w:rsid w:val="00716510"/>
    <w:rsid w:val="00721E92"/>
    <w:rsid w:val="0073382E"/>
    <w:rsid w:val="007439FB"/>
    <w:rsid w:val="007548E5"/>
    <w:rsid w:val="00757E88"/>
    <w:rsid w:val="00770286"/>
    <w:rsid w:val="0077043B"/>
    <w:rsid w:val="007D0260"/>
    <w:rsid w:val="007D3ACE"/>
    <w:rsid w:val="007E0CA2"/>
    <w:rsid w:val="007E5D33"/>
    <w:rsid w:val="007E6D1C"/>
    <w:rsid w:val="007F376A"/>
    <w:rsid w:val="00801974"/>
    <w:rsid w:val="008030DA"/>
    <w:rsid w:val="008140D9"/>
    <w:rsid w:val="008211FB"/>
    <w:rsid w:val="00824D9C"/>
    <w:rsid w:val="00825A35"/>
    <w:rsid w:val="0083186D"/>
    <w:rsid w:val="00837D76"/>
    <w:rsid w:val="00847795"/>
    <w:rsid w:val="00850373"/>
    <w:rsid w:val="00857DC1"/>
    <w:rsid w:val="00875603"/>
    <w:rsid w:val="00895236"/>
    <w:rsid w:val="008A1101"/>
    <w:rsid w:val="008A168D"/>
    <w:rsid w:val="008A2521"/>
    <w:rsid w:val="008C4DF4"/>
    <w:rsid w:val="008D4D06"/>
    <w:rsid w:val="008E2ABC"/>
    <w:rsid w:val="008E6524"/>
    <w:rsid w:val="008F28C8"/>
    <w:rsid w:val="008F3684"/>
    <w:rsid w:val="008F734B"/>
    <w:rsid w:val="00916724"/>
    <w:rsid w:val="0093605E"/>
    <w:rsid w:val="00941FAD"/>
    <w:rsid w:val="00954A13"/>
    <w:rsid w:val="00980241"/>
    <w:rsid w:val="00984420"/>
    <w:rsid w:val="009A32C1"/>
    <w:rsid w:val="009B2B1E"/>
    <w:rsid w:val="009D1716"/>
    <w:rsid w:val="009D29F2"/>
    <w:rsid w:val="009D39C2"/>
    <w:rsid w:val="009F341B"/>
    <w:rsid w:val="009F55FF"/>
    <w:rsid w:val="00A07394"/>
    <w:rsid w:val="00A14622"/>
    <w:rsid w:val="00A20470"/>
    <w:rsid w:val="00A22D66"/>
    <w:rsid w:val="00A2614C"/>
    <w:rsid w:val="00A55D2A"/>
    <w:rsid w:val="00A60AA6"/>
    <w:rsid w:val="00A63736"/>
    <w:rsid w:val="00A73A80"/>
    <w:rsid w:val="00A74AA6"/>
    <w:rsid w:val="00A91CA9"/>
    <w:rsid w:val="00A92FD0"/>
    <w:rsid w:val="00AB7207"/>
    <w:rsid w:val="00AC68C7"/>
    <w:rsid w:val="00AD484C"/>
    <w:rsid w:val="00AE13CA"/>
    <w:rsid w:val="00AE3497"/>
    <w:rsid w:val="00AE3C3F"/>
    <w:rsid w:val="00AF7C13"/>
    <w:rsid w:val="00B0556F"/>
    <w:rsid w:val="00B14D8A"/>
    <w:rsid w:val="00B21537"/>
    <w:rsid w:val="00B27FC2"/>
    <w:rsid w:val="00B32729"/>
    <w:rsid w:val="00B44044"/>
    <w:rsid w:val="00B46D54"/>
    <w:rsid w:val="00B501E2"/>
    <w:rsid w:val="00B52892"/>
    <w:rsid w:val="00B643A6"/>
    <w:rsid w:val="00B73582"/>
    <w:rsid w:val="00B7473F"/>
    <w:rsid w:val="00B76B3C"/>
    <w:rsid w:val="00B77F19"/>
    <w:rsid w:val="00B81BA3"/>
    <w:rsid w:val="00B81C9B"/>
    <w:rsid w:val="00B90F67"/>
    <w:rsid w:val="00BA1516"/>
    <w:rsid w:val="00BF0B05"/>
    <w:rsid w:val="00BF757D"/>
    <w:rsid w:val="00C01106"/>
    <w:rsid w:val="00C03852"/>
    <w:rsid w:val="00C11F3A"/>
    <w:rsid w:val="00C22BD2"/>
    <w:rsid w:val="00C61C54"/>
    <w:rsid w:val="00C779E9"/>
    <w:rsid w:val="00C81CB6"/>
    <w:rsid w:val="00CA1661"/>
    <w:rsid w:val="00CB195D"/>
    <w:rsid w:val="00CB58F9"/>
    <w:rsid w:val="00CD5574"/>
    <w:rsid w:val="00CD5BD8"/>
    <w:rsid w:val="00CE08CB"/>
    <w:rsid w:val="00CE582C"/>
    <w:rsid w:val="00CF348C"/>
    <w:rsid w:val="00D30D65"/>
    <w:rsid w:val="00D3349F"/>
    <w:rsid w:val="00D415C1"/>
    <w:rsid w:val="00D42E88"/>
    <w:rsid w:val="00D56713"/>
    <w:rsid w:val="00D60B4A"/>
    <w:rsid w:val="00D73A2E"/>
    <w:rsid w:val="00D94EEB"/>
    <w:rsid w:val="00D95D2D"/>
    <w:rsid w:val="00D95EEA"/>
    <w:rsid w:val="00DB1850"/>
    <w:rsid w:val="00DB204C"/>
    <w:rsid w:val="00DB2287"/>
    <w:rsid w:val="00DB2899"/>
    <w:rsid w:val="00DB7801"/>
    <w:rsid w:val="00DB791D"/>
    <w:rsid w:val="00DC04A9"/>
    <w:rsid w:val="00DC0997"/>
    <w:rsid w:val="00DC2628"/>
    <w:rsid w:val="00DC288C"/>
    <w:rsid w:val="00DC4F89"/>
    <w:rsid w:val="00DC51B9"/>
    <w:rsid w:val="00DE0805"/>
    <w:rsid w:val="00DF6DB5"/>
    <w:rsid w:val="00DF700E"/>
    <w:rsid w:val="00DF75BE"/>
    <w:rsid w:val="00E07151"/>
    <w:rsid w:val="00E14E2A"/>
    <w:rsid w:val="00E27B50"/>
    <w:rsid w:val="00E3081B"/>
    <w:rsid w:val="00E32C13"/>
    <w:rsid w:val="00E419BB"/>
    <w:rsid w:val="00E41AB5"/>
    <w:rsid w:val="00E4460E"/>
    <w:rsid w:val="00E466AC"/>
    <w:rsid w:val="00E476B8"/>
    <w:rsid w:val="00E502AF"/>
    <w:rsid w:val="00E62537"/>
    <w:rsid w:val="00E864BD"/>
    <w:rsid w:val="00E90ADC"/>
    <w:rsid w:val="00E90FE5"/>
    <w:rsid w:val="00E91F18"/>
    <w:rsid w:val="00EA0D55"/>
    <w:rsid w:val="00EA378C"/>
    <w:rsid w:val="00EB545A"/>
    <w:rsid w:val="00EC06A0"/>
    <w:rsid w:val="00EC20A3"/>
    <w:rsid w:val="00EC2F78"/>
    <w:rsid w:val="00EC7AC7"/>
    <w:rsid w:val="00ED4F60"/>
    <w:rsid w:val="00ED56C5"/>
    <w:rsid w:val="00EF0316"/>
    <w:rsid w:val="00EF0C99"/>
    <w:rsid w:val="00F1475F"/>
    <w:rsid w:val="00F521C6"/>
    <w:rsid w:val="00F607E9"/>
    <w:rsid w:val="00F65E1E"/>
    <w:rsid w:val="00F70B60"/>
    <w:rsid w:val="00F874F3"/>
    <w:rsid w:val="00F90FF3"/>
    <w:rsid w:val="00F95E17"/>
    <w:rsid w:val="00FA1B79"/>
    <w:rsid w:val="00FA4DB1"/>
    <w:rsid w:val="00FA505D"/>
    <w:rsid w:val="00FB5A29"/>
    <w:rsid w:val="00FC2F35"/>
    <w:rsid w:val="00FD5EA0"/>
    <w:rsid w:val="00FF5B4C"/>
    <w:rsid w:val="010B7C13"/>
    <w:rsid w:val="01106122"/>
    <w:rsid w:val="01154EDD"/>
    <w:rsid w:val="013B7096"/>
    <w:rsid w:val="014A5C89"/>
    <w:rsid w:val="017B3F3A"/>
    <w:rsid w:val="017E30A9"/>
    <w:rsid w:val="01863EE3"/>
    <w:rsid w:val="01A331FC"/>
    <w:rsid w:val="01EC6CD0"/>
    <w:rsid w:val="02086D7A"/>
    <w:rsid w:val="02344013"/>
    <w:rsid w:val="02484EDC"/>
    <w:rsid w:val="02B768ED"/>
    <w:rsid w:val="0444165B"/>
    <w:rsid w:val="04461F7D"/>
    <w:rsid w:val="04E74098"/>
    <w:rsid w:val="05676865"/>
    <w:rsid w:val="056F7E01"/>
    <w:rsid w:val="05A642F3"/>
    <w:rsid w:val="05FC1FD5"/>
    <w:rsid w:val="06890F7B"/>
    <w:rsid w:val="06BE4658"/>
    <w:rsid w:val="0746233A"/>
    <w:rsid w:val="07797575"/>
    <w:rsid w:val="07E04209"/>
    <w:rsid w:val="08281F29"/>
    <w:rsid w:val="082E3611"/>
    <w:rsid w:val="0862654D"/>
    <w:rsid w:val="08C41330"/>
    <w:rsid w:val="08F2452F"/>
    <w:rsid w:val="08FA2E7B"/>
    <w:rsid w:val="091946AD"/>
    <w:rsid w:val="096C0DA3"/>
    <w:rsid w:val="09845A52"/>
    <w:rsid w:val="09D06DC6"/>
    <w:rsid w:val="09FF115C"/>
    <w:rsid w:val="0AB72F75"/>
    <w:rsid w:val="0B54470C"/>
    <w:rsid w:val="0B665E0B"/>
    <w:rsid w:val="0BA76491"/>
    <w:rsid w:val="0BE24700"/>
    <w:rsid w:val="0C4C54A0"/>
    <w:rsid w:val="0C896AB7"/>
    <w:rsid w:val="0CAE07CE"/>
    <w:rsid w:val="0CBA3DDB"/>
    <w:rsid w:val="0CBF41ED"/>
    <w:rsid w:val="0E2F27FB"/>
    <w:rsid w:val="0E374109"/>
    <w:rsid w:val="0E375165"/>
    <w:rsid w:val="0E4427F6"/>
    <w:rsid w:val="0E811DCA"/>
    <w:rsid w:val="0E8E40F0"/>
    <w:rsid w:val="0EB86D02"/>
    <w:rsid w:val="0F2C75EB"/>
    <w:rsid w:val="0FEE5569"/>
    <w:rsid w:val="10075629"/>
    <w:rsid w:val="100E77E5"/>
    <w:rsid w:val="10385281"/>
    <w:rsid w:val="109045B9"/>
    <w:rsid w:val="1111168F"/>
    <w:rsid w:val="112160A6"/>
    <w:rsid w:val="112968A9"/>
    <w:rsid w:val="1179130D"/>
    <w:rsid w:val="11EB3747"/>
    <w:rsid w:val="120046AC"/>
    <w:rsid w:val="12476185"/>
    <w:rsid w:val="12C63DB0"/>
    <w:rsid w:val="133470EC"/>
    <w:rsid w:val="13532792"/>
    <w:rsid w:val="144565EA"/>
    <w:rsid w:val="144813FA"/>
    <w:rsid w:val="154222B6"/>
    <w:rsid w:val="157321C5"/>
    <w:rsid w:val="157512A3"/>
    <w:rsid w:val="15A96B4A"/>
    <w:rsid w:val="15C030F1"/>
    <w:rsid w:val="16105F47"/>
    <w:rsid w:val="165556AF"/>
    <w:rsid w:val="16FF46CC"/>
    <w:rsid w:val="17371C83"/>
    <w:rsid w:val="17C63BE6"/>
    <w:rsid w:val="17D20FDD"/>
    <w:rsid w:val="17D34C26"/>
    <w:rsid w:val="17E11C16"/>
    <w:rsid w:val="17FA5899"/>
    <w:rsid w:val="17FD3A30"/>
    <w:rsid w:val="180B2B47"/>
    <w:rsid w:val="18181113"/>
    <w:rsid w:val="18374570"/>
    <w:rsid w:val="18667DC0"/>
    <w:rsid w:val="1945783C"/>
    <w:rsid w:val="19A80BBE"/>
    <w:rsid w:val="19BB05F7"/>
    <w:rsid w:val="19E73619"/>
    <w:rsid w:val="1A3B680D"/>
    <w:rsid w:val="1B3B41D8"/>
    <w:rsid w:val="1B563712"/>
    <w:rsid w:val="1BF146D2"/>
    <w:rsid w:val="1C13269C"/>
    <w:rsid w:val="1C9257D9"/>
    <w:rsid w:val="1CE72E6A"/>
    <w:rsid w:val="1D4225FE"/>
    <w:rsid w:val="1D664248"/>
    <w:rsid w:val="1D6E5DEB"/>
    <w:rsid w:val="1D99763F"/>
    <w:rsid w:val="1DAA6ECD"/>
    <w:rsid w:val="1E89785E"/>
    <w:rsid w:val="1E9A3D43"/>
    <w:rsid w:val="1EB95DF3"/>
    <w:rsid w:val="1EBB5B06"/>
    <w:rsid w:val="1EEB76E1"/>
    <w:rsid w:val="1F0F08BF"/>
    <w:rsid w:val="1F273F96"/>
    <w:rsid w:val="1F507E8B"/>
    <w:rsid w:val="1F5C6A5A"/>
    <w:rsid w:val="1FAF0B7C"/>
    <w:rsid w:val="1FC55BF9"/>
    <w:rsid w:val="203873BC"/>
    <w:rsid w:val="21024597"/>
    <w:rsid w:val="21723AEC"/>
    <w:rsid w:val="21D90809"/>
    <w:rsid w:val="21DC7C19"/>
    <w:rsid w:val="229A101C"/>
    <w:rsid w:val="236C2B7B"/>
    <w:rsid w:val="23AE127E"/>
    <w:rsid w:val="23C142BF"/>
    <w:rsid w:val="24046325"/>
    <w:rsid w:val="2409138C"/>
    <w:rsid w:val="249E395D"/>
    <w:rsid w:val="24F81F75"/>
    <w:rsid w:val="25BE4CA6"/>
    <w:rsid w:val="26153E08"/>
    <w:rsid w:val="265956E8"/>
    <w:rsid w:val="26734E2B"/>
    <w:rsid w:val="267F5E6E"/>
    <w:rsid w:val="26860522"/>
    <w:rsid w:val="26931267"/>
    <w:rsid w:val="270D69D9"/>
    <w:rsid w:val="275C6AB0"/>
    <w:rsid w:val="27856802"/>
    <w:rsid w:val="27BB2F34"/>
    <w:rsid w:val="27DA5B65"/>
    <w:rsid w:val="280819E9"/>
    <w:rsid w:val="2808303D"/>
    <w:rsid w:val="284B3968"/>
    <w:rsid w:val="285D20B6"/>
    <w:rsid w:val="2875589A"/>
    <w:rsid w:val="29EB2257"/>
    <w:rsid w:val="29EC4B89"/>
    <w:rsid w:val="2AB40FBA"/>
    <w:rsid w:val="2ABC1392"/>
    <w:rsid w:val="2AC40937"/>
    <w:rsid w:val="2AF07E6B"/>
    <w:rsid w:val="2B04422E"/>
    <w:rsid w:val="2B124735"/>
    <w:rsid w:val="2B241EA3"/>
    <w:rsid w:val="2B2C3D75"/>
    <w:rsid w:val="2B593949"/>
    <w:rsid w:val="2B745785"/>
    <w:rsid w:val="2BAA43CD"/>
    <w:rsid w:val="2C482CB1"/>
    <w:rsid w:val="2C4A1B02"/>
    <w:rsid w:val="2C6C79B9"/>
    <w:rsid w:val="2CC91BBC"/>
    <w:rsid w:val="2D0F66CA"/>
    <w:rsid w:val="2D144AD8"/>
    <w:rsid w:val="2D833CC1"/>
    <w:rsid w:val="2DEB07E4"/>
    <w:rsid w:val="2E4140F1"/>
    <w:rsid w:val="2E6B33EB"/>
    <w:rsid w:val="2EA04847"/>
    <w:rsid w:val="2F2F7951"/>
    <w:rsid w:val="2F693CDA"/>
    <w:rsid w:val="2F6E35CB"/>
    <w:rsid w:val="2FB1304E"/>
    <w:rsid w:val="2FD70911"/>
    <w:rsid w:val="2FDA2B8D"/>
    <w:rsid w:val="2FE04A88"/>
    <w:rsid w:val="304731E3"/>
    <w:rsid w:val="308F2D23"/>
    <w:rsid w:val="30E94BC2"/>
    <w:rsid w:val="31A510E7"/>
    <w:rsid w:val="31A97892"/>
    <w:rsid w:val="31C5732F"/>
    <w:rsid w:val="31F94B77"/>
    <w:rsid w:val="31FC58B1"/>
    <w:rsid w:val="32511ADD"/>
    <w:rsid w:val="32917CDD"/>
    <w:rsid w:val="32B74DEF"/>
    <w:rsid w:val="32C6330F"/>
    <w:rsid w:val="33313F09"/>
    <w:rsid w:val="335C7BF8"/>
    <w:rsid w:val="337C39DB"/>
    <w:rsid w:val="338609E1"/>
    <w:rsid w:val="33C643FD"/>
    <w:rsid w:val="34173A02"/>
    <w:rsid w:val="3442066A"/>
    <w:rsid w:val="344F557D"/>
    <w:rsid w:val="349C3E82"/>
    <w:rsid w:val="349E40E0"/>
    <w:rsid w:val="34A45FE9"/>
    <w:rsid w:val="34CD7FCC"/>
    <w:rsid w:val="34D079C9"/>
    <w:rsid w:val="34D5285B"/>
    <w:rsid w:val="34EC28B8"/>
    <w:rsid w:val="3502519D"/>
    <w:rsid w:val="35096AAE"/>
    <w:rsid w:val="35270B41"/>
    <w:rsid w:val="353348C7"/>
    <w:rsid w:val="35360AED"/>
    <w:rsid w:val="359D02FB"/>
    <w:rsid w:val="364E24FC"/>
    <w:rsid w:val="367808FE"/>
    <w:rsid w:val="36B223A2"/>
    <w:rsid w:val="36B64847"/>
    <w:rsid w:val="36E2386E"/>
    <w:rsid w:val="372B3E1F"/>
    <w:rsid w:val="3768184C"/>
    <w:rsid w:val="37AC63A3"/>
    <w:rsid w:val="37E83EBD"/>
    <w:rsid w:val="37FB3907"/>
    <w:rsid w:val="38033282"/>
    <w:rsid w:val="383C7DCF"/>
    <w:rsid w:val="386B54F5"/>
    <w:rsid w:val="38C05B4A"/>
    <w:rsid w:val="39295942"/>
    <w:rsid w:val="393800AA"/>
    <w:rsid w:val="39BB523D"/>
    <w:rsid w:val="3A5307BE"/>
    <w:rsid w:val="3A612966"/>
    <w:rsid w:val="3A86648F"/>
    <w:rsid w:val="3AB0091A"/>
    <w:rsid w:val="3AB030D6"/>
    <w:rsid w:val="3ABB3E24"/>
    <w:rsid w:val="3AD244C6"/>
    <w:rsid w:val="3AF004FD"/>
    <w:rsid w:val="3B2B74FF"/>
    <w:rsid w:val="3B2F4CA9"/>
    <w:rsid w:val="3B7C4E72"/>
    <w:rsid w:val="3BB23D03"/>
    <w:rsid w:val="3BB930D4"/>
    <w:rsid w:val="3C246442"/>
    <w:rsid w:val="3CAC606F"/>
    <w:rsid w:val="3CE85609"/>
    <w:rsid w:val="3CF735EA"/>
    <w:rsid w:val="3D815877"/>
    <w:rsid w:val="3DA77123"/>
    <w:rsid w:val="3DC11DCF"/>
    <w:rsid w:val="3E051167"/>
    <w:rsid w:val="3E146757"/>
    <w:rsid w:val="3E210985"/>
    <w:rsid w:val="3E3B7BE9"/>
    <w:rsid w:val="3E402222"/>
    <w:rsid w:val="3E86206A"/>
    <w:rsid w:val="3E9B4F87"/>
    <w:rsid w:val="3F0F3B10"/>
    <w:rsid w:val="3F2569A3"/>
    <w:rsid w:val="3F5210E8"/>
    <w:rsid w:val="3F7C638B"/>
    <w:rsid w:val="3F977902"/>
    <w:rsid w:val="40091095"/>
    <w:rsid w:val="404206D7"/>
    <w:rsid w:val="40A5624A"/>
    <w:rsid w:val="40D42031"/>
    <w:rsid w:val="40E35111"/>
    <w:rsid w:val="41624346"/>
    <w:rsid w:val="4170316A"/>
    <w:rsid w:val="41710BEB"/>
    <w:rsid w:val="41807942"/>
    <w:rsid w:val="418727F1"/>
    <w:rsid w:val="419014A0"/>
    <w:rsid w:val="41D2325B"/>
    <w:rsid w:val="42873119"/>
    <w:rsid w:val="42DF22D1"/>
    <w:rsid w:val="431E4A71"/>
    <w:rsid w:val="434B51C0"/>
    <w:rsid w:val="43516F81"/>
    <w:rsid w:val="435F2D9A"/>
    <w:rsid w:val="43777A61"/>
    <w:rsid w:val="43D344DB"/>
    <w:rsid w:val="43F06139"/>
    <w:rsid w:val="43F346FC"/>
    <w:rsid w:val="441A52C7"/>
    <w:rsid w:val="44462500"/>
    <w:rsid w:val="445138C5"/>
    <w:rsid w:val="44A11354"/>
    <w:rsid w:val="44B92EF7"/>
    <w:rsid w:val="44D97C83"/>
    <w:rsid w:val="45262809"/>
    <w:rsid w:val="4531413E"/>
    <w:rsid w:val="45317FAF"/>
    <w:rsid w:val="45D27709"/>
    <w:rsid w:val="45D77CED"/>
    <w:rsid w:val="45EF0D55"/>
    <w:rsid w:val="46515F82"/>
    <w:rsid w:val="468C72C9"/>
    <w:rsid w:val="46AB6365"/>
    <w:rsid w:val="46EC0F77"/>
    <w:rsid w:val="46EE736E"/>
    <w:rsid w:val="476A61D7"/>
    <w:rsid w:val="47AE2078"/>
    <w:rsid w:val="47B938F2"/>
    <w:rsid w:val="48253B53"/>
    <w:rsid w:val="486F5EA5"/>
    <w:rsid w:val="48A448E3"/>
    <w:rsid w:val="492C52B3"/>
    <w:rsid w:val="497B1C62"/>
    <w:rsid w:val="49976A8B"/>
    <w:rsid w:val="49986F7F"/>
    <w:rsid w:val="49A40B61"/>
    <w:rsid w:val="49F37AB5"/>
    <w:rsid w:val="4A1562AE"/>
    <w:rsid w:val="4A170EBC"/>
    <w:rsid w:val="4A3D2FD7"/>
    <w:rsid w:val="4A4F157E"/>
    <w:rsid w:val="4A746CC4"/>
    <w:rsid w:val="4A7E0173"/>
    <w:rsid w:val="4AE07264"/>
    <w:rsid w:val="4AE36B1F"/>
    <w:rsid w:val="4B114027"/>
    <w:rsid w:val="4B63766B"/>
    <w:rsid w:val="4B6B499A"/>
    <w:rsid w:val="4B85080B"/>
    <w:rsid w:val="4C0E528A"/>
    <w:rsid w:val="4C26537C"/>
    <w:rsid w:val="4CB0611A"/>
    <w:rsid w:val="4D015654"/>
    <w:rsid w:val="4D1F5326"/>
    <w:rsid w:val="4D7D1AD8"/>
    <w:rsid w:val="4DBB73D6"/>
    <w:rsid w:val="4DD358B0"/>
    <w:rsid w:val="4DE119CC"/>
    <w:rsid w:val="4DFB7865"/>
    <w:rsid w:val="4E115454"/>
    <w:rsid w:val="4E41400E"/>
    <w:rsid w:val="4F060926"/>
    <w:rsid w:val="4F126C59"/>
    <w:rsid w:val="4F993150"/>
    <w:rsid w:val="506F66A7"/>
    <w:rsid w:val="50BA0BE5"/>
    <w:rsid w:val="50D40EA8"/>
    <w:rsid w:val="510F3A86"/>
    <w:rsid w:val="511D09F7"/>
    <w:rsid w:val="51973412"/>
    <w:rsid w:val="524B0E0B"/>
    <w:rsid w:val="527C276E"/>
    <w:rsid w:val="528B0999"/>
    <w:rsid w:val="52A01D72"/>
    <w:rsid w:val="52D33E80"/>
    <w:rsid w:val="52E3582D"/>
    <w:rsid w:val="52E44B1D"/>
    <w:rsid w:val="52F20D18"/>
    <w:rsid w:val="535F37EB"/>
    <w:rsid w:val="53744518"/>
    <w:rsid w:val="53A717EA"/>
    <w:rsid w:val="5460776D"/>
    <w:rsid w:val="54FD42F0"/>
    <w:rsid w:val="551B6659"/>
    <w:rsid w:val="557E37FD"/>
    <w:rsid w:val="559A547F"/>
    <w:rsid w:val="55A16619"/>
    <w:rsid w:val="55AA7303"/>
    <w:rsid w:val="55E16E19"/>
    <w:rsid w:val="5637470C"/>
    <w:rsid w:val="565034BD"/>
    <w:rsid w:val="567966F2"/>
    <w:rsid w:val="56E83021"/>
    <w:rsid w:val="571F628C"/>
    <w:rsid w:val="57287759"/>
    <w:rsid w:val="57594F5B"/>
    <w:rsid w:val="57991128"/>
    <w:rsid w:val="57A50291"/>
    <w:rsid w:val="57CE285B"/>
    <w:rsid w:val="57E45843"/>
    <w:rsid w:val="580C2EA4"/>
    <w:rsid w:val="584645E3"/>
    <w:rsid w:val="58A220EA"/>
    <w:rsid w:val="58C6460A"/>
    <w:rsid w:val="58FE1196"/>
    <w:rsid w:val="5922410A"/>
    <w:rsid w:val="59634023"/>
    <w:rsid w:val="59656CAA"/>
    <w:rsid w:val="597E11DB"/>
    <w:rsid w:val="599A67D3"/>
    <w:rsid w:val="59B863D7"/>
    <w:rsid w:val="5A594EBB"/>
    <w:rsid w:val="5ABE3B7B"/>
    <w:rsid w:val="5B5A454D"/>
    <w:rsid w:val="5B65246E"/>
    <w:rsid w:val="5B8F017F"/>
    <w:rsid w:val="5BA27708"/>
    <w:rsid w:val="5C6D1BED"/>
    <w:rsid w:val="5C9751F9"/>
    <w:rsid w:val="5CEF3C87"/>
    <w:rsid w:val="5D583DB3"/>
    <w:rsid w:val="5DD64D22"/>
    <w:rsid w:val="5E597785"/>
    <w:rsid w:val="5ED45ACE"/>
    <w:rsid w:val="5EF02045"/>
    <w:rsid w:val="5F9324D4"/>
    <w:rsid w:val="5FA754D1"/>
    <w:rsid w:val="5FAB1863"/>
    <w:rsid w:val="5FD1607E"/>
    <w:rsid w:val="5FF66D02"/>
    <w:rsid w:val="605854E7"/>
    <w:rsid w:val="605875B7"/>
    <w:rsid w:val="60705B7B"/>
    <w:rsid w:val="608C1A1B"/>
    <w:rsid w:val="61155538"/>
    <w:rsid w:val="616419E1"/>
    <w:rsid w:val="619A6E2E"/>
    <w:rsid w:val="619F599E"/>
    <w:rsid w:val="624A3BD6"/>
    <w:rsid w:val="625528B6"/>
    <w:rsid w:val="6268075E"/>
    <w:rsid w:val="62E048B5"/>
    <w:rsid w:val="631A0C82"/>
    <w:rsid w:val="634E07B8"/>
    <w:rsid w:val="6382187C"/>
    <w:rsid w:val="63C4043C"/>
    <w:rsid w:val="63DC29E0"/>
    <w:rsid w:val="63F52579"/>
    <w:rsid w:val="642701F0"/>
    <w:rsid w:val="646A4D53"/>
    <w:rsid w:val="65462CFA"/>
    <w:rsid w:val="656F1A1A"/>
    <w:rsid w:val="65E035FB"/>
    <w:rsid w:val="65EE45C9"/>
    <w:rsid w:val="65F738FC"/>
    <w:rsid w:val="65FD6839"/>
    <w:rsid w:val="663274D2"/>
    <w:rsid w:val="663D17DF"/>
    <w:rsid w:val="666161AC"/>
    <w:rsid w:val="66757AFC"/>
    <w:rsid w:val="667C0829"/>
    <w:rsid w:val="668415FC"/>
    <w:rsid w:val="669C293B"/>
    <w:rsid w:val="67315A23"/>
    <w:rsid w:val="67425DF4"/>
    <w:rsid w:val="678F7EAE"/>
    <w:rsid w:val="67B96C47"/>
    <w:rsid w:val="68104996"/>
    <w:rsid w:val="681503E6"/>
    <w:rsid w:val="681D1A59"/>
    <w:rsid w:val="683A7B33"/>
    <w:rsid w:val="688616FC"/>
    <w:rsid w:val="689954C8"/>
    <w:rsid w:val="68C6306E"/>
    <w:rsid w:val="68F37E04"/>
    <w:rsid w:val="694A10AD"/>
    <w:rsid w:val="6957654C"/>
    <w:rsid w:val="69614838"/>
    <w:rsid w:val="69701B99"/>
    <w:rsid w:val="69D65A58"/>
    <w:rsid w:val="6A0008E6"/>
    <w:rsid w:val="6A385347"/>
    <w:rsid w:val="6A39302B"/>
    <w:rsid w:val="6A505A77"/>
    <w:rsid w:val="6A506D4F"/>
    <w:rsid w:val="6A6E4749"/>
    <w:rsid w:val="6A783E49"/>
    <w:rsid w:val="6ADE2B89"/>
    <w:rsid w:val="6B36111A"/>
    <w:rsid w:val="6B973810"/>
    <w:rsid w:val="6BBB6072"/>
    <w:rsid w:val="6C130E37"/>
    <w:rsid w:val="6C600B85"/>
    <w:rsid w:val="6C8E6327"/>
    <w:rsid w:val="6C943850"/>
    <w:rsid w:val="6C956E34"/>
    <w:rsid w:val="6CD82036"/>
    <w:rsid w:val="6CF04D17"/>
    <w:rsid w:val="6D065213"/>
    <w:rsid w:val="6D284A9A"/>
    <w:rsid w:val="6D2C1D6C"/>
    <w:rsid w:val="6D622993"/>
    <w:rsid w:val="6D891E6D"/>
    <w:rsid w:val="6D903F6C"/>
    <w:rsid w:val="6DB95D53"/>
    <w:rsid w:val="6E163AF5"/>
    <w:rsid w:val="6E1B47CC"/>
    <w:rsid w:val="6EA9285F"/>
    <w:rsid w:val="6EED6FC6"/>
    <w:rsid w:val="6F31369C"/>
    <w:rsid w:val="6F3B0131"/>
    <w:rsid w:val="6F473EC1"/>
    <w:rsid w:val="6F617E8D"/>
    <w:rsid w:val="6F852C2F"/>
    <w:rsid w:val="6FD33BBD"/>
    <w:rsid w:val="6FD434A4"/>
    <w:rsid w:val="6FDB0139"/>
    <w:rsid w:val="6FE860A9"/>
    <w:rsid w:val="701731C0"/>
    <w:rsid w:val="7023410D"/>
    <w:rsid w:val="706832F2"/>
    <w:rsid w:val="707F0A79"/>
    <w:rsid w:val="70C4783D"/>
    <w:rsid w:val="7112300B"/>
    <w:rsid w:val="712F3836"/>
    <w:rsid w:val="71357CF1"/>
    <w:rsid w:val="722E21D3"/>
    <w:rsid w:val="727B2C7D"/>
    <w:rsid w:val="72BD7EB6"/>
    <w:rsid w:val="730B788F"/>
    <w:rsid w:val="731A6C33"/>
    <w:rsid w:val="732B70FF"/>
    <w:rsid w:val="74125E04"/>
    <w:rsid w:val="74340D48"/>
    <w:rsid w:val="74D330C5"/>
    <w:rsid w:val="751A079F"/>
    <w:rsid w:val="75D85A64"/>
    <w:rsid w:val="767201E1"/>
    <w:rsid w:val="767A5FD5"/>
    <w:rsid w:val="769146F2"/>
    <w:rsid w:val="76B73FFC"/>
    <w:rsid w:val="771C1FDE"/>
    <w:rsid w:val="776E0FE5"/>
    <w:rsid w:val="77C27899"/>
    <w:rsid w:val="77C81FDC"/>
    <w:rsid w:val="782D3601"/>
    <w:rsid w:val="78CC01A2"/>
    <w:rsid w:val="78F43375"/>
    <w:rsid w:val="78F5024C"/>
    <w:rsid w:val="797D5D8A"/>
    <w:rsid w:val="79B315B7"/>
    <w:rsid w:val="79E24F77"/>
    <w:rsid w:val="79F20407"/>
    <w:rsid w:val="7A0F1E95"/>
    <w:rsid w:val="7AB31E2A"/>
    <w:rsid w:val="7AE81810"/>
    <w:rsid w:val="7B0B25F9"/>
    <w:rsid w:val="7B982543"/>
    <w:rsid w:val="7BBF3C25"/>
    <w:rsid w:val="7BD545E7"/>
    <w:rsid w:val="7C304059"/>
    <w:rsid w:val="7C5464DC"/>
    <w:rsid w:val="7CAA6089"/>
    <w:rsid w:val="7D146433"/>
    <w:rsid w:val="7D43204D"/>
    <w:rsid w:val="7E402108"/>
    <w:rsid w:val="7E5912A5"/>
    <w:rsid w:val="7E6B7388"/>
    <w:rsid w:val="7E8741FA"/>
    <w:rsid w:val="7EEA4E1C"/>
    <w:rsid w:val="7EF20F5C"/>
    <w:rsid w:val="7F693EF2"/>
    <w:rsid w:val="7FA93B70"/>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adjustRightInd w:val="0"/>
      <w:spacing w:before="340" w:after="330" w:line="578" w:lineRule="auto"/>
      <w:textAlignment w:val="baseline"/>
      <w:outlineLvl w:val="0"/>
    </w:pPr>
    <w:rPr>
      <w:b/>
      <w:bCs/>
      <w:kern w:val="44"/>
      <w:sz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21"/>
    <w:qFormat/>
    <w:uiPriority w:val="99"/>
    <w:pPr>
      <w:jc w:val="left"/>
    </w:pPr>
  </w:style>
  <w:style w:type="paragraph" w:styleId="5">
    <w:name w:val="Body Text"/>
    <w:basedOn w:val="1"/>
    <w:link w:val="35"/>
    <w:unhideWhenUsed/>
    <w:qFormat/>
    <w:uiPriority w:val="99"/>
    <w:pPr>
      <w:spacing w:after="120"/>
    </w:pPr>
  </w:style>
  <w:style w:type="paragraph" w:styleId="6">
    <w:name w:val="Body Text Indent"/>
    <w:basedOn w:val="1"/>
    <w:link w:val="20"/>
    <w:qFormat/>
    <w:uiPriority w:val="0"/>
    <w:pPr>
      <w:autoSpaceDE w:val="0"/>
      <w:autoSpaceDN w:val="0"/>
      <w:adjustRightInd w:val="0"/>
      <w:snapToGrid w:val="0"/>
      <w:spacing w:line="360" w:lineRule="auto"/>
      <w:ind w:firstLine="480" w:firstLineChars="200"/>
    </w:pPr>
    <w:rPr>
      <w:rFonts w:ascii="仿宋_GB2312" w:hAnsi="宋体" w:eastAsia="仿宋_GB2312"/>
      <w:sz w:val="24"/>
    </w:rPr>
  </w:style>
  <w:style w:type="paragraph" w:styleId="7">
    <w:name w:val="Plain Text"/>
    <w:basedOn w:val="1"/>
    <w:link w:val="37"/>
    <w:qFormat/>
    <w:uiPriority w:val="0"/>
    <w:rPr>
      <w:rFonts w:ascii="宋体" w:hAnsi="Courier New"/>
      <w:szCs w:val="20"/>
    </w:rPr>
  </w:style>
  <w:style w:type="paragraph" w:styleId="8">
    <w:name w:val="Body Text Indent 2"/>
    <w:basedOn w:val="1"/>
    <w:link w:val="24"/>
    <w:unhideWhenUsed/>
    <w:qFormat/>
    <w:uiPriority w:val="99"/>
    <w:pPr>
      <w:spacing w:after="120" w:line="480" w:lineRule="auto"/>
      <w:ind w:left="420" w:leftChars="200"/>
    </w:pPr>
  </w:style>
  <w:style w:type="paragraph" w:styleId="9">
    <w:name w:val="Balloon Text"/>
    <w:basedOn w:val="1"/>
    <w:link w:val="23"/>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6"/>
    <w:unhideWhenUsed/>
    <w:qFormat/>
    <w:uiPriority w:val="99"/>
    <w:rPr>
      <w:b/>
      <w:bCs/>
    </w:rPr>
  </w:style>
  <w:style w:type="paragraph" w:styleId="15">
    <w:name w:val="Body Text First Indent 2"/>
    <w:basedOn w:val="6"/>
    <w:next w:val="5"/>
    <w:unhideWhenUsed/>
    <w:qFormat/>
    <w:uiPriority w:val="99"/>
    <w:pPr>
      <w:ind w:left="360" w:firstLine="360"/>
    </w:pPr>
  </w:style>
  <w:style w:type="character" w:styleId="18">
    <w:name w:val="Hyperlink"/>
    <w:basedOn w:val="17"/>
    <w:unhideWhenUsed/>
    <w:qFormat/>
    <w:uiPriority w:val="99"/>
    <w:rPr>
      <w:color w:val="0000FF"/>
      <w:u w:val="single"/>
    </w:rPr>
  </w:style>
  <w:style w:type="character" w:styleId="19">
    <w:name w:val="annotation reference"/>
    <w:basedOn w:val="17"/>
    <w:qFormat/>
    <w:uiPriority w:val="99"/>
    <w:rPr>
      <w:sz w:val="21"/>
      <w:szCs w:val="21"/>
    </w:rPr>
  </w:style>
  <w:style w:type="character" w:customStyle="1" w:styleId="20">
    <w:name w:val="正文文本缩进 字符"/>
    <w:basedOn w:val="17"/>
    <w:link w:val="6"/>
    <w:qFormat/>
    <w:uiPriority w:val="0"/>
    <w:rPr>
      <w:rFonts w:ascii="仿宋_GB2312" w:hAnsi="宋体" w:eastAsia="仿宋_GB2312" w:cs="Times New Roman"/>
      <w:sz w:val="24"/>
      <w:szCs w:val="24"/>
    </w:rPr>
  </w:style>
  <w:style w:type="character" w:customStyle="1" w:styleId="21">
    <w:name w:val="批注文字 字符"/>
    <w:basedOn w:val="17"/>
    <w:link w:val="4"/>
    <w:qFormat/>
    <w:uiPriority w:val="99"/>
    <w:rPr>
      <w:rFonts w:ascii="Times New Roman" w:hAnsi="Times New Roman" w:eastAsia="宋体" w:cs="Times New Roman"/>
      <w:szCs w:val="24"/>
    </w:rPr>
  </w:style>
  <w:style w:type="paragraph" w:styleId="22">
    <w:name w:val="List Paragraph"/>
    <w:basedOn w:val="1"/>
    <w:qFormat/>
    <w:uiPriority w:val="99"/>
    <w:pPr>
      <w:ind w:firstLine="420" w:firstLineChars="200"/>
    </w:pPr>
    <w:rPr>
      <w:rFonts w:ascii="Calibri" w:hAnsi="Calibri"/>
      <w:szCs w:val="22"/>
    </w:rPr>
  </w:style>
  <w:style w:type="character" w:customStyle="1" w:styleId="23">
    <w:name w:val="批注框文本 字符"/>
    <w:basedOn w:val="17"/>
    <w:link w:val="9"/>
    <w:semiHidden/>
    <w:qFormat/>
    <w:uiPriority w:val="99"/>
    <w:rPr>
      <w:rFonts w:ascii="Times New Roman" w:hAnsi="Times New Roman" w:eastAsia="宋体" w:cs="Times New Roman"/>
      <w:sz w:val="18"/>
      <w:szCs w:val="18"/>
    </w:rPr>
  </w:style>
  <w:style w:type="character" w:customStyle="1" w:styleId="24">
    <w:name w:val="正文文本缩进 2 字符"/>
    <w:basedOn w:val="17"/>
    <w:link w:val="8"/>
    <w:semiHidden/>
    <w:qFormat/>
    <w:uiPriority w:val="99"/>
    <w:rPr>
      <w:rFonts w:ascii="Times New Roman" w:hAnsi="Times New Roman" w:eastAsia="宋体" w:cs="Times New Roman"/>
      <w:szCs w:val="24"/>
    </w:rPr>
  </w:style>
  <w:style w:type="character" w:customStyle="1" w:styleId="25">
    <w:name w:val="标题 1 字符"/>
    <w:basedOn w:val="17"/>
    <w:link w:val="3"/>
    <w:qFormat/>
    <w:uiPriority w:val="0"/>
    <w:rPr>
      <w:rFonts w:ascii="Times New Roman" w:hAnsi="Times New Roman" w:eastAsia="宋体" w:cs="Times New Roman"/>
      <w:b/>
      <w:bCs/>
      <w:kern w:val="44"/>
      <w:sz w:val="44"/>
      <w:szCs w:val="44"/>
    </w:rPr>
  </w:style>
  <w:style w:type="character" w:customStyle="1" w:styleId="26">
    <w:name w:val="批注主题 字符"/>
    <w:basedOn w:val="21"/>
    <w:link w:val="14"/>
    <w:semiHidden/>
    <w:qFormat/>
    <w:uiPriority w:val="99"/>
    <w:rPr>
      <w:rFonts w:ascii="Times New Roman" w:hAnsi="Times New Roman" w:eastAsia="宋体" w:cs="Times New Roman"/>
      <w:b/>
      <w:bCs/>
      <w:szCs w:val="24"/>
    </w:rPr>
  </w:style>
  <w:style w:type="character" w:customStyle="1" w:styleId="27">
    <w:name w:val="页眉 字符"/>
    <w:basedOn w:val="17"/>
    <w:link w:val="11"/>
    <w:qFormat/>
    <w:uiPriority w:val="99"/>
    <w:rPr>
      <w:rFonts w:ascii="Times New Roman" w:hAnsi="Times New Roman" w:eastAsia="宋体" w:cs="Times New Roman"/>
      <w:sz w:val="18"/>
      <w:szCs w:val="18"/>
    </w:rPr>
  </w:style>
  <w:style w:type="character" w:customStyle="1" w:styleId="28">
    <w:name w:val="页脚 字符"/>
    <w:basedOn w:val="17"/>
    <w:link w:val="10"/>
    <w:qFormat/>
    <w:uiPriority w:val="99"/>
    <w:rPr>
      <w:rFonts w:ascii="Times New Roman" w:hAnsi="Times New Roman" w:eastAsia="宋体" w:cs="Times New Roman"/>
      <w:sz w:val="18"/>
      <w:szCs w:val="18"/>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0">
    <w:name w:val="p0"/>
    <w:basedOn w:val="1"/>
    <w:qFormat/>
    <w:uiPriority w:val="0"/>
    <w:pPr>
      <w:widowControl/>
    </w:pPr>
    <w:rPr>
      <w:kern w:val="0"/>
      <w:szCs w:val="21"/>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列出段落1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正文文本 字符"/>
    <w:basedOn w:val="17"/>
    <w:link w:val="5"/>
    <w:qFormat/>
    <w:uiPriority w:val="99"/>
    <w:rPr>
      <w:kern w:val="2"/>
      <w:sz w:val="21"/>
      <w:szCs w:val="24"/>
    </w:rPr>
  </w:style>
  <w:style w:type="paragraph" w:customStyle="1" w:styleId="36">
    <w:name w:val="标题 21"/>
    <w:basedOn w:val="1"/>
    <w:next w:val="1"/>
    <w:qFormat/>
    <w:uiPriority w:val="0"/>
    <w:pPr>
      <w:spacing w:line="360" w:lineRule="auto"/>
      <w:jc w:val="center"/>
      <w:outlineLvl w:val="1"/>
    </w:pPr>
    <w:rPr>
      <w:rFonts w:ascii="宋体" w:hAnsi="宋体" w:cs="宋体"/>
      <w:b/>
      <w:sz w:val="28"/>
      <w:szCs w:val="28"/>
    </w:rPr>
  </w:style>
  <w:style w:type="character" w:customStyle="1" w:styleId="37">
    <w:name w:val="纯文本 字符"/>
    <w:basedOn w:val="17"/>
    <w:link w:val="7"/>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9-24T15:15:32"/>
    </inkml:context>
    <inkml:brush xml:id="br0">
      <inkml:brushProperty name="width" value="0.05292" units="cm"/>
      <inkml:brushProperty name="height" value="0.05292" units="cm"/>
      <inkml:brushProperty name="color" value="#f80600"/>
    </inkml:brush>
  </inkml:definitions>
  <inkml:trace contextRef="#ctx0" brushRef="#br0">9191 118823,'0'0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A173D-4D98-4C0D-ADDD-B7987327BCDB}">
  <ds:schemaRefs/>
</ds:datastoreItem>
</file>

<file path=customXml/itemProps3.xml><?xml version="1.0" encoding="utf-8"?>
<ds:datastoreItem xmlns:ds="http://schemas.openxmlformats.org/officeDocument/2006/customXml" ds:itemID="{56C52216-C30D-409E-B592-6AE048A9CCB4}">
  <ds:schemaRefs/>
</ds:datastoreItem>
</file>

<file path=docProps/app.xml><?xml version="1.0" encoding="utf-8"?>
<Properties xmlns="http://schemas.openxmlformats.org/officeDocument/2006/extended-properties" xmlns:vt="http://schemas.openxmlformats.org/officeDocument/2006/docPropsVTypes">
  <Template>Normal</Template>
  <Company>CMB China HeadOffice</Company>
  <Pages>51</Pages>
  <Words>26127</Words>
  <Characters>27902</Characters>
  <Lines>175</Lines>
  <Paragraphs>49</Paragraphs>
  <TotalTime>1</TotalTime>
  <ScaleCrop>false</ScaleCrop>
  <LinksUpToDate>false</LinksUpToDate>
  <CharactersWithSpaces>28154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2023-10-24T03:05:00Z</dcterms:created>
  <dc:creator>01035874</dc:creator>
  <cp:lastModifiedBy>CMBCAdmin</cp:lastModifiedBy>
  <cp:lastPrinted>2024-09-19T02:03:00Z</cp:lastPrinted>
  <dcterms:modified xsi:type="dcterms:W3CDTF">2025-02-21T02:05:05Z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21f755b4aaca4517912b0b1d06842322</vt:lpwstr>
  </property>
  <property fmtid="{D5CDD505-2E9C-101B-9397-08002B2CF9AE}" pid="3" name="verificationId">
    <vt:lpwstr>8a46676154bdcd48</vt:lpwstr>
  </property>
  <property fmtid="{D5CDD505-2E9C-101B-9397-08002B2CF9AE}" pid="4" name="KSOProductBuildVer">
    <vt:lpwstr>2052-11.8.2.12187</vt:lpwstr>
  </property>
  <property fmtid="{D5CDD505-2E9C-101B-9397-08002B2CF9AE}" pid="5" name="ICV">
    <vt:lpwstr>B50C728DFE1E45F7B124A1687735DF91</vt:lpwstr>
  </property>
  <property fmtid="{D5CDD505-2E9C-101B-9397-08002B2CF9AE}" pid="6" name="_KSOProductBuildMID">
    <vt:lpwstr>CYWFD6BT79UA059GQAR8QL0R7NZ0OAYREO06BJEDXFFRTG5TZDBRICJGFSUHPBIRAXM65OZNZI778HNJQSFTQFFT8RN0WMCBBJOORHB3F1A74A47BD15B434E6C626BAD9ABCBA4</vt:lpwstr>
  </property>
  <property fmtid="{D5CDD505-2E9C-101B-9397-08002B2CF9AE}" pid="7" name="_KSOProductBuildSID">
    <vt:lpwstr>SKWM06GP796Q0T9GQVR8QLJZ7NN0OAPREO0XOJDTXFGRTFCTZ0BR0CJTFYSTPD6RBNMXOOL0ZIXD8HNJRXFT0FF78RF0WL5B8FOORHB310FCAB01490FCA97E3F897BD991E87F6</vt:lpwstr>
  </property>
</Properties>
</file>