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F9529A" w14:textId="77777777" w:rsidR="000A7F8D" w:rsidRDefault="000A7F8D">
      <w:pPr>
        <w:tabs>
          <w:tab w:val="left" w:pos="6660"/>
        </w:tabs>
        <w:spacing w:line="360" w:lineRule="auto"/>
        <w:jc w:val="right"/>
        <w:rPr>
          <w:rFonts w:ascii="宋体" w:hAnsi="宋体"/>
          <w:b/>
          <w:sz w:val="44"/>
        </w:rPr>
      </w:pPr>
    </w:p>
    <w:p w14:paraId="61E2C5B8" w14:textId="77777777" w:rsidR="000A7F8D" w:rsidRDefault="000A7F8D">
      <w:pPr>
        <w:spacing w:line="360" w:lineRule="auto"/>
        <w:jc w:val="center"/>
        <w:rPr>
          <w:rFonts w:ascii="宋体" w:hAnsi="宋体"/>
          <w:b/>
          <w:sz w:val="24"/>
        </w:rPr>
      </w:pPr>
    </w:p>
    <w:p w14:paraId="53C813B6"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3DA90E3A"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19938A22"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4C2703A2"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0FC32A0F" w14:textId="77777777" w:rsidR="000A7F8D" w:rsidRDefault="00BC3093">
      <w:pPr>
        <w:spacing w:line="360" w:lineRule="auto"/>
        <w:jc w:val="center"/>
        <w:rPr>
          <w:rFonts w:ascii="宋体" w:hAnsi="宋体"/>
          <w:b/>
          <w:sz w:val="48"/>
          <w:szCs w:val="20"/>
        </w:rPr>
      </w:pPr>
      <w:bookmarkStart w:id="0" w:name="_Toc15987771"/>
      <w:bookmarkStart w:id="1" w:name="_Toc10604959"/>
      <w:bookmarkStart w:id="2" w:name="_Toc10554386"/>
      <w:bookmarkStart w:id="3" w:name="_Toc225938616"/>
      <w:bookmarkStart w:id="4" w:name="_Toc270669851"/>
      <w:r>
        <w:rPr>
          <w:rFonts w:ascii="宋体" w:hAnsi="宋体" w:hint="eastAsia"/>
          <w:b/>
          <w:sz w:val="44"/>
          <w:szCs w:val="48"/>
        </w:rPr>
        <w:t>中欧</w:t>
      </w:r>
      <w:proofErr w:type="gramStart"/>
      <w:r w:rsidR="000A0FE8">
        <w:rPr>
          <w:rFonts w:ascii="宋体" w:hAnsi="宋体" w:hint="eastAsia"/>
          <w:b/>
          <w:sz w:val="44"/>
          <w:szCs w:val="48"/>
        </w:rPr>
        <w:t>价值裕享</w:t>
      </w:r>
      <w:r>
        <w:rPr>
          <w:rFonts w:ascii="宋体" w:hAnsi="宋体" w:hint="eastAsia"/>
          <w:b/>
          <w:sz w:val="44"/>
          <w:szCs w:val="48"/>
        </w:rPr>
        <w:t>混合</w:t>
      </w:r>
      <w:r w:rsidR="000A7F8D">
        <w:rPr>
          <w:rFonts w:ascii="宋体" w:hAnsi="宋体" w:hint="eastAsia"/>
          <w:b/>
          <w:sz w:val="48"/>
          <w:szCs w:val="20"/>
        </w:rPr>
        <w:t>型</w:t>
      </w:r>
      <w:proofErr w:type="gramEnd"/>
      <w:r w:rsidR="000A7F8D">
        <w:rPr>
          <w:rFonts w:ascii="宋体" w:hAnsi="宋体"/>
          <w:b/>
          <w:sz w:val="48"/>
          <w:szCs w:val="20"/>
        </w:rPr>
        <w:t>证券投资基金</w:t>
      </w:r>
    </w:p>
    <w:p w14:paraId="4D312A82" w14:textId="3A04B027" w:rsidR="000A7F8D" w:rsidRDefault="000A7F8D">
      <w:pPr>
        <w:spacing w:line="360" w:lineRule="auto"/>
        <w:jc w:val="center"/>
        <w:rPr>
          <w:rFonts w:ascii="宋体" w:hAnsi="宋体"/>
          <w:b/>
          <w:sz w:val="48"/>
          <w:szCs w:val="20"/>
        </w:rPr>
      </w:pPr>
      <w:r>
        <w:rPr>
          <w:rFonts w:ascii="宋体" w:hAnsi="宋体"/>
          <w:b/>
          <w:sz w:val="48"/>
          <w:szCs w:val="20"/>
        </w:rPr>
        <w:t>托管协议</w:t>
      </w:r>
      <w:bookmarkEnd w:id="0"/>
      <w:bookmarkEnd w:id="1"/>
      <w:bookmarkEnd w:id="2"/>
      <w:bookmarkEnd w:id="3"/>
      <w:bookmarkEnd w:id="4"/>
    </w:p>
    <w:p w14:paraId="7238ABBE"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03219528"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3A63E032"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249CAEA4"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29E49735"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418986A0"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53FE6EB5"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62E9F3A3" w14:textId="77777777" w:rsidR="000A7F8D" w:rsidRDefault="000A7F8D">
      <w:pPr>
        <w:widowControl/>
        <w:adjustRightInd w:val="0"/>
        <w:snapToGrid w:val="0"/>
        <w:spacing w:line="360" w:lineRule="auto"/>
        <w:ind w:firstLineChars="200" w:firstLine="480"/>
        <w:jc w:val="center"/>
        <w:rPr>
          <w:rFonts w:ascii="宋体" w:hAnsi="宋体" w:cs="Arial"/>
          <w:kern w:val="0"/>
          <w:sz w:val="24"/>
        </w:rPr>
      </w:pPr>
    </w:p>
    <w:p w14:paraId="4434A4E8" w14:textId="77777777" w:rsidR="000A7F8D" w:rsidRDefault="000A7F8D">
      <w:pPr>
        <w:spacing w:line="360" w:lineRule="auto"/>
        <w:ind w:firstLine="723"/>
        <w:jc w:val="center"/>
        <w:rPr>
          <w:rFonts w:ascii="宋体" w:hAnsi="宋体"/>
          <w:b/>
          <w:sz w:val="36"/>
          <w:szCs w:val="20"/>
        </w:rPr>
      </w:pPr>
      <w:r>
        <w:rPr>
          <w:rFonts w:ascii="宋体" w:hAnsi="宋体" w:hint="eastAsia"/>
          <w:b/>
          <w:sz w:val="36"/>
          <w:szCs w:val="20"/>
        </w:rPr>
        <w:t>基金管理人：</w:t>
      </w:r>
      <w:r w:rsidR="00BC3093">
        <w:rPr>
          <w:rFonts w:ascii="宋体" w:hAnsi="宋体" w:hint="eastAsia"/>
          <w:b/>
          <w:sz w:val="36"/>
          <w:szCs w:val="20"/>
        </w:rPr>
        <w:t>中欧</w:t>
      </w:r>
      <w:r>
        <w:rPr>
          <w:rFonts w:ascii="宋体" w:hAnsi="宋体" w:hint="eastAsia"/>
          <w:b/>
          <w:sz w:val="36"/>
          <w:szCs w:val="20"/>
        </w:rPr>
        <w:t>基金管理有限公司</w:t>
      </w:r>
    </w:p>
    <w:p w14:paraId="32A73951" w14:textId="77777777" w:rsidR="000A7F8D" w:rsidRDefault="000A7F8D">
      <w:pPr>
        <w:spacing w:line="360" w:lineRule="auto"/>
        <w:ind w:firstLine="723"/>
        <w:jc w:val="center"/>
        <w:rPr>
          <w:rFonts w:ascii="宋体" w:hAnsi="宋体"/>
          <w:b/>
          <w:sz w:val="36"/>
          <w:szCs w:val="20"/>
        </w:rPr>
      </w:pPr>
      <w:r>
        <w:rPr>
          <w:rFonts w:ascii="宋体" w:hAnsi="宋体" w:hint="eastAsia"/>
          <w:b/>
          <w:sz w:val="36"/>
          <w:szCs w:val="20"/>
        </w:rPr>
        <w:t>基金托管人：中国民生银行股份有限公司</w:t>
      </w:r>
    </w:p>
    <w:p w14:paraId="544E9484"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65A47FB7"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72C481AB" w14:textId="77777777" w:rsidR="000A7F8D" w:rsidRDefault="000A7F8D">
      <w:pPr>
        <w:widowControl/>
        <w:adjustRightInd w:val="0"/>
        <w:snapToGrid w:val="0"/>
        <w:spacing w:line="360" w:lineRule="auto"/>
        <w:ind w:firstLineChars="200" w:firstLine="480"/>
        <w:rPr>
          <w:rFonts w:ascii="宋体" w:hAnsi="宋体" w:cs="Arial"/>
          <w:kern w:val="0"/>
          <w:sz w:val="24"/>
        </w:rPr>
      </w:pPr>
    </w:p>
    <w:p w14:paraId="77AF766D" w14:textId="77777777" w:rsidR="000A7F8D" w:rsidRDefault="000A7F8D">
      <w:pPr>
        <w:widowControl/>
        <w:adjustRightInd w:val="0"/>
        <w:snapToGrid w:val="0"/>
        <w:spacing w:line="360" w:lineRule="auto"/>
        <w:ind w:firstLineChars="200" w:firstLine="480"/>
        <w:jc w:val="left"/>
        <w:rPr>
          <w:rFonts w:ascii="宋体" w:hAnsi="宋体" w:cs="Arial"/>
          <w:kern w:val="0"/>
          <w:sz w:val="24"/>
        </w:rPr>
      </w:pPr>
    </w:p>
    <w:p w14:paraId="215F36CD" w14:textId="77777777" w:rsidR="000A7F8D" w:rsidRDefault="000A7F8D">
      <w:pPr>
        <w:widowControl/>
        <w:adjustRightInd w:val="0"/>
        <w:snapToGrid w:val="0"/>
        <w:spacing w:line="360" w:lineRule="auto"/>
        <w:ind w:firstLineChars="200" w:firstLine="480"/>
        <w:jc w:val="left"/>
        <w:rPr>
          <w:rFonts w:ascii="宋体" w:hAnsi="宋体" w:cs="Arial"/>
          <w:kern w:val="0"/>
          <w:sz w:val="24"/>
        </w:rPr>
      </w:pPr>
    </w:p>
    <w:p w14:paraId="5CC60C0C" w14:textId="77777777" w:rsidR="000A7F8D" w:rsidRDefault="000A7F8D">
      <w:pPr>
        <w:widowControl/>
        <w:adjustRightInd w:val="0"/>
        <w:snapToGrid w:val="0"/>
        <w:spacing w:line="360" w:lineRule="auto"/>
        <w:ind w:firstLineChars="200" w:firstLine="480"/>
        <w:jc w:val="left"/>
        <w:rPr>
          <w:rFonts w:ascii="宋体" w:hAnsi="宋体" w:cs="Arial"/>
          <w:kern w:val="0"/>
          <w:sz w:val="24"/>
        </w:rPr>
      </w:pPr>
    </w:p>
    <w:p w14:paraId="34C8FD54" w14:textId="77777777" w:rsidR="000A7F8D" w:rsidRDefault="000A7F8D">
      <w:pPr>
        <w:spacing w:line="360" w:lineRule="auto"/>
        <w:ind w:firstLine="480"/>
        <w:jc w:val="center"/>
        <w:rPr>
          <w:rFonts w:ascii="宋体" w:hAnsi="宋体"/>
          <w:b/>
          <w:sz w:val="28"/>
          <w:szCs w:val="20"/>
        </w:rPr>
      </w:pPr>
      <w:r>
        <w:rPr>
          <w:rFonts w:ascii="宋体" w:hAnsi="宋体" w:cs="Arial"/>
          <w:kern w:val="0"/>
          <w:sz w:val="24"/>
        </w:rPr>
        <w:br w:type="page"/>
      </w:r>
      <w:bookmarkStart w:id="5" w:name="_Toc295410859"/>
      <w:r>
        <w:rPr>
          <w:rFonts w:ascii="宋体" w:hAnsi="宋体"/>
          <w:b/>
          <w:sz w:val="28"/>
          <w:szCs w:val="20"/>
        </w:rPr>
        <w:lastRenderedPageBreak/>
        <w:t>目</w:t>
      </w:r>
      <w:r>
        <w:rPr>
          <w:rFonts w:ascii="宋体" w:hAnsi="宋体" w:hint="eastAsia"/>
          <w:b/>
          <w:sz w:val="28"/>
          <w:szCs w:val="20"/>
        </w:rPr>
        <w:t xml:space="preserve">  </w:t>
      </w:r>
      <w:r>
        <w:rPr>
          <w:rFonts w:ascii="宋体" w:hAnsi="宋体"/>
          <w:b/>
          <w:sz w:val="28"/>
          <w:szCs w:val="20"/>
        </w:rPr>
        <w:t>录</w:t>
      </w:r>
      <w:bookmarkEnd w:id="5"/>
    </w:p>
    <w:p w14:paraId="1DAB589C" w14:textId="694A9C69" w:rsidR="000A7F8D" w:rsidRPr="009E3F1A" w:rsidRDefault="000A7F8D">
      <w:pPr>
        <w:pStyle w:val="TOC1"/>
        <w:rPr>
          <w:rFonts w:ascii="Calibri" w:hAnsi="Calibri"/>
        </w:rPr>
      </w:pPr>
      <w:r>
        <w:rPr>
          <w:rFonts w:ascii="宋体" w:hAnsi="宋体"/>
          <w:b/>
          <w:sz w:val="24"/>
        </w:rPr>
        <w:fldChar w:fldCharType="begin"/>
      </w:r>
      <w:r>
        <w:rPr>
          <w:rFonts w:ascii="宋体" w:hAnsi="宋体"/>
          <w:b/>
          <w:sz w:val="24"/>
        </w:rPr>
        <w:instrText xml:space="preserve"> TOC \o "1-3" \h \z \u </w:instrText>
      </w:r>
      <w:r>
        <w:rPr>
          <w:rFonts w:ascii="宋体" w:hAnsi="宋体"/>
          <w:b/>
          <w:sz w:val="24"/>
        </w:rPr>
        <w:fldChar w:fldCharType="separate"/>
      </w:r>
      <w:hyperlink w:anchor="_Toc450839467" w:history="1">
        <w:r w:rsidRPr="009E3F1A">
          <w:rPr>
            <w:rStyle w:val="af1"/>
            <w:rFonts w:ascii="宋体" w:hAnsi="宋体" w:hint="eastAsia"/>
            <w:color w:val="auto"/>
          </w:rPr>
          <w:t>一、</w:t>
        </w:r>
        <w:r w:rsidRPr="009E3F1A">
          <w:rPr>
            <w:rFonts w:ascii="Calibri" w:hAnsi="Calibri"/>
          </w:rPr>
          <w:tab/>
        </w:r>
        <w:r w:rsidRPr="009E3F1A">
          <w:rPr>
            <w:rStyle w:val="af1"/>
            <w:rFonts w:ascii="宋体" w:hAnsi="宋体" w:hint="eastAsia"/>
            <w:color w:val="auto"/>
          </w:rPr>
          <w:t>基金托管协议当事人</w:t>
        </w:r>
        <w:r w:rsidRPr="009E3F1A">
          <w:tab/>
        </w:r>
        <w:r>
          <w:fldChar w:fldCharType="begin"/>
        </w:r>
        <w:r>
          <w:instrText xml:space="preserve"> PAGEREF _Toc450839467 \h </w:instrText>
        </w:r>
        <w:r>
          <w:fldChar w:fldCharType="separate"/>
        </w:r>
        <w:r>
          <w:t>1</w:t>
        </w:r>
        <w:r>
          <w:fldChar w:fldCharType="end"/>
        </w:r>
      </w:hyperlink>
    </w:p>
    <w:p w14:paraId="51730B06" w14:textId="3B7A0F57" w:rsidR="000A7F8D" w:rsidRPr="009E3F1A" w:rsidRDefault="00524C70">
      <w:pPr>
        <w:pStyle w:val="TOC1"/>
        <w:rPr>
          <w:rFonts w:ascii="Calibri" w:hAnsi="Calibri"/>
        </w:rPr>
      </w:pPr>
      <w:hyperlink w:anchor="_Toc450839468" w:history="1">
        <w:r w:rsidR="000A7F8D" w:rsidRPr="009E3F1A">
          <w:rPr>
            <w:rStyle w:val="af1"/>
            <w:rFonts w:ascii="宋体" w:hAnsi="宋体" w:hint="eastAsia"/>
            <w:color w:val="auto"/>
          </w:rPr>
          <w:t>二、</w:t>
        </w:r>
        <w:r w:rsidR="000A7F8D" w:rsidRPr="009E3F1A">
          <w:rPr>
            <w:rFonts w:ascii="Calibri" w:hAnsi="Calibri"/>
          </w:rPr>
          <w:tab/>
        </w:r>
        <w:r w:rsidR="000A7F8D" w:rsidRPr="009E3F1A">
          <w:rPr>
            <w:rStyle w:val="af1"/>
            <w:rFonts w:ascii="宋体" w:hAnsi="宋体" w:hint="eastAsia"/>
            <w:color w:val="auto"/>
          </w:rPr>
          <w:t>基金托管协议的依据、目的和原则</w:t>
        </w:r>
        <w:r w:rsidR="000A7F8D" w:rsidRPr="009E3F1A">
          <w:tab/>
        </w:r>
        <w:r w:rsidR="000A7F8D">
          <w:fldChar w:fldCharType="begin"/>
        </w:r>
        <w:r w:rsidR="000A7F8D">
          <w:instrText xml:space="preserve"> PAGEREF _Toc450839468 \h </w:instrText>
        </w:r>
        <w:r w:rsidR="000A7F8D">
          <w:fldChar w:fldCharType="separate"/>
        </w:r>
        <w:r w:rsidR="000A7F8D">
          <w:t>3</w:t>
        </w:r>
        <w:r w:rsidR="000A7F8D">
          <w:fldChar w:fldCharType="end"/>
        </w:r>
      </w:hyperlink>
    </w:p>
    <w:p w14:paraId="457AC16B" w14:textId="54AB3F4A" w:rsidR="000A7F8D" w:rsidRPr="009E3F1A" w:rsidRDefault="00524C70">
      <w:pPr>
        <w:pStyle w:val="TOC1"/>
        <w:rPr>
          <w:rFonts w:ascii="Calibri" w:hAnsi="Calibri"/>
        </w:rPr>
      </w:pPr>
      <w:hyperlink w:anchor="_Toc450839469" w:history="1">
        <w:r w:rsidR="000A7F8D" w:rsidRPr="009E3F1A">
          <w:rPr>
            <w:rStyle w:val="af1"/>
            <w:rFonts w:hint="eastAsia"/>
            <w:color w:val="auto"/>
          </w:rPr>
          <w:t>三、</w:t>
        </w:r>
        <w:r w:rsidR="000A7F8D" w:rsidRPr="009E3F1A">
          <w:rPr>
            <w:rFonts w:ascii="Calibri" w:hAnsi="Calibri"/>
          </w:rPr>
          <w:tab/>
        </w:r>
        <w:r w:rsidR="000A7F8D" w:rsidRPr="009E3F1A">
          <w:rPr>
            <w:rStyle w:val="af1"/>
            <w:rFonts w:ascii="宋体" w:hAnsi="宋体" w:hint="eastAsia"/>
            <w:color w:val="auto"/>
          </w:rPr>
          <w:t>基金托管人对基金管理人的业务监督和核查</w:t>
        </w:r>
        <w:r w:rsidR="000A7F8D" w:rsidRPr="009E3F1A">
          <w:tab/>
        </w:r>
        <w:r w:rsidR="000A7F8D">
          <w:fldChar w:fldCharType="begin"/>
        </w:r>
        <w:r w:rsidR="000A7F8D">
          <w:instrText xml:space="preserve"> PAGEREF _Toc450839469 \h </w:instrText>
        </w:r>
        <w:r w:rsidR="000A7F8D">
          <w:fldChar w:fldCharType="separate"/>
        </w:r>
        <w:r w:rsidR="000A7F8D">
          <w:t>4</w:t>
        </w:r>
        <w:r w:rsidR="000A7F8D">
          <w:fldChar w:fldCharType="end"/>
        </w:r>
      </w:hyperlink>
    </w:p>
    <w:p w14:paraId="115AF05A" w14:textId="48A7ED0C" w:rsidR="000A7F8D" w:rsidRPr="009E3F1A" w:rsidRDefault="00524C70">
      <w:pPr>
        <w:pStyle w:val="TOC1"/>
        <w:rPr>
          <w:rFonts w:ascii="Calibri" w:hAnsi="Calibri"/>
        </w:rPr>
      </w:pPr>
      <w:hyperlink w:anchor="_Toc450839470" w:history="1">
        <w:r w:rsidR="000A7F8D" w:rsidRPr="009E3F1A">
          <w:rPr>
            <w:rStyle w:val="af1"/>
            <w:rFonts w:ascii="宋体" w:hAnsi="宋体" w:hint="eastAsia"/>
            <w:color w:val="auto"/>
          </w:rPr>
          <w:t>四、</w:t>
        </w:r>
        <w:r w:rsidR="000A7F8D" w:rsidRPr="009E3F1A">
          <w:rPr>
            <w:rFonts w:ascii="Calibri" w:hAnsi="Calibri"/>
          </w:rPr>
          <w:tab/>
        </w:r>
        <w:r w:rsidR="000A7F8D" w:rsidRPr="009E3F1A">
          <w:rPr>
            <w:rStyle w:val="af1"/>
            <w:rFonts w:ascii="宋体" w:hAnsi="宋体" w:hint="eastAsia"/>
            <w:color w:val="auto"/>
          </w:rPr>
          <w:t>基金管理人对基金托管人的业务核查</w:t>
        </w:r>
        <w:r w:rsidR="000A7F8D" w:rsidRPr="009E3F1A">
          <w:tab/>
        </w:r>
        <w:r w:rsidR="000A7F8D">
          <w:fldChar w:fldCharType="begin"/>
        </w:r>
        <w:r w:rsidR="000A7F8D">
          <w:instrText xml:space="preserve"> PAGEREF _Toc450839470 \h </w:instrText>
        </w:r>
        <w:r w:rsidR="000A7F8D">
          <w:fldChar w:fldCharType="separate"/>
        </w:r>
        <w:r w:rsidR="000A7F8D">
          <w:t>12</w:t>
        </w:r>
        <w:r w:rsidR="000A7F8D">
          <w:fldChar w:fldCharType="end"/>
        </w:r>
      </w:hyperlink>
    </w:p>
    <w:p w14:paraId="68C3754C" w14:textId="6D3DC62A" w:rsidR="000A7F8D" w:rsidRPr="009E3F1A" w:rsidRDefault="00524C70">
      <w:pPr>
        <w:pStyle w:val="TOC1"/>
        <w:rPr>
          <w:rFonts w:ascii="Calibri" w:hAnsi="Calibri"/>
        </w:rPr>
      </w:pPr>
      <w:hyperlink w:anchor="_Toc450839471" w:history="1">
        <w:r w:rsidR="000A7F8D" w:rsidRPr="009E3F1A">
          <w:rPr>
            <w:rStyle w:val="af1"/>
            <w:rFonts w:ascii="宋体" w:hAnsi="宋体" w:hint="eastAsia"/>
            <w:color w:val="auto"/>
          </w:rPr>
          <w:t>五、</w:t>
        </w:r>
        <w:r w:rsidR="000A7F8D" w:rsidRPr="009E3F1A">
          <w:rPr>
            <w:rFonts w:ascii="Calibri" w:hAnsi="Calibri"/>
          </w:rPr>
          <w:tab/>
        </w:r>
        <w:r w:rsidR="000A7F8D" w:rsidRPr="009E3F1A">
          <w:rPr>
            <w:rStyle w:val="af1"/>
            <w:rFonts w:ascii="宋体" w:hAnsi="宋体" w:hint="eastAsia"/>
            <w:color w:val="auto"/>
          </w:rPr>
          <w:t>基金财产的保管</w:t>
        </w:r>
        <w:r w:rsidR="000A7F8D" w:rsidRPr="009E3F1A">
          <w:tab/>
        </w:r>
        <w:r w:rsidR="000A7F8D">
          <w:fldChar w:fldCharType="begin"/>
        </w:r>
        <w:r w:rsidR="000A7F8D">
          <w:instrText xml:space="preserve"> PAGEREF _Toc450839471 \h </w:instrText>
        </w:r>
        <w:r w:rsidR="000A7F8D">
          <w:fldChar w:fldCharType="separate"/>
        </w:r>
        <w:r w:rsidR="000A7F8D">
          <w:t>13</w:t>
        </w:r>
        <w:r w:rsidR="000A7F8D">
          <w:fldChar w:fldCharType="end"/>
        </w:r>
      </w:hyperlink>
    </w:p>
    <w:p w14:paraId="2D77E530" w14:textId="75E82D2B" w:rsidR="000A7F8D" w:rsidRPr="009E3F1A" w:rsidRDefault="00524C70">
      <w:pPr>
        <w:pStyle w:val="TOC1"/>
        <w:rPr>
          <w:rFonts w:ascii="Calibri" w:hAnsi="Calibri"/>
        </w:rPr>
      </w:pPr>
      <w:hyperlink w:anchor="_Toc450839472" w:history="1">
        <w:r w:rsidR="000A7F8D" w:rsidRPr="009E3F1A">
          <w:rPr>
            <w:rStyle w:val="af1"/>
            <w:rFonts w:ascii="宋体" w:hAnsi="宋体" w:hint="eastAsia"/>
            <w:color w:val="auto"/>
          </w:rPr>
          <w:t>六、</w:t>
        </w:r>
        <w:r w:rsidR="000A7F8D" w:rsidRPr="009E3F1A">
          <w:rPr>
            <w:rFonts w:ascii="Calibri" w:hAnsi="Calibri"/>
          </w:rPr>
          <w:tab/>
        </w:r>
        <w:r w:rsidR="000A7F8D" w:rsidRPr="009E3F1A">
          <w:rPr>
            <w:rStyle w:val="af1"/>
            <w:rFonts w:ascii="宋体" w:hAnsi="宋体" w:hint="eastAsia"/>
            <w:color w:val="auto"/>
          </w:rPr>
          <w:t>指令的发送、确认及执行</w:t>
        </w:r>
        <w:r w:rsidR="000A7F8D" w:rsidRPr="009E3F1A">
          <w:tab/>
        </w:r>
        <w:r w:rsidR="000A7F8D">
          <w:fldChar w:fldCharType="begin"/>
        </w:r>
        <w:r w:rsidR="000A7F8D">
          <w:instrText xml:space="preserve"> PAGEREF _Toc450839472 \h </w:instrText>
        </w:r>
        <w:r w:rsidR="000A7F8D">
          <w:fldChar w:fldCharType="separate"/>
        </w:r>
        <w:r w:rsidR="000A7F8D">
          <w:t>16</w:t>
        </w:r>
        <w:r w:rsidR="000A7F8D">
          <w:fldChar w:fldCharType="end"/>
        </w:r>
      </w:hyperlink>
    </w:p>
    <w:p w14:paraId="6BA03096" w14:textId="6719CAD2" w:rsidR="000A7F8D" w:rsidRPr="009E3F1A" w:rsidRDefault="00524C70">
      <w:pPr>
        <w:pStyle w:val="TOC1"/>
        <w:rPr>
          <w:rFonts w:ascii="Calibri" w:hAnsi="Calibri"/>
        </w:rPr>
      </w:pPr>
      <w:hyperlink w:anchor="_Toc450839473" w:history="1">
        <w:r w:rsidR="000A7F8D" w:rsidRPr="009E3F1A">
          <w:rPr>
            <w:rStyle w:val="af1"/>
            <w:rFonts w:ascii="宋体" w:hAnsi="宋体" w:hint="eastAsia"/>
            <w:color w:val="auto"/>
          </w:rPr>
          <w:t>七、</w:t>
        </w:r>
        <w:r w:rsidR="000A7F8D" w:rsidRPr="009E3F1A">
          <w:rPr>
            <w:rFonts w:ascii="Calibri" w:hAnsi="Calibri"/>
          </w:rPr>
          <w:tab/>
        </w:r>
        <w:r w:rsidR="000A7F8D" w:rsidRPr="009E3F1A">
          <w:rPr>
            <w:rStyle w:val="af1"/>
            <w:rFonts w:ascii="宋体" w:hAnsi="宋体" w:hint="eastAsia"/>
            <w:color w:val="auto"/>
          </w:rPr>
          <w:t>交易及清算交收安排</w:t>
        </w:r>
        <w:r w:rsidR="000A7F8D" w:rsidRPr="009E3F1A">
          <w:tab/>
        </w:r>
        <w:r w:rsidR="000A7F8D">
          <w:fldChar w:fldCharType="begin"/>
        </w:r>
        <w:r w:rsidR="000A7F8D">
          <w:instrText xml:space="preserve"> PAGEREF _Toc450839473 \h </w:instrText>
        </w:r>
        <w:r w:rsidR="000A7F8D">
          <w:fldChar w:fldCharType="separate"/>
        </w:r>
        <w:r w:rsidR="000A7F8D">
          <w:t>20</w:t>
        </w:r>
        <w:r w:rsidR="000A7F8D">
          <w:fldChar w:fldCharType="end"/>
        </w:r>
      </w:hyperlink>
    </w:p>
    <w:p w14:paraId="7B74D5A3" w14:textId="6386D266" w:rsidR="000A7F8D" w:rsidRPr="009E3F1A" w:rsidRDefault="00524C70">
      <w:pPr>
        <w:pStyle w:val="TOC1"/>
        <w:rPr>
          <w:rFonts w:ascii="Calibri" w:hAnsi="Calibri"/>
        </w:rPr>
      </w:pPr>
      <w:hyperlink w:anchor="_Toc450839474" w:history="1">
        <w:r w:rsidR="000A7F8D" w:rsidRPr="009E3F1A">
          <w:rPr>
            <w:rStyle w:val="af1"/>
            <w:rFonts w:ascii="宋体" w:hAnsi="宋体" w:hint="eastAsia"/>
            <w:color w:val="auto"/>
          </w:rPr>
          <w:t>八、</w:t>
        </w:r>
        <w:r w:rsidR="000A7F8D" w:rsidRPr="009E3F1A">
          <w:rPr>
            <w:rFonts w:ascii="Calibri" w:hAnsi="Calibri"/>
          </w:rPr>
          <w:tab/>
        </w:r>
        <w:r w:rsidR="000A7F8D" w:rsidRPr="009E3F1A">
          <w:rPr>
            <w:rStyle w:val="af1"/>
            <w:rFonts w:ascii="宋体" w:hAnsi="宋体" w:hint="eastAsia"/>
            <w:color w:val="auto"/>
          </w:rPr>
          <w:t>基金资产净值计算和会计核算</w:t>
        </w:r>
        <w:r w:rsidR="000A7F8D" w:rsidRPr="009E3F1A">
          <w:tab/>
        </w:r>
        <w:r w:rsidR="000A7F8D">
          <w:fldChar w:fldCharType="begin"/>
        </w:r>
        <w:r w:rsidR="000A7F8D">
          <w:instrText xml:space="preserve"> PAGEREF _Toc450839474 \h </w:instrText>
        </w:r>
        <w:r w:rsidR="000A7F8D">
          <w:fldChar w:fldCharType="separate"/>
        </w:r>
        <w:r w:rsidR="000A7F8D">
          <w:t>25</w:t>
        </w:r>
        <w:r w:rsidR="000A7F8D">
          <w:fldChar w:fldCharType="end"/>
        </w:r>
      </w:hyperlink>
    </w:p>
    <w:p w14:paraId="4C34C4D3" w14:textId="4642736A" w:rsidR="000A7F8D" w:rsidRPr="009E3F1A" w:rsidRDefault="00524C70">
      <w:pPr>
        <w:pStyle w:val="TOC1"/>
        <w:rPr>
          <w:rFonts w:ascii="Calibri" w:hAnsi="Calibri"/>
        </w:rPr>
      </w:pPr>
      <w:hyperlink w:anchor="_Toc450839475" w:history="1">
        <w:r w:rsidR="000A7F8D" w:rsidRPr="009E3F1A">
          <w:rPr>
            <w:rStyle w:val="af1"/>
            <w:rFonts w:ascii="宋体" w:hAnsi="宋体" w:hint="eastAsia"/>
            <w:color w:val="auto"/>
          </w:rPr>
          <w:t>九、</w:t>
        </w:r>
        <w:r w:rsidR="000A7F8D" w:rsidRPr="009E3F1A">
          <w:rPr>
            <w:rFonts w:ascii="Calibri" w:hAnsi="Calibri"/>
          </w:rPr>
          <w:tab/>
        </w:r>
        <w:r w:rsidR="000A7F8D" w:rsidRPr="009E3F1A">
          <w:rPr>
            <w:rStyle w:val="af1"/>
            <w:rFonts w:ascii="宋体" w:hAnsi="宋体" w:hint="eastAsia"/>
            <w:color w:val="auto"/>
          </w:rPr>
          <w:t>基金收益分配</w:t>
        </w:r>
        <w:r w:rsidR="000A7F8D" w:rsidRPr="009E3F1A">
          <w:tab/>
        </w:r>
        <w:r w:rsidR="000A7F8D">
          <w:fldChar w:fldCharType="begin"/>
        </w:r>
        <w:r w:rsidR="000A7F8D">
          <w:instrText xml:space="preserve"> PAGEREF _Toc450839475 \h </w:instrText>
        </w:r>
        <w:r w:rsidR="000A7F8D">
          <w:fldChar w:fldCharType="separate"/>
        </w:r>
        <w:r w:rsidR="000A7F8D">
          <w:t>30</w:t>
        </w:r>
        <w:r w:rsidR="000A7F8D">
          <w:fldChar w:fldCharType="end"/>
        </w:r>
      </w:hyperlink>
    </w:p>
    <w:p w14:paraId="1F6FC12D" w14:textId="7E52739C" w:rsidR="000A7F8D" w:rsidRPr="009E3F1A" w:rsidRDefault="00524C70">
      <w:pPr>
        <w:pStyle w:val="TOC1"/>
        <w:rPr>
          <w:rFonts w:ascii="Calibri" w:hAnsi="Calibri"/>
        </w:rPr>
      </w:pPr>
      <w:hyperlink w:anchor="_Toc450839476" w:history="1">
        <w:r w:rsidR="000A7F8D" w:rsidRPr="009E3F1A">
          <w:rPr>
            <w:rStyle w:val="af1"/>
            <w:rFonts w:ascii="宋体" w:hAnsi="宋体" w:hint="eastAsia"/>
            <w:color w:val="auto"/>
          </w:rPr>
          <w:t>十、</w:t>
        </w:r>
        <w:r w:rsidR="000A7F8D" w:rsidRPr="009E3F1A">
          <w:rPr>
            <w:rFonts w:ascii="Calibri" w:hAnsi="Calibri"/>
          </w:rPr>
          <w:tab/>
        </w:r>
        <w:r w:rsidR="000A7F8D" w:rsidRPr="009E3F1A">
          <w:rPr>
            <w:rStyle w:val="af1"/>
            <w:rFonts w:ascii="宋体" w:hAnsi="宋体" w:hint="eastAsia"/>
            <w:color w:val="auto"/>
          </w:rPr>
          <w:t>基金信息披露</w:t>
        </w:r>
        <w:r w:rsidR="000A7F8D" w:rsidRPr="009E3F1A">
          <w:tab/>
        </w:r>
        <w:r w:rsidR="000A7F8D">
          <w:fldChar w:fldCharType="begin"/>
        </w:r>
        <w:r w:rsidR="000A7F8D">
          <w:instrText xml:space="preserve"> PAGEREF _Toc450839476 \h </w:instrText>
        </w:r>
        <w:r w:rsidR="000A7F8D">
          <w:fldChar w:fldCharType="separate"/>
        </w:r>
        <w:r w:rsidR="000A7F8D">
          <w:t>31</w:t>
        </w:r>
        <w:r w:rsidR="000A7F8D">
          <w:fldChar w:fldCharType="end"/>
        </w:r>
      </w:hyperlink>
    </w:p>
    <w:p w14:paraId="1D528BC1" w14:textId="3C2A1A2A" w:rsidR="000A7F8D" w:rsidRPr="009E3F1A" w:rsidRDefault="00524C70">
      <w:pPr>
        <w:pStyle w:val="TOC1"/>
        <w:rPr>
          <w:rFonts w:ascii="Calibri" w:hAnsi="Calibri"/>
        </w:rPr>
      </w:pPr>
      <w:hyperlink w:anchor="_Toc450839477" w:history="1">
        <w:r w:rsidR="000A7F8D" w:rsidRPr="009E3F1A">
          <w:rPr>
            <w:rStyle w:val="af1"/>
            <w:rFonts w:ascii="宋体" w:hAnsi="宋体" w:hint="eastAsia"/>
            <w:color w:val="auto"/>
          </w:rPr>
          <w:t>十一、</w:t>
        </w:r>
        <w:r w:rsidR="000A7F8D" w:rsidRPr="009E3F1A">
          <w:rPr>
            <w:rFonts w:ascii="Calibri" w:hAnsi="Calibri"/>
          </w:rPr>
          <w:tab/>
        </w:r>
        <w:r w:rsidR="000A7F8D" w:rsidRPr="009E3F1A">
          <w:rPr>
            <w:rStyle w:val="af1"/>
            <w:rFonts w:ascii="宋体" w:hAnsi="宋体" w:hint="eastAsia"/>
            <w:color w:val="auto"/>
          </w:rPr>
          <w:t>基金费用</w:t>
        </w:r>
        <w:r w:rsidR="000A7F8D" w:rsidRPr="009E3F1A">
          <w:tab/>
        </w:r>
        <w:r w:rsidR="000A7F8D">
          <w:fldChar w:fldCharType="begin"/>
        </w:r>
        <w:r w:rsidR="000A7F8D">
          <w:instrText xml:space="preserve"> PAGEREF _Toc450839477 \h </w:instrText>
        </w:r>
        <w:r w:rsidR="000A7F8D">
          <w:fldChar w:fldCharType="separate"/>
        </w:r>
        <w:r w:rsidR="000A7F8D">
          <w:t>33</w:t>
        </w:r>
        <w:r w:rsidR="000A7F8D">
          <w:fldChar w:fldCharType="end"/>
        </w:r>
      </w:hyperlink>
    </w:p>
    <w:p w14:paraId="02C82BA1" w14:textId="363A85B7" w:rsidR="000A7F8D" w:rsidRPr="009E3F1A" w:rsidRDefault="00524C70">
      <w:pPr>
        <w:pStyle w:val="TOC1"/>
        <w:rPr>
          <w:rFonts w:ascii="Calibri" w:hAnsi="Calibri"/>
        </w:rPr>
      </w:pPr>
      <w:hyperlink w:anchor="_Toc450839478" w:history="1">
        <w:r w:rsidR="000A7F8D" w:rsidRPr="009E3F1A">
          <w:rPr>
            <w:rStyle w:val="af1"/>
            <w:rFonts w:ascii="宋体" w:hAnsi="宋体" w:hint="eastAsia"/>
            <w:color w:val="auto"/>
          </w:rPr>
          <w:t>十二、</w:t>
        </w:r>
        <w:r w:rsidR="000A7F8D" w:rsidRPr="009E3F1A">
          <w:rPr>
            <w:rFonts w:ascii="Calibri" w:hAnsi="Calibri"/>
          </w:rPr>
          <w:tab/>
        </w:r>
        <w:r w:rsidR="000A7F8D" w:rsidRPr="009E3F1A">
          <w:rPr>
            <w:rStyle w:val="af1"/>
            <w:rFonts w:ascii="宋体" w:hAnsi="宋体" w:hint="eastAsia"/>
            <w:color w:val="auto"/>
          </w:rPr>
          <w:t>基金份额持有人名册的保管</w:t>
        </w:r>
        <w:r w:rsidR="000A7F8D" w:rsidRPr="009E3F1A">
          <w:tab/>
        </w:r>
        <w:r w:rsidR="000A7F8D">
          <w:fldChar w:fldCharType="begin"/>
        </w:r>
        <w:r w:rsidR="000A7F8D">
          <w:instrText xml:space="preserve"> PAGEREF _Toc450839478 \h </w:instrText>
        </w:r>
        <w:r w:rsidR="000A7F8D">
          <w:fldChar w:fldCharType="separate"/>
        </w:r>
        <w:r w:rsidR="000A7F8D">
          <w:t>35</w:t>
        </w:r>
        <w:r w:rsidR="000A7F8D">
          <w:fldChar w:fldCharType="end"/>
        </w:r>
      </w:hyperlink>
    </w:p>
    <w:p w14:paraId="543E8206" w14:textId="7E2889C1" w:rsidR="000A7F8D" w:rsidRPr="009E3F1A" w:rsidRDefault="00524C70">
      <w:pPr>
        <w:pStyle w:val="TOC1"/>
        <w:rPr>
          <w:rFonts w:ascii="Calibri" w:hAnsi="Calibri"/>
        </w:rPr>
      </w:pPr>
      <w:hyperlink w:anchor="_Toc450839479" w:history="1">
        <w:r w:rsidR="000A7F8D" w:rsidRPr="009E3F1A">
          <w:rPr>
            <w:rStyle w:val="af1"/>
            <w:rFonts w:ascii="宋体" w:hAnsi="宋体" w:hint="eastAsia"/>
            <w:color w:val="auto"/>
          </w:rPr>
          <w:t>十三、</w:t>
        </w:r>
        <w:r w:rsidR="000A7F8D" w:rsidRPr="009E3F1A">
          <w:rPr>
            <w:rFonts w:ascii="Calibri" w:hAnsi="Calibri"/>
          </w:rPr>
          <w:tab/>
        </w:r>
        <w:r w:rsidR="000A7F8D" w:rsidRPr="009E3F1A">
          <w:rPr>
            <w:rStyle w:val="af1"/>
            <w:rFonts w:ascii="宋体" w:hAnsi="宋体" w:hint="eastAsia"/>
            <w:color w:val="auto"/>
          </w:rPr>
          <w:t>基金有关文件档案的保存</w:t>
        </w:r>
        <w:r w:rsidR="000A7F8D" w:rsidRPr="009E3F1A">
          <w:tab/>
        </w:r>
        <w:r w:rsidR="000A7F8D">
          <w:fldChar w:fldCharType="begin"/>
        </w:r>
        <w:r w:rsidR="000A7F8D">
          <w:instrText xml:space="preserve"> PAGEREF _Toc450839479 \h </w:instrText>
        </w:r>
        <w:r w:rsidR="000A7F8D">
          <w:fldChar w:fldCharType="separate"/>
        </w:r>
        <w:r w:rsidR="000A7F8D">
          <w:t>36</w:t>
        </w:r>
        <w:r w:rsidR="000A7F8D">
          <w:fldChar w:fldCharType="end"/>
        </w:r>
      </w:hyperlink>
    </w:p>
    <w:p w14:paraId="7D0F0568" w14:textId="7439ADDE" w:rsidR="000A7F8D" w:rsidRPr="009E3F1A" w:rsidRDefault="00524C70">
      <w:pPr>
        <w:pStyle w:val="TOC1"/>
        <w:rPr>
          <w:rFonts w:ascii="Calibri" w:hAnsi="Calibri"/>
        </w:rPr>
      </w:pPr>
      <w:hyperlink w:anchor="_Toc450839480" w:history="1">
        <w:r w:rsidR="000A7F8D" w:rsidRPr="009E3F1A">
          <w:rPr>
            <w:rStyle w:val="af1"/>
            <w:rFonts w:hint="eastAsia"/>
            <w:color w:val="auto"/>
          </w:rPr>
          <w:t>十四、</w:t>
        </w:r>
        <w:r w:rsidR="000A7F8D" w:rsidRPr="009E3F1A">
          <w:rPr>
            <w:rFonts w:ascii="Calibri" w:hAnsi="Calibri"/>
          </w:rPr>
          <w:tab/>
        </w:r>
        <w:r w:rsidR="000A7F8D" w:rsidRPr="009E3F1A">
          <w:rPr>
            <w:rStyle w:val="af1"/>
            <w:rFonts w:ascii="宋体" w:hAnsi="宋体" w:hint="eastAsia"/>
            <w:color w:val="auto"/>
          </w:rPr>
          <w:t>基金管理人和基金托管人的更换</w:t>
        </w:r>
        <w:r w:rsidR="000A7F8D" w:rsidRPr="009E3F1A">
          <w:tab/>
        </w:r>
        <w:r w:rsidR="000A7F8D">
          <w:fldChar w:fldCharType="begin"/>
        </w:r>
        <w:r w:rsidR="000A7F8D">
          <w:instrText xml:space="preserve"> PAGEREF _Toc450839480 \h </w:instrText>
        </w:r>
        <w:r w:rsidR="000A7F8D">
          <w:fldChar w:fldCharType="separate"/>
        </w:r>
        <w:r w:rsidR="000A7F8D">
          <w:t>37</w:t>
        </w:r>
        <w:r w:rsidR="000A7F8D">
          <w:fldChar w:fldCharType="end"/>
        </w:r>
      </w:hyperlink>
    </w:p>
    <w:p w14:paraId="444F66D5" w14:textId="63D0081F" w:rsidR="000A7F8D" w:rsidRPr="009E3F1A" w:rsidRDefault="00524C70">
      <w:pPr>
        <w:pStyle w:val="TOC1"/>
        <w:rPr>
          <w:rFonts w:ascii="Calibri" w:hAnsi="Calibri"/>
        </w:rPr>
      </w:pPr>
      <w:hyperlink w:anchor="_Toc450839481" w:history="1">
        <w:r w:rsidR="000A7F8D" w:rsidRPr="009E3F1A">
          <w:rPr>
            <w:rStyle w:val="af1"/>
            <w:rFonts w:ascii="宋体" w:hAnsi="宋体" w:hint="eastAsia"/>
            <w:color w:val="auto"/>
          </w:rPr>
          <w:t>十五、</w:t>
        </w:r>
        <w:r w:rsidR="000A7F8D" w:rsidRPr="009E3F1A">
          <w:rPr>
            <w:rFonts w:ascii="Calibri" w:hAnsi="Calibri"/>
          </w:rPr>
          <w:tab/>
        </w:r>
        <w:r w:rsidR="000A7F8D" w:rsidRPr="009E3F1A">
          <w:rPr>
            <w:rStyle w:val="af1"/>
            <w:rFonts w:ascii="宋体" w:hAnsi="宋体" w:hint="eastAsia"/>
            <w:color w:val="auto"/>
          </w:rPr>
          <w:t>禁止行为</w:t>
        </w:r>
        <w:r w:rsidR="000A7F8D" w:rsidRPr="009E3F1A">
          <w:tab/>
        </w:r>
        <w:r w:rsidR="000A7F8D">
          <w:fldChar w:fldCharType="begin"/>
        </w:r>
        <w:r w:rsidR="000A7F8D">
          <w:instrText xml:space="preserve"> PAGEREF _Toc450839481 \h </w:instrText>
        </w:r>
        <w:r w:rsidR="000A7F8D">
          <w:fldChar w:fldCharType="separate"/>
        </w:r>
        <w:r w:rsidR="000A7F8D">
          <w:t>40</w:t>
        </w:r>
        <w:r w:rsidR="000A7F8D">
          <w:fldChar w:fldCharType="end"/>
        </w:r>
      </w:hyperlink>
    </w:p>
    <w:p w14:paraId="3528E38E" w14:textId="3ED46B72" w:rsidR="000A7F8D" w:rsidRPr="009E3F1A" w:rsidRDefault="00524C70">
      <w:pPr>
        <w:pStyle w:val="TOC1"/>
        <w:rPr>
          <w:rFonts w:ascii="Calibri" w:hAnsi="Calibri"/>
        </w:rPr>
      </w:pPr>
      <w:hyperlink w:anchor="_Toc450839482" w:history="1">
        <w:r w:rsidR="000A7F8D" w:rsidRPr="009E3F1A">
          <w:rPr>
            <w:rStyle w:val="af1"/>
            <w:rFonts w:ascii="宋体" w:hAnsi="宋体" w:hint="eastAsia"/>
            <w:color w:val="auto"/>
          </w:rPr>
          <w:t>十六、</w:t>
        </w:r>
        <w:r w:rsidR="000A7F8D" w:rsidRPr="009E3F1A">
          <w:rPr>
            <w:rFonts w:ascii="Calibri" w:hAnsi="Calibri"/>
          </w:rPr>
          <w:tab/>
        </w:r>
        <w:r w:rsidR="000A7F8D" w:rsidRPr="009E3F1A">
          <w:rPr>
            <w:rStyle w:val="af1"/>
            <w:rFonts w:ascii="宋体" w:hAnsi="宋体" w:hint="eastAsia"/>
            <w:color w:val="auto"/>
          </w:rPr>
          <w:t>托管协议的变更、终止与基金财产的清算</w:t>
        </w:r>
        <w:r w:rsidR="000A7F8D" w:rsidRPr="009E3F1A">
          <w:tab/>
        </w:r>
        <w:r w:rsidR="000A7F8D">
          <w:fldChar w:fldCharType="begin"/>
        </w:r>
        <w:r w:rsidR="000A7F8D">
          <w:instrText xml:space="preserve"> PAGEREF _Toc450839482 \h </w:instrText>
        </w:r>
        <w:r w:rsidR="000A7F8D">
          <w:fldChar w:fldCharType="separate"/>
        </w:r>
        <w:r w:rsidR="000A7F8D">
          <w:t>42</w:t>
        </w:r>
        <w:r w:rsidR="000A7F8D">
          <w:fldChar w:fldCharType="end"/>
        </w:r>
      </w:hyperlink>
    </w:p>
    <w:p w14:paraId="7CAE80D2" w14:textId="762ADA9D" w:rsidR="000A7F8D" w:rsidRPr="009E3F1A" w:rsidRDefault="00524C70">
      <w:pPr>
        <w:pStyle w:val="TOC1"/>
        <w:rPr>
          <w:rFonts w:ascii="Calibri" w:hAnsi="Calibri"/>
        </w:rPr>
      </w:pPr>
      <w:hyperlink w:anchor="_Toc450839483" w:history="1">
        <w:r w:rsidR="000A7F8D" w:rsidRPr="009E3F1A">
          <w:rPr>
            <w:rStyle w:val="af1"/>
            <w:rFonts w:ascii="宋体" w:hAnsi="宋体" w:hint="eastAsia"/>
            <w:color w:val="auto"/>
          </w:rPr>
          <w:t>十七、</w:t>
        </w:r>
        <w:r w:rsidR="000A7F8D" w:rsidRPr="009E3F1A">
          <w:rPr>
            <w:rFonts w:ascii="Calibri" w:hAnsi="Calibri"/>
          </w:rPr>
          <w:tab/>
        </w:r>
        <w:r w:rsidR="000A7F8D" w:rsidRPr="009E3F1A">
          <w:rPr>
            <w:rStyle w:val="af1"/>
            <w:rFonts w:ascii="宋体" w:hAnsi="宋体" w:hint="eastAsia"/>
            <w:color w:val="auto"/>
          </w:rPr>
          <w:t>违约责任</w:t>
        </w:r>
        <w:r w:rsidR="000A7F8D" w:rsidRPr="009E3F1A">
          <w:tab/>
        </w:r>
        <w:r w:rsidR="000A7F8D">
          <w:fldChar w:fldCharType="begin"/>
        </w:r>
        <w:r w:rsidR="000A7F8D">
          <w:instrText xml:space="preserve"> PAGEREF _Toc450839483 \h </w:instrText>
        </w:r>
        <w:r w:rsidR="000A7F8D">
          <w:fldChar w:fldCharType="separate"/>
        </w:r>
        <w:r w:rsidR="000A7F8D">
          <w:t>44</w:t>
        </w:r>
        <w:r w:rsidR="000A7F8D">
          <w:fldChar w:fldCharType="end"/>
        </w:r>
      </w:hyperlink>
    </w:p>
    <w:p w14:paraId="4D90E802" w14:textId="6511AFF2" w:rsidR="000A7F8D" w:rsidRPr="009E3F1A" w:rsidRDefault="00524C70">
      <w:pPr>
        <w:pStyle w:val="TOC1"/>
        <w:rPr>
          <w:rFonts w:ascii="Calibri" w:hAnsi="Calibri"/>
        </w:rPr>
      </w:pPr>
      <w:hyperlink w:anchor="_Toc450839484" w:history="1">
        <w:r w:rsidR="000A7F8D" w:rsidRPr="009E3F1A">
          <w:rPr>
            <w:rStyle w:val="af1"/>
            <w:rFonts w:ascii="宋体" w:hAnsi="宋体" w:hint="eastAsia"/>
            <w:color w:val="auto"/>
          </w:rPr>
          <w:t>十八、</w:t>
        </w:r>
        <w:r w:rsidR="000A7F8D" w:rsidRPr="009E3F1A">
          <w:rPr>
            <w:rFonts w:ascii="Calibri" w:hAnsi="Calibri"/>
          </w:rPr>
          <w:tab/>
        </w:r>
        <w:r w:rsidR="000A7F8D" w:rsidRPr="009E3F1A">
          <w:rPr>
            <w:rStyle w:val="af1"/>
            <w:rFonts w:ascii="宋体" w:hAnsi="宋体" w:hint="eastAsia"/>
            <w:color w:val="auto"/>
          </w:rPr>
          <w:t>争议解决方式</w:t>
        </w:r>
        <w:r w:rsidR="000A7F8D" w:rsidRPr="009E3F1A">
          <w:tab/>
        </w:r>
        <w:r w:rsidR="000A7F8D">
          <w:fldChar w:fldCharType="begin"/>
        </w:r>
        <w:r w:rsidR="000A7F8D">
          <w:instrText xml:space="preserve"> PAGEREF _Toc450839484 \h </w:instrText>
        </w:r>
        <w:r w:rsidR="000A7F8D">
          <w:fldChar w:fldCharType="separate"/>
        </w:r>
        <w:r w:rsidR="000A7F8D">
          <w:t>46</w:t>
        </w:r>
        <w:r w:rsidR="000A7F8D">
          <w:fldChar w:fldCharType="end"/>
        </w:r>
      </w:hyperlink>
    </w:p>
    <w:p w14:paraId="4B2167F9" w14:textId="7297BAF1" w:rsidR="000A7F8D" w:rsidRPr="009E3F1A" w:rsidRDefault="00524C70">
      <w:pPr>
        <w:pStyle w:val="TOC1"/>
        <w:rPr>
          <w:rFonts w:ascii="Calibri" w:hAnsi="Calibri"/>
        </w:rPr>
      </w:pPr>
      <w:hyperlink w:anchor="_Toc450839485" w:history="1">
        <w:r w:rsidR="000A7F8D" w:rsidRPr="009E3F1A">
          <w:rPr>
            <w:rStyle w:val="af1"/>
            <w:rFonts w:ascii="宋体" w:hAnsi="宋体" w:hint="eastAsia"/>
            <w:color w:val="auto"/>
          </w:rPr>
          <w:t>十九、</w:t>
        </w:r>
        <w:r w:rsidR="000A7F8D" w:rsidRPr="009E3F1A">
          <w:rPr>
            <w:rFonts w:ascii="Calibri" w:hAnsi="Calibri"/>
          </w:rPr>
          <w:tab/>
        </w:r>
        <w:r w:rsidR="000A7F8D" w:rsidRPr="009E3F1A">
          <w:rPr>
            <w:rStyle w:val="af1"/>
            <w:rFonts w:ascii="宋体" w:hAnsi="宋体" w:hint="eastAsia"/>
            <w:color w:val="auto"/>
          </w:rPr>
          <w:t>托管协议的效力</w:t>
        </w:r>
        <w:r w:rsidR="000A7F8D" w:rsidRPr="009E3F1A">
          <w:tab/>
        </w:r>
        <w:r w:rsidR="000A7F8D">
          <w:fldChar w:fldCharType="begin"/>
        </w:r>
        <w:r w:rsidR="000A7F8D">
          <w:instrText xml:space="preserve"> PAGEREF _Toc450839485 \h </w:instrText>
        </w:r>
        <w:r w:rsidR="000A7F8D">
          <w:fldChar w:fldCharType="separate"/>
        </w:r>
        <w:r w:rsidR="000A7F8D">
          <w:t>47</w:t>
        </w:r>
        <w:r w:rsidR="000A7F8D">
          <w:fldChar w:fldCharType="end"/>
        </w:r>
      </w:hyperlink>
    </w:p>
    <w:p w14:paraId="5B9E8DBA" w14:textId="41EB9C32" w:rsidR="000A7F8D" w:rsidRPr="009E3F1A" w:rsidRDefault="00524C70">
      <w:pPr>
        <w:pStyle w:val="TOC1"/>
        <w:rPr>
          <w:rFonts w:ascii="Calibri" w:hAnsi="Calibri"/>
        </w:rPr>
      </w:pPr>
      <w:hyperlink w:anchor="_Toc450839486" w:history="1">
        <w:r w:rsidR="000A7F8D" w:rsidRPr="009E3F1A">
          <w:rPr>
            <w:rStyle w:val="af1"/>
            <w:rFonts w:ascii="宋体" w:hAnsi="宋体" w:hint="eastAsia"/>
            <w:color w:val="auto"/>
          </w:rPr>
          <w:t>二十、</w:t>
        </w:r>
        <w:r w:rsidR="000A7F8D" w:rsidRPr="009E3F1A">
          <w:rPr>
            <w:rFonts w:ascii="Calibri" w:hAnsi="Calibri"/>
          </w:rPr>
          <w:tab/>
        </w:r>
        <w:r w:rsidR="000A7F8D" w:rsidRPr="009E3F1A">
          <w:rPr>
            <w:rStyle w:val="af1"/>
            <w:rFonts w:ascii="宋体" w:hAnsi="宋体" w:hint="eastAsia"/>
            <w:color w:val="auto"/>
          </w:rPr>
          <w:t>其他事项</w:t>
        </w:r>
        <w:r w:rsidR="000A7F8D" w:rsidRPr="009E3F1A">
          <w:tab/>
        </w:r>
        <w:r w:rsidR="000A7F8D">
          <w:fldChar w:fldCharType="begin"/>
        </w:r>
        <w:r w:rsidR="000A7F8D">
          <w:instrText xml:space="preserve"> PAGEREF _Toc450839486 \h </w:instrText>
        </w:r>
        <w:r w:rsidR="000A7F8D">
          <w:fldChar w:fldCharType="separate"/>
        </w:r>
        <w:r w:rsidR="000A7F8D">
          <w:t>48</w:t>
        </w:r>
        <w:r w:rsidR="000A7F8D">
          <w:fldChar w:fldCharType="end"/>
        </w:r>
      </w:hyperlink>
    </w:p>
    <w:p w14:paraId="6CB00357" w14:textId="77777777" w:rsidR="000A7F8D" w:rsidRDefault="000A7F8D">
      <w:pPr>
        <w:spacing w:line="360" w:lineRule="auto"/>
        <w:rPr>
          <w:rFonts w:ascii="宋体" w:hAnsi="宋体"/>
          <w:sz w:val="24"/>
        </w:rPr>
      </w:pPr>
      <w:r>
        <w:rPr>
          <w:rFonts w:ascii="宋体" w:hAnsi="宋体"/>
          <w:b/>
          <w:sz w:val="24"/>
        </w:rPr>
        <w:fldChar w:fldCharType="end"/>
      </w:r>
    </w:p>
    <w:p w14:paraId="377D1A97" w14:textId="77777777" w:rsidR="000A7F8D" w:rsidRDefault="000A7F8D">
      <w:pPr>
        <w:snapToGrid w:val="0"/>
        <w:spacing w:line="360" w:lineRule="auto"/>
        <w:rPr>
          <w:rFonts w:ascii="宋体" w:hAnsi="宋体"/>
          <w:sz w:val="24"/>
        </w:rPr>
        <w:sectPr w:rsidR="000A7F8D">
          <w:footerReference w:type="default" r:id="rId7"/>
          <w:pgSz w:w="11906" w:h="16838"/>
          <w:pgMar w:top="1440" w:right="1800" w:bottom="1440" w:left="1800" w:header="851" w:footer="992" w:gutter="0"/>
          <w:cols w:space="720"/>
          <w:docGrid w:type="lines" w:linePitch="312"/>
        </w:sectPr>
      </w:pPr>
      <w:r>
        <w:rPr>
          <w:rFonts w:ascii="宋体" w:hAnsi="宋体"/>
          <w:sz w:val="24"/>
        </w:rPr>
        <w:br w:type="page"/>
      </w:r>
    </w:p>
    <w:p w14:paraId="5571E19B"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lastRenderedPageBreak/>
        <w:t>鉴于</w:t>
      </w:r>
      <w:r w:rsidR="00BC3093">
        <w:rPr>
          <w:rFonts w:ascii="宋体" w:hAnsi="宋体" w:cs="Arial" w:hint="eastAsia"/>
          <w:sz w:val="24"/>
        </w:rPr>
        <w:t>中欧</w:t>
      </w:r>
      <w:r>
        <w:rPr>
          <w:rFonts w:ascii="宋体" w:hAnsi="宋体" w:cs="Arial" w:hint="eastAsia"/>
          <w:kern w:val="0"/>
          <w:sz w:val="24"/>
        </w:rPr>
        <w:t>基金管理有限公司系一家依照中国法律合法成立并有效存续的有限责任公司，按照相关法律法规的规定具备担任基金管理人的资格和能力，拟募集发行</w:t>
      </w:r>
      <w:r w:rsidR="00BC3093" w:rsidRPr="00BC3093">
        <w:rPr>
          <w:rFonts w:hint="eastAsia"/>
          <w:bCs/>
          <w:sz w:val="24"/>
        </w:rPr>
        <w:t>中欧</w:t>
      </w:r>
      <w:proofErr w:type="gramStart"/>
      <w:r w:rsidR="000A0FE8">
        <w:rPr>
          <w:rFonts w:hint="eastAsia"/>
          <w:bCs/>
          <w:sz w:val="24"/>
        </w:rPr>
        <w:t>价值裕享</w:t>
      </w:r>
      <w:r w:rsidR="00BC3093" w:rsidRPr="00BC3093">
        <w:rPr>
          <w:rFonts w:hint="eastAsia"/>
          <w:bCs/>
          <w:sz w:val="24"/>
        </w:rPr>
        <w:t>混合</w:t>
      </w:r>
      <w:r>
        <w:rPr>
          <w:rFonts w:hint="eastAsia"/>
          <w:bCs/>
          <w:sz w:val="24"/>
        </w:rPr>
        <w:t>型</w:t>
      </w:r>
      <w:proofErr w:type="gramEnd"/>
      <w:r>
        <w:rPr>
          <w:rFonts w:ascii="宋体" w:hAnsi="宋体" w:cs="Arial" w:hint="eastAsia"/>
          <w:kern w:val="0"/>
          <w:sz w:val="24"/>
        </w:rPr>
        <w:t>证券投资基金；</w:t>
      </w:r>
    </w:p>
    <w:p w14:paraId="0CE8CD7B"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鉴于中国民生银行股份有限公司系一家依照中国法律合法成立并有效存续的银行，按照相关法律法规的规定具备担任基金托管人的资格和能力；</w:t>
      </w:r>
    </w:p>
    <w:p w14:paraId="5A1F96D0"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鉴于</w:t>
      </w:r>
      <w:r w:rsidR="00BC3093">
        <w:rPr>
          <w:rFonts w:ascii="宋体" w:hAnsi="宋体" w:cs="Arial" w:hint="eastAsia"/>
          <w:kern w:val="0"/>
          <w:sz w:val="24"/>
        </w:rPr>
        <w:t>中欧</w:t>
      </w:r>
      <w:r>
        <w:rPr>
          <w:rFonts w:ascii="宋体" w:hAnsi="宋体" w:cs="Arial" w:hint="eastAsia"/>
          <w:kern w:val="0"/>
          <w:sz w:val="24"/>
        </w:rPr>
        <w:t>基金管理有限公司拟担任</w:t>
      </w:r>
      <w:r w:rsidR="00BC3093" w:rsidRPr="00BC3093">
        <w:rPr>
          <w:rFonts w:hint="eastAsia"/>
          <w:bCs/>
          <w:sz w:val="24"/>
        </w:rPr>
        <w:t>中欧</w:t>
      </w:r>
      <w:proofErr w:type="gramStart"/>
      <w:r w:rsidR="000A0FE8">
        <w:rPr>
          <w:rFonts w:hint="eastAsia"/>
          <w:bCs/>
          <w:sz w:val="24"/>
        </w:rPr>
        <w:t>价值裕享</w:t>
      </w:r>
      <w:r w:rsidR="00BC3093" w:rsidRPr="00BC3093">
        <w:rPr>
          <w:rFonts w:hint="eastAsia"/>
          <w:bCs/>
          <w:sz w:val="24"/>
        </w:rPr>
        <w:t>混合</w:t>
      </w:r>
      <w:r>
        <w:rPr>
          <w:rFonts w:hint="eastAsia"/>
          <w:bCs/>
          <w:sz w:val="24"/>
        </w:rPr>
        <w:t>型</w:t>
      </w:r>
      <w:proofErr w:type="gramEnd"/>
      <w:r>
        <w:rPr>
          <w:rFonts w:ascii="宋体" w:hAnsi="宋体" w:cs="Arial" w:hint="eastAsia"/>
          <w:kern w:val="0"/>
          <w:sz w:val="24"/>
        </w:rPr>
        <w:t>证券投资基金的基金管理人，中国民生银行股份有限公司拟担任</w:t>
      </w:r>
      <w:r w:rsidR="00BC3093" w:rsidRPr="00BC3093">
        <w:rPr>
          <w:rFonts w:hint="eastAsia"/>
          <w:bCs/>
          <w:sz w:val="24"/>
        </w:rPr>
        <w:t>中欧</w:t>
      </w:r>
      <w:proofErr w:type="gramStart"/>
      <w:r w:rsidR="000A0FE8">
        <w:rPr>
          <w:rFonts w:hint="eastAsia"/>
          <w:bCs/>
          <w:sz w:val="24"/>
        </w:rPr>
        <w:t>价值裕享</w:t>
      </w:r>
      <w:r w:rsidR="00BC3093" w:rsidRPr="00BC3093">
        <w:rPr>
          <w:rFonts w:hint="eastAsia"/>
          <w:bCs/>
          <w:sz w:val="24"/>
        </w:rPr>
        <w:t>混合</w:t>
      </w:r>
      <w:r>
        <w:rPr>
          <w:rFonts w:hint="eastAsia"/>
          <w:bCs/>
          <w:sz w:val="24"/>
        </w:rPr>
        <w:t>型</w:t>
      </w:r>
      <w:proofErr w:type="gramEnd"/>
      <w:r>
        <w:rPr>
          <w:rFonts w:ascii="宋体" w:hAnsi="宋体" w:cs="Arial" w:hint="eastAsia"/>
          <w:kern w:val="0"/>
          <w:sz w:val="24"/>
        </w:rPr>
        <w:t>证券投资基金的基金托管人；</w:t>
      </w:r>
    </w:p>
    <w:p w14:paraId="08E98D12"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为明确</w:t>
      </w:r>
      <w:r w:rsidR="00BC3093" w:rsidRPr="00BC3093">
        <w:rPr>
          <w:rFonts w:hint="eastAsia"/>
          <w:bCs/>
          <w:sz w:val="24"/>
        </w:rPr>
        <w:t>中欧</w:t>
      </w:r>
      <w:proofErr w:type="gramStart"/>
      <w:r w:rsidR="000A0FE8">
        <w:rPr>
          <w:rFonts w:hint="eastAsia"/>
          <w:bCs/>
          <w:sz w:val="24"/>
        </w:rPr>
        <w:t>价值裕享</w:t>
      </w:r>
      <w:r w:rsidR="00BC3093" w:rsidRPr="00BC3093">
        <w:rPr>
          <w:rFonts w:hint="eastAsia"/>
          <w:bCs/>
          <w:sz w:val="24"/>
        </w:rPr>
        <w:t>混合</w:t>
      </w:r>
      <w:r>
        <w:rPr>
          <w:rFonts w:hint="eastAsia"/>
          <w:bCs/>
          <w:sz w:val="24"/>
        </w:rPr>
        <w:t>型</w:t>
      </w:r>
      <w:proofErr w:type="gramEnd"/>
      <w:r>
        <w:rPr>
          <w:rFonts w:ascii="宋体" w:hAnsi="宋体" w:cs="Arial" w:hint="eastAsia"/>
          <w:kern w:val="0"/>
          <w:sz w:val="24"/>
        </w:rPr>
        <w:t>证券投资基金的基金管理人和基金托管人之间的权利义务关系，特制订本托管协议；</w:t>
      </w:r>
    </w:p>
    <w:p w14:paraId="02D5A769"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除非另有约定，《</w:t>
      </w:r>
      <w:r w:rsidR="00BC3093" w:rsidRPr="00BC3093">
        <w:rPr>
          <w:rFonts w:hint="eastAsia"/>
          <w:bCs/>
          <w:sz w:val="24"/>
        </w:rPr>
        <w:t>中欧</w:t>
      </w:r>
      <w:r w:rsidR="000A0FE8">
        <w:rPr>
          <w:rFonts w:hint="eastAsia"/>
          <w:bCs/>
          <w:sz w:val="24"/>
        </w:rPr>
        <w:t>价值裕享</w:t>
      </w:r>
      <w:r w:rsidR="00BC3093" w:rsidRPr="00BC3093">
        <w:rPr>
          <w:rFonts w:hint="eastAsia"/>
          <w:bCs/>
          <w:sz w:val="24"/>
        </w:rPr>
        <w:t>混合</w:t>
      </w:r>
      <w:r>
        <w:rPr>
          <w:rFonts w:hint="eastAsia"/>
          <w:bCs/>
          <w:sz w:val="24"/>
        </w:rPr>
        <w:t>型</w:t>
      </w:r>
      <w:r>
        <w:rPr>
          <w:rFonts w:ascii="宋体" w:hAnsi="宋体" w:cs="Arial" w:hint="eastAsia"/>
          <w:kern w:val="0"/>
          <w:sz w:val="24"/>
        </w:rPr>
        <w:t>证券投资基金基金合同》(以下简称“基金合同”)中定义的术语在用于本托管协议时应具有相同的含义；若有抵触应以基金合同为准，并依其条款解释。</w:t>
      </w:r>
    </w:p>
    <w:p w14:paraId="59841FA4" w14:textId="77777777" w:rsidR="000A7F8D" w:rsidRDefault="000A7F8D">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本基金信息披露事项以法律法规规定及基金合同约定的内容为准。</w:t>
      </w:r>
    </w:p>
    <w:p w14:paraId="3CBEAEC6" w14:textId="77777777" w:rsidR="0054560B" w:rsidRDefault="0054560B" w:rsidP="002D40B3">
      <w:pPr>
        <w:widowControl/>
        <w:adjustRightInd w:val="0"/>
        <w:snapToGrid w:val="0"/>
        <w:spacing w:line="360" w:lineRule="auto"/>
        <w:ind w:firstLineChars="200" w:firstLine="480"/>
        <w:rPr>
          <w:rFonts w:ascii="宋体" w:hAnsi="宋体" w:cs="Arial"/>
          <w:kern w:val="0"/>
          <w:sz w:val="24"/>
        </w:rPr>
      </w:pPr>
      <w:r w:rsidRPr="002D40B3">
        <w:rPr>
          <w:rFonts w:ascii="宋体" w:hAnsi="宋体" w:cs="Arial"/>
          <w:kern w:val="0"/>
          <w:sz w:val="24"/>
        </w:rPr>
        <w:t>若本基金实施</w:t>
      </w:r>
      <w:proofErr w:type="gramStart"/>
      <w:r w:rsidRPr="002D40B3">
        <w:rPr>
          <w:rFonts w:ascii="宋体" w:hAnsi="宋体" w:cs="Arial"/>
          <w:kern w:val="0"/>
          <w:sz w:val="24"/>
        </w:rPr>
        <w:t>侧袋机制</w:t>
      </w:r>
      <w:proofErr w:type="gramEnd"/>
      <w:r w:rsidRPr="002D40B3">
        <w:rPr>
          <w:rFonts w:ascii="宋体" w:hAnsi="宋体" w:cs="Arial"/>
          <w:kern w:val="0"/>
          <w:sz w:val="24"/>
        </w:rPr>
        <w:t>的，</w:t>
      </w:r>
      <w:proofErr w:type="gramStart"/>
      <w:r w:rsidRPr="002D40B3">
        <w:rPr>
          <w:rFonts w:ascii="宋体" w:hAnsi="宋体" w:cs="Arial"/>
          <w:kern w:val="0"/>
          <w:sz w:val="24"/>
        </w:rPr>
        <w:t>侧袋机制</w:t>
      </w:r>
      <w:proofErr w:type="gramEnd"/>
      <w:r w:rsidRPr="002D40B3">
        <w:rPr>
          <w:rFonts w:ascii="宋体" w:hAnsi="宋体" w:cs="Arial"/>
          <w:kern w:val="0"/>
          <w:sz w:val="24"/>
        </w:rPr>
        <w:t>实施期间的相关安排</w:t>
      </w:r>
      <w:proofErr w:type="gramStart"/>
      <w:r w:rsidRPr="002D40B3">
        <w:rPr>
          <w:rFonts w:ascii="宋体" w:hAnsi="宋体" w:cs="Arial"/>
          <w:kern w:val="0"/>
          <w:sz w:val="24"/>
        </w:rPr>
        <w:t>见基金</w:t>
      </w:r>
      <w:proofErr w:type="gramEnd"/>
      <w:r w:rsidRPr="002D40B3">
        <w:rPr>
          <w:rFonts w:ascii="宋体" w:hAnsi="宋体" w:cs="Arial"/>
          <w:kern w:val="0"/>
          <w:sz w:val="24"/>
        </w:rPr>
        <w:t>合同和招募说明书的规定。</w:t>
      </w:r>
    </w:p>
    <w:p w14:paraId="7A43A463" w14:textId="77777777" w:rsidR="000A7F8D" w:rsidRDefault="000A7F8D">
      <w:pPr>
        <w:pStyle w:val="1"/>
        <w:numPr>
          <w:ilvl w:val="0"/>
          <w:numId w:val="1"/>
        </w:numPr>
        <w:spacing w:line="360" w:lineRule="auto"/>
        <w:jc w:val="center"/>
        <w:rPr>
          <w:rFonts w:ascii="宋体" w:hAnsi="宋体"/>
          <w:sz w:val="28"/>
          <w:szCs w:val="28"/>
        </w:rPr>
      </w:pPr>
      <w:bookmarkStart w:id="6" w:name="_Toc295832621"/>
      <w:bookmarkStart w:id="7" w:name="_Toc295832988"/>
      <w:bookmarkStart w:id="8" w:name="_Toc295833664"/>
      <w:bookmarkStart w:id="9" w:name="_Toc295832930"/>
      <w:bookmarkStart w:id="10" w:name="_Toc295832929"/>
      <w:bookmarkStart w:id="11" w:name="_Toc295832989"/>
      <w:bookmarkStart w:id="12" w:name="_Toc295832623"/>
      <w:bookmarkStart w:id="13" w:name="_Toc295832622"/>
      <w:bookmarkStart w:id="14" w:name="_Toc295832928"/>
      <w:bookmarkStart w:id="15" w:name="_Toc295833665"/>
      <w:bookmarkStart w:id="16" w:name="_Toc295833663"/>
      <w:bookmarkStart w:id="17" w:name="_Toc295832990"/>
      <w:bookmarkStart w:id="18" w:name="_Toc270669852"/>
      <w:bookmarkStart w:id="19" w:name="_Toc124325885"/>
      <w:bookmarkEnd w:id="6"/>
      <w:bookmarkEnd w:id="7"/>
      <w:bookmarkEnd w:id="8"/>
      <w:bookmarkEnd w:id="9"/>
      <w:bookmarkEnd w:id="10"/>
      <w:bookmarkEnd w:id="11"/>
      <w:bookmarkEnd w:id="12"/>
      <w:bookmarkEnd w:id="13"/>
      <w:bookmarkEnd w:id="14"/>
      <w:bookmarkEnd w:id="15"/>
      <w:bookmarkEnd w:id="16"/>
      <w:bookmarkEnd w:id="17"/>
      <w:r>
        <w:rPr>
          <w:rFonts w:ascii="宋体" w:hAnsi="宋体"/>
          <w:sz w:val="28"/>
          <w:szCs w:val="28"/>
        </w:rPr>
        <w:br w:type="page"/>
      </w:r>
      <w:bookmarkStart w:id="20" w:name="_Toc276739045"/>
      <w:bookmarkStart w:id="21" w:name="_Toc450839467"/>
      <w:bookmarkStart w:id="22" w:name="_Toc295833667"/>
      <w:bookmarkEnd w:id="18"/>
      <w:bookmarkEnd w:id="19"/>
      <w:r>
        <w:rPr>
          <w:rFonts w:ascii="宋体" w:hAnsi="宋体"/>
          <w:sz w:val="28"/>
          <w:szCs w:val="28"/>
        </w:rPr>
        <w:lastRenderedPageBreak/>
        <w:t>基金托管协议当事人</w:t>
      </w:r>
      <w:bookmarkEnd w:id="20"/>
      <w:bookmarkEnd w:id="21"/>
    </w:p>
    <w:bookmarkEnd w:id="22"/>
    <w:p w14:paraId="10066E97"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（一）基金管理人</w:t>
      </w:r>
    </w:p>
    <w:p w14:paraId="61CD5DD0" w14:textId="77777777" w:rsidR="00BC3093" w:rsidRDefault="00BC3093" w:rsidP="00BC3093">
      <w:pPr>
        <w:spacing w:line="360" w:lineRule="auto"/>
        <w:ind w:firstLine="480"/>
        <w:rPr>
          <w:bCs/>
          <w:sz w:val="24"/>
        </w:rPr>
      </w:pPr>
      <w:bookmarkStart w:id="23" w:name="_Toc15118236"/>
      <w:r>
        <w:rPr>
          <w:rFonts w:hint="eastAsia"/>
          <w:bCs/>
          <w:sz w:val="24"/>
        </w:rPr>
        <w:t>名称：</w:t>
      </w:r>
      <w:bookmarkEnd w:id="23"/>
      <w:r>
        <w:rPr>
          <w:rFonts w:hint="eastAsia"/>
          <w:bCs/>
          <w:sz w:val="24"/>
        </w:rPr>
        <w:t>中欧基金管理有限公司</w:t>
      </w:r>
    </w:p>
    <w:p w14:paraId="1E94CEEE" w14:textId="77777777" w:rsidR="00BC3093" w:rsidRDefault="00BC3093" w:rsidP="00BC3093">
      <w:pPr>
        <w:spacing w:line="360" w:lineRule="auto"/>
        <w:ind w:firstLine="480"/>
        <w:rPr>
          <w:bCs/>
          <w:sz w:val="24"/>
        </w:rPr>
      </w:pPr>
      <w:r>
        <w:rPr>
          <w:rFonts w:hint="eastAsia"/>
          <w:bCs/>
          <w:sz w:val="24"/>
        </w:rPr>
        <w:t>住所：</w:t>
      </w:r>
      <w:r>
        <w:rPr>
          <w:rFonts w:hint="eastAsia"/>
          <w:sz w:val="24"/>
        </w:rPr>
        <w:t>中国（上海）自由贸易试验区陆家嘴环路</w:t>
      </w:r>
      <w:r>
        <w:rPr>
          <w:rFonts w:hint="eastAsia"/>
          <w:sz w:val="24"/>
        </w:rPr>
        <w:t>479</w:t>
      </w:r>
      <w:r>
        <w:rPr>
          <w:rFonts w:hint="eastAsia"/>
          <w:sz w:val="24"/>
        </w:rPr>
        <w:t>号</w:t>
      </w:r>
      <w:r>
        <w:rPr>
          <w:rFonts w:hint="eastAsia"/>
          <w:sz w:val="24"/>
        </w:rPr>
        <w:t>8</w:t>
      </w:r>
      <w:r>
        <w:rPr>
          <w:rFonts w:hint="eastAsia"/>
          <w:sz w:val="24"/>
        </w:rPr>
        <w:t>层</w:t>
      </w:r>
    </w:p>
    <w:p w14:paraId="4DD3362F" w14:textId="77777777" w:rsidR="00BC3093" w:rsidRDefault="00BC3093" w:rsidP="00BC3093">
      <w:pPr>
        <w:spacing w:line="360" w:lineRule="auto"/>
        <w:ind w:firstLine="480"/>
        <w:rPr>
          <w:bCs/>
          <w:sz w:val="24"/>
        </w:rPr>
      </w:pPr>
      <w:r>
        <w:rPr>
          <w:rFonts w:hint="eastAsia"/>
          <w:bCs/>
          <w:sz w:val="24"/>
        </w:rPr>
        <w:t>法定代表人：窦玉明</w:t>
      </w:r>
    </w:p>
    <w:p w14:paraId="3AD28BFB" w14:textId="77777777" w:rsidR="00BC3093" w:rsidRDefault="00BC3093" w:rsidP="00BC3093">
      <w:pPr>
        <w:spacing w:line="360" w:lineRule="auto"/>
        <w:ind w:firstLine="480"/>
        <w:rPr>
          <w:bCs/>
          <w:sz w:val="24"/>
        </w:rPr>
      </w:pPr>
      <w:r>
        <w:rPr>
          <w:rFonts w:hint="eastAsia"/>
          <w:bCs/>
          <w:sz w:val="24"/>
        </w:rPr>
        <w:t>设立日期：</w:t>
      </w:r>
      <w:r>
        <w:rPr>
          <w:bCs/>
          <w:sz w:val="24"/>
        </w:rPr>
        <w:t>2006</w:t>
      </w:r>
      <w:r>
        <w:rPr>
          <w:rFonts w:hint="eastAsia"/>
          <w:bCs/>
          <w:sz w:val="24"/>
        </w:rPr>
        <w:t>年</w:t>
      </w:r>
      <w:r>
        <w:rPr>
          <w:bCs/>
          <w:sz w:val="24"/>
        </w:rPr>
        <w:t>7</w:t>
      </w:r>
      <w:r>
        <w:rPr>
          <w:rFonts w:hint="eastAsia"/>
          <w:bCs/>
          <w:sz w:val="24"/>
        </w:rPr>
        <w:t>月</w:t>
      </w:r>
      <w:r>
        <w:rPr>
          <w:bCs/>
          <w:sz w:val="24"/>
        </w:rPr>
        <w:t>19</w:t>
      </w:r>
      <w:r>
        <w:rPr>
          <w:rFonts w:hint="eastAsia"/>
          <w:bCs/>
          <w:sz w:val="24"/>
        </w:rPr>
        <w:t>日</w:t>
      </w:r>
    </w:p>
    <w:p w14:paraId="3A50ED08" w14:textId="77777777" w:rsidR="00BC3093" w:rsidRDefault="00BC3093" w:rsidP="00BC3093">
      <w:pPr>
        <w:spacing w:line="360" w:lineRule="auto"/>
        <w:ind w:firstLine="480"/>
        <w:rPr>
          <w:bCs/>
          <w:sz w:val="24"/>
        </w:rPr>
      </w:pPr>
      <w:r>
        <w:rPr>
          <w:rFonts w:hint="eastAsia"/>
          <w:bCs/>
          <w:sz w:val="24"/>
        </w:rPr>
        <w:t>批准设立机关及批准设立文号：中国证监会证</w:t>
      </w:r>
      <w:proofErr w:type="gramStart"/>
      <w:r>
        <w:rPr>
          <w:rFonts w:hint="eastAsia"/>
          <w:bCs/>
          <w:sz w:val="24"/>
        </w:rPr>
        <w:t>监基金字</w:t>
      </w:r>
      <w:proofErr w:type="gramEnd"/>
      <w:r>
        <w:rPr>
          <w:bCs/>
          <w:sz w:val="24"/>
        </w:rPr>
        <w:t>[2006]102</w:t>
      </w:r>
      <w:r>
        <w:rPr>
          <w:rFonts w:hint="eastAsia"/>
          <w:bCs/>
          <w:sz w:val="24"/>
        </w:rPr>
        <w:t>号</w:t>
      </w:r>
    </w:p>
    <w:p w14:paraId="4DA2255F" w14:textId="77777777" w:rsidR="00BC3093" w:rsidRDefault="00BC3093" w:rsidP="00BC3093">
      <w:pPr>
        <w:spacing w:line="360" w:lineRule="auto"/>
        <w:ind w:firstLine="480"/>
        <w:rPr>
          <w:bCs/>
          <w:sz w:val="24"/>
        </w:rPr>
      </w:pPr>
      <w:r>
        <w:rPr>
          <w:rFonts w:hint="eastAsia"/>
          <w:bCs/>
          <w:sz w:val="24"/>
        </w:rPr>
        <w:t>组织形式：有限责任公司</w:t>
      </w:r>
    </w:p>
    <w:p w14:paraId="608082B4" w14:textId="77777777" w:rsidR="00BC3093" w:rsidRDefault="00BC3093" w:rsidP="00BC3093">
      <w:pPr>
        <w:spacing w:line="360" w:lineRule="auto"/>
        <w:ind w:firstLine="480"/>
        <w:rPr>
          <w:bCs/>
          <w:sz w:val="24"/>
        </w:rPr>
      </w:pPr>
      <w:r>
        <w:rPr>
          <w:rFonts w:hint="eastAsia"/>
          <w:bCs/>
          <w:sz w:val="24"/>
        </w:rPr>
        <w:t>注册资本：</w:t>
      </w:r>
      <w:r>
        <w:rPr>
          <w:rFonts w:hint="eastAsia"/>
          <w:bCs/>
          <w:sz w:val="24"/>
        </w:rPr>
        <w:t>2.20</w:t>
      </w:r>
      <w:r>
        <w:rPr>
          <w:rFonts w:hint="eastAsia"/>
          <w:bCs/>
          <w:sz w:val="24"/>
        </w:rPr>
        <w:t>亿元人民币</w:t>
      </w:r>
    </w:p>
    <w:p w14:paraId="3D232163" w14:textId="77777777" w:rsidR="00BC3093" w:rsidRDefault="00BC3093" w:rsidP="00BC3093">
      <w:pPr>
        <w:spacing w:line="360" w:lineRule="auto"/>
        <w:ind w:firstLine="480"/>
        <w:rPr>
          <w:bCs/>
          <w:sz w:val="24"/>
        </w:rPr>
      </w:pPr>
      <w:r>
        <w:rPr>
          <w:rFonts w:hint="eastAsia"/>
          <w:bCs/>
          <w:sz w:val="24"/>
        </w:rPr>
        <w:t>存续期限：持续经营</w:t>
      </w:r>
    </w:p>
    <w:p w14:paraId="07C49F52" w14:textId="77777777" w:rsidR="00BC3093" w:rsidRDefault="00BC3093" w:rsidP="00BC3093">
      <w:pPr>
        <w:spacing w:line="360" w:lineRule="auto"/>
        <w:ind w:firstLine="480"/>
        <w:rPr>
          <w:bCs/>
          <w:sz w:val="24"/>
        </w:rPr>
      </w:pPr>
      <w:r>
        <w:rPr>
          <w:rFonts w:hint="eastAsia"/>
          <w:bCs/>
          <w:sz w:val="24"/>
        </w:rPr>
        <w:t>联系电话：</w:t>
      </w:r>
      <w:r>
        <w:rPr>
          <w:bCs/>
          <w:sz w:val="24"/>
        </w:rPr>
        <w:t>021-6860 9600</w:t>
      </w:r>
    </w:p>
    <w:p w14:paraId="1D20C3CA"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（二）基金托管人</w:t>
      </w:r>
    </w:p>
    <w:p w14:paraId="0D03DC4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名称：中国民生银行股份有限公司</w:t>
      </w:r>
    </w:p>
    <w:p w14:paraId="6827272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注册地址：北京市西城区复兴门内大街2号</w:t>
      </w:r>
    </w:p>
    <w:p w14:paraId="4114D67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办公地址：北京市西城区复兴门内大街2号</w:t>
      </w:r>
    </w:p>
    <w:p w14:paraId="57742C8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邮政编码：100031</w:t>
      </w:r>
    </w:p>
    <w:p w14:paraId="1EDE2C9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法定代表人：</w:t>
      </w:r>
      <w:r>
        <w:rPr>
          <w:rFonts w:ascii="新宋体" w:eastAsia="新宋体" w:hAnsi="新宋体" w:hint="eastAsia"/>
          <w:sz w:val="24"/>
          <w:szCs w:val="21"/>
        </w:rPr>
        <w:t>高迎欣</w:t>
      </w:r>
    </w:p>
    <w:p w14:paraId="4C60562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成立日期：</w:t>
      </w:r>
      <w:r>
        <w:rPr>
          <w:rFonts w:ascii="新宋体" w:eastAsia="新宋体" w:hAnsi="新宋体" w:hint="eastAsia"/>
          <w:sz w:val="24"/>
          <w:szCs w:val="21"/>
        </w:rPr>
        <w:t>1996年2月7日</w:t>
      </w:r>
    </w:p>
    <w:p w14:paraId="26D5AE5F"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基金托管业务批准文号：证</w:t>
      </w:r>
      <w:proofErr w:type="gramStart"/>
      <w:r>
        <w:rPr>
          <w:rFonts w:ascii="宋体" w:hAnsi="宋体" w:hint="eastAsia"/>
          <w:sz w:val="24"/>
        </w:rPr>
        <w:t>监基金字</w:t>
      </w:r>
      <w:proofErr w:type="gramEnd"/>
      <w:r>
        <w:rPr>
          <w:rFonts w:ascii="宋体" w:hAnsi="宋体" w:hint="eastAsia"/>
          <w:sz w:val="24"/>
        </w:rPr>
        <w:t>[2004]101号</w:t>
      </w:r>
    </w:p>
    <w:p w14:paraId="6E8F3FAF"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组织形式：</w:t>
      </w:r>
      <w:r>
        <w:rPr>
          <w:rFonts w:hint="eastAsia"/>
          <w:sz w:val="24"/>
        </w:rPr>
        <w:t>其他股份有限公司（上市）</w:t>
      </w:r>
    </w:p>
    <w:p w14:paraId="088B203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注册资本：</w:t>
      </w:r>
      <w:r>
        <w:rPr>
          <w:rFonts w:ascii="宋体" w:hAnsi="宋体" w:cs="宋体"/>
          <w:sz w:val="24"/>
        </w:rPr>
        <w:t>43,782,418,502</w:t>
      </w:r>
      <w:r>
        <w:rPr>
          <w:rFonts w:ascii="宋体" w:hAnsi="宋体" w:hint="eastAsia"/>
          <w:color w:val="000000"/>
          <w:sz w:val="24"/>
        </w:rPr>
        <w:t>元人民币</w:t>
      </w:r>
    </w:p>
    <w:p w14:paraId="5C600A1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存续期间：1996年02月07日至长期</w:t>
      </w:r>
    </w:p>
    <w:p w14:paraId="6B6FF6F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经营范围：吸收公众存款；发放短期、中期和长期贷款；办理国内外结算；办理票据承兑与贴现、发行金融债券；代理发行、代理兑付、承销政府债券；买卖政府债券、金融债券；从事同业拆借；买卖、代理买卖外汇；从事结汇、售汇业务；从事银行卡业务；提供信用证服务及担保；代理收付款项；提供保管箱服务；经国务院银行业监督管理机构批准的其他业务；保险兼业代理业务；证券投资基金销售、证券投资基金托管。（市场主体依法自主选择经营项目，开展经营活动；保险兼业代理业务、证券投资基金销售、证券投资基金托管以及依法须经</w:t>
      </w:r>
      <w:r>
        <w:rPr>
          <w:rFonts w:ascii="宋体" w:hAnsi="宋体" w:cs="Arial" w:hint="eastAsia"/>
          <w:sz w:val="24"/>
        </w:rPr>
        <w:lastRenderedPageBreak/>
        <w:t>批准的项目，经相关部门批准后依批准的内容开展经营活动；不得从事国家和本市产业政策禁止和限制类项目的经营活动。）</w:t>
      </w:r>
    </w:p>
    <w:p w14:paraId="416216B4" w14:textId="77777777" w:rsidR="000A7F8D" w:rsidRDefault="000A7F8D">
      <w:pPr>
        <w:pStyle w:val="1"/>
        <w:numPr>
          <w:ilvl w:val="0"/>
          <w:numId w:val="1"/>
        </w:numPr>
        <w:spacing w:line="360" w:lineRule="auto"/>
        <w:jc w:val="center"/>
        <w:rPr>
          <w:rFonts w:ascii="宋体" w:hAnsi="宋体"/>
          <w:szCs w:val="24"/>
        </w:rPr>
      </w:pPr>
      <w:r>
        <w:rPr>
          <w:rFonts w:ascii="宋体" w:hAnsi="宋体"/>
          <w:sz w:val="24"/>
          <w:szCs w:val="24"/>
        </w:rPr>
        <w:br w:type="page"/>
      </w:r>
      <w:bookmarkStart w:id="24" w:name="_Toc295832992"/>
      <w:bookmarkStart w:id="25" w:name="_Toc295832625"/>
      <w:bookmarkStart w:id="26" w:name="_Toc295832932"/>
      <w:bookmarkStart w:id="27" w:name="_Toc270669853"/>
      <w:bookmarkStart w:id="28" w:name="_Toc450839468"/>
      <w:bookmarkStart w:id="29" w:name="_Toc124325886"/>
      <w:bookmarkStart w:id="30" w:name="_Toc295833668"/>
      <w:bookmarkEnd w:id="24"/>
      <w:bookmarkEnd w:id="25"/>
      <w:bookmarkEnd w:id="26"/>
      <w:r>
        <w:rPr>
          <w:rFonts w:ascii="宋体" w:hAnsi="宋体" w:hint="eastAsia"/>
          <w:sz w:val="28"/>
          <w:szCs w:val="28"/>
        </w:rPr>
        <w:lastRenderedPageBreak/>
        <w:t>基金托管协议的依据、目的和原则</w:t>
      </w:r>
      <w:bookmarkEnd w:id="27"/>
      <w:bookmarkEnd w:id="28"/>
      <w:bookmarkEnd w:id="29"/>
      <w:bookmarkEnd w:id="30"/>
    </w:p>
    <w:p w14:paraId="6B0DE169"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（一）订立托管协议的依据</w:t>
      </w:r>
    </w:p>
    <w:p w14:paraId="0E8D7A2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本协议依据《中华人民共和国证券投资基金法》(以下简称“《基金法》”)、《证券投资基金托管业务管理办法》、《公开募集证券投资基金运作管理办法》（以下简称“《运作办法》”）、《公开募集证券投资基金销售机构监督管理办法》（以下简称“《销售办法》”）、《</w:t>
      </w:r>
      <w:r>
        <w:rPr>
          <w:rFonts w:ascii="宋体" w:hAnsi="宋体" w:cs="Arial" w:hint="eastAsia"/>
          <w:kern w:val="0"/>
          <w:sz w:val="24"/>
        </w:rPr>
        <w:t>公开</w:t>
      </w:r>
      <w:r>
        <w:rPr>
          <w:rFonts w:ascii="宋体" w:hAnsi="宋体" w:cs="Arial"/>
          <w:kern w:val="0"/>
          <w:sz w:val="24"/>
        </w:rPr>
        <w:t>募集</w:t>
      </w:r>
      <w:r>
        <w:rPr>
          <w:rFonts w:ascii="宋体" w:hAnsi="宋体" w:cs="Arial" w:hint="eastAsia"/>
          <w:sz w:val="24"/>
        </w:rPr>
        <w:t>证券投资基金信息披露管理办法》（以下简称“《信息披露办法》”）、《证券投资基金信息披露内容与格式准则第7号〈托管协议的内容与格式〉》、</w:t>
      </w:r>
      <w:r>
        <w:rPr>
          <w:rFonts w:ascii="宋体" w:hAnsi="宋体" w:cs="Arial"/>
          <w:sz w:val="24"/>
        </w:rPr>
        <w:t>《公开募集开放式</w:t>
      </w:r>
      <w:r>
        <w:rPr>
          <w:rFonts w:ascii="宋体" w:hAnsi="宋体" w:cs="Arial" w:hint="eastAsia"/>
          <w:sz w:val="24"/>
        </w:rPr>
        <w:t>证券</w:t>
      </w:r>
      <w:r>
        <w:rPr>
          <w:rFonts w:ascii="宋体" w:hAnsi="宋体" w:cs="Arial"/>
          <w:sz w:val="24"/>
        </w:rPr>
        <w:t>投资基金流动性风险管理规定》（以下简称“《流动性风险</w:t>
      </w:r>
      <w:r>
        <w:rPr>
          <w:rFonts w:ascii="宋体" w:hAnsi="宋体" w:cs="Arial" w:hint="eastAsia"/>
          <w:sz w:val="24"/>
        </w:rPr>
        <w:t>管理</w:t>
      </w:r>
      <w:r>
        <w:rPr>
          <w:rFonts w:ascii="宋体" w:hAnsi="宋体" w:cs="Arial"/>
          <w:sz w:val="24"/>
        </w:rPr>
        <w:t>规定》”）</w:t>
      </w:r>
      <w:r>
        <w:rPr>
          <w:rFonts w:ascii="宋体" w:hAnsi="宋体" w:cs="Arial" w:hint="eastAsia"/>
          <w:sz w:val="24"/>
        </w:rPr>
        <w:t>等有关法律法规、基金合同及其他有关规定制订。</w:t>
      </w:r>
    </w:p>
    <w:p w14:paraId="6494BBBB" w14:textId="77777777" w:rsidR="000A7F8D" w:rsidRDefault="000A7F8D">
      <w:pPr>
        <w:adjustRightInd w:val="0"/>
        <w:snapToGrid w:val="0"/>
        <w:spacing w:line="360" w:lineRule="auto"/>
        <w:ind w:firstLineChars="200" w:firstLine="480"/>
        <w:rPr>
          <w:rFonts w:ascii="宋体" w:hAnsi="宋体"/>
          <w:sz w:val="24"/>
          <w:szCs w:val="20"/>
        </w:rPr>
      </w:pPr>
      <w:r>
        <w:rPr>
          <w:rFonts w:ascii="宋体" w:hAnsi="宋体" w:hint="eastAsia"/>
          <w:sz w:val="24"/>
        </w:rPr>
        <w:t>（二）订立托管协议的目的</w:t>
      </w:r>
    </w:p>
    <w:p w14:paraId="38F2D54B" w14:textId="77777777" w:rsidR="000A7F8D" w:rsidRDefault="000A7F8D">
      <w:pPr>
        <w:adjustRightInd w:val="0"/>
        <w:snapToGrid w:val="0"/>
        <w:spacing w:line="360" w:lineRule="auto"/>
        <w:ind w:firstLineChars="200" w:firstLine="480"/>
        <w:rPr>
          <w:rFonts w:ascii="宋体" w:hAnsi="宋体"/>
          <w:sz w:val="24"/>
        </w:rPr>
      </w:pPr>
      <w:r>
        <w:rPr>
          <w:rFonts w:ascii="宋体" w:hAnsi="宋体"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56ED6859"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（三）订立托管协议的原则</w:t>
      </w:r>
    </w:p>
    <w:p w14:paraId="6CC910D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基金管理人和基金托管人本着平等自愿、诚实信用、充分保护基金份额持有人合法权益的原则，经协商一致，签订本协议。</w:t>
      </w:r>
    </w:p>
    <w:p w14:paraId="7897371B" w14:textId="77777777" w:rsidR="000A7F8D" w:rsidRDefault="000A7F8D">
      <w:pPr>
        <w:pStyle w:val="1"/>
        <w:numPr>
          <w:ilvl w:val="0"/>
          <w:numId w:val="1"/>
        </w:numPr>
        <w:spacing w:line="360" w:lineRule="auto"/>
        <w:jc w:val="center"/>
        <w:rPr>
          <w:sz w:val="28"/>
          <w:szCs w:val="28"/>
        </w:rPr>
      </w:pPr>
      <w:bookmarkStart w:id="31" w:name="_Toc295832630"/>
      <w:bookmarkStart w:id="32" w:name="_Toc295832937"/>
      <w:bookmarkStart w:id="33" w:name="_Toc295832996"/>
      <w:bookmarkStart w:id="34" w:name="_Toc295832935"/>
      <w:bookmarkStart w:id="35" w:name="_Toc295832997"/>
      <w:bookmarkStart w:id="36" w:name="_Toc295832628"/>
      <w:bookmarkStart w:id="37" w:name="_Toc295832936"/>
      <w:bookmarkStart w:id="38" w:name="_Toc295832995"/>
      <w:bookmarkStart w:id="39" w:name="_Toc295832629"/>
      <w:bookmarkEnd w:id="31"/>
      <w:bookmarkEnd w:id="32"/>
      <w:bookmarkEnd w:id="33"/>
      <w:bookmarkEnd w:id="34"/>
      <w:bookmarkEnd w:id="35"/>
      <w:bookmarkEnd w:id="36"/>
      <w:bookmarkEnd w:id="37"/>
      <w:bookmarkEnd w:id="38"/>
      <w:bookmarkEnd w:id="39"/>
      <w:r>
        <w:rPr>
          <w:rFonts w:ascii="宋体" w:hAnsi="宋体"/>
          <w:sz w:val="24"/>
          <w:szCs w:val="24"/>
        </w:rPr>
        <w:br w:type="page"/>
      </w:r>
      <w:bookmarkStart w:id="40" w:name="_Toc450839469"/>
      <w:r>
        <w:rPr>
          <w:rFonts w:ascii="宋体" w:hAnsi="宋体" w:hint="eastAsia"/>
          <w:sz w:val="28"/>
          <w:szCs w:val="28"/>
        </w:rPr>
        <w:lastRenderedPageBreak/>
        <w:t>基金托管人对基金管理人的业务监督和核查</w:t>
      </w:r>
      <w:bookmarkEnd w:id="40"/>
    </w:p>
    <w:p w14:paraId="5C29F98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主题证券投资比例的约定进行监督，对存在疑义的事项进行核查。基金管理人应通过电子邮件或双方认可的其他方式完整、准确地向基金托管人提供投资品种池信息，如因基金管理</w:t>
      </w:r>
      <w:proofErr w:type="gramStart"/>
      <w:r>
        <w:rPr>
          <w:rFonts w:ascii="宋体" w:hAnsi="宋体" w:cs="Arial" w:hint="eastAsia"/>
          <w:sz w:val="24"/>
        </w:rPr>
        <w:t>人原因</w:t>
      </w:r>
      <w:proofErr w:type="gramEnd"/>
      <w:r>
        <w:rPr>
          <w:rFonts w:ascii="宋体" w:hAnsi="宋体" w:cs="Arial" w:hint="eastAsia"/>
          <w:sz w:val="24"/>
        </w:rPr>
        <w:t>未向基金托管人提供投资品种池而造成基金托管人投资监督不及时的，基金托管人不承担相关责任。</w:t>
      </w:r>
    </w:p>
    <w:p w14:paraId="5156671D" w14:textId="77777777" w:rsidR="000A0FE8" w:rsidRDefault="000A0FE8" w:rsidP="000A0FE8">
      <w:pPr>
        <w:spacing w:line="360" w:lineRule="auto"/>
        <w:ind w:firstLine="480"/>
        <w:rPr>
          <w:bCs/>
          <w:sz w:val="24"/>
        </w:rPr>
      </w:pPr>
      <w:bookmarkStart w:id="41" w:name="_Hlk206684556"/>
      <w:r>
        <w:rPr>
          <w:bCs/>
          <w:sz w:val="24"/>
        </w:rPr>
        <w:t>本基金的投资范围为具有良好流动性的金融工具，包括国内依法发行上市的股票（包括主板、创业板、</w:t>
      </w:r>
      <w:proofErr w:type="gramStart"/>
      <w:r>
        <w:rPr>
          <w:bCs/>
          <w:sz w:val="24"/>
        </w:rPr>
        <w:t>科创板</w:t>
      </w:r>
      <w:proofErr w:type="gramEnd"/>
      <w:r>
        <w:rPr>
          <w:bCs/>
          <w:sz w:val="24"/>
        </w:rPr>
        <w:t>以及其他经中国证监会允许发行上市的股票）、存托凭证、港股通标的股票、债券（包括国债、地方政府债、政府支持机构债、金融债、企业债、公司债、央行票据、中期票据、短期融资</w:t>
      </w:r>
      <w:proofErr w:type="gramStart"/>
      <w:r>
        <w:rPr>
          <w:bCs/>
          <w:sz w:val="24"/>
        </w:rPr>
        <w:t>券</w:t>
      </w:r>
      <w:proofErr w:type="gramEnd"/>
      <w:r>
        <w:rPr>
          <w:bCs/>
          <w:sz w:val="24"/>
        </w:rPr>
        <w:t>、超短期融资</w:t>
      </w:r>
      <w:proofErr w:type="gramStart"/>
      <w:r>
        <w:rPr>
          <w:bCs/>
          <w:sz w:val="24"/>
        </w:rPr>
        <w:t>券</w:t>
      </w:r>
      <w:proofErr w:type="gramEnd"/>
      <w:r>
        <w:rPr>
          <w:bCs/>
          <w:sz w:val="24"/>
        </w:rPr>
        <w:t>、可转换债券、可交换债券、公开发行的次级债、分离交易可转债</w:t>
      </w:r>
      <w:proofErr w:type="gramStart"/>
      <w:r>
        <w:rPr>
          <w:bCs/>
          <w:sz w:val="24"/>
        </w:rPr>
        <w:t>的纯债部分</w:t>
      </w:r>
      <w:proofErr w:type="gramEnd"/>
      <w:r>
        <w:rPr>
          <w:bCs/>
          <w:sz w:val="24"/>
        </w:rPr>
        <w:t>）、资产支持证券、债券回购、银行存款、同业存单、现金、衍生工具（包括国债期货、股指期货、股票期权）、信用衍生品（不含合约类信用衍生品）以及法律法规或中国证监会允许基金投资的其他金融工具（但须符合中国证监会的相关规定）。</w:t>
      </w:r>
    </w:p>
    <w:p w14:paraId="7ABEB0C7" w14:textId="77777777" w:rsidR="000A0FE8" w:rsidRDefault="000A0FE8" w:rsidP="000A0FE8">
      <w:pPr>
        <w:spacing w:line="360" w:lineRule="auto"/>
        <w:ind w:firstLine="480"/>
        <w:rPr>
          <w:bCs/>
          <w:sz w:val="24"/>
        </w:rPr>
      </w:pPr>
      <w:r>
        <w:rPr>
          <w:rFonts w:hint="eastAsia"/>
          <w:bCs/>
          <w:sz w:val="24"/>
        </w:rPr>
        <w:t>本基金可根据法律法规的规定参与融资业务。</w:t>
      </w:r>
    </w:p>
    <w:p w14:paraId="0090BC0E" w14:textId="77777777" w:rsidR="000A0FE8" w:rsidRDefault="000A0FE8" w:rsidP="000A0FE8">
      <w:pPr>
        <w:spacing w:line="360" w:lineRule="auto"/>
        <w:ind w:firstLine="480"/>
        <w:rPr>
          <w:bCs/>
          <w:sz w:val="24"/>
        </w:rPr>
      </w:pPr>
      <w:r>
        <w:rPr>
          <w:rFonts w:hint="eastAsia"/>
          <w:bCs/>
          <w:sz w:val="24"/>
        </w:rPr>
        <w:t>如法律法规或监管机构以后允许基金投资其他品种，基金管理人在履行适当程序后，可以将其纳入投资范围。</w:t>
      </w:r>
    </w:p>
    <w:p w14:paraId="4B8B1F01" w14:textId="77777777" w:rsidR="000A0FE8" w:rsidRDefault="000A0FE8" w:rsidP="000A0FE8">
      <w:pPr>
        <w:spacing w:line="360" w:lineRule="auto"/>
        <w:ind w:firstLine="480"/>
        <w:rPr>
          <w:bCs/>
          <w:sz w:val="24"/>
        </w:rPr>
      </w:pPr>
      <w:r>
        <w:rPr>
          <w:rFonts w:hint="eastAsia"/>
          <w:bCs/>
          <w:sz w:val="24"/>
        </w:rPr>
        <w:t>基金的投资组合比例为：</w:t>
      </w:r>
    </w:p>
    <w:p w14:paraId="333152DD" w14:textId="77777777" w:rsidR="000A0FE8" w:rsidRPr="009F73E1" w:rsidRDefault="000A0FE8" w:rsidP="000A0FE8">
      <w:pPr>
        <w:spacing w:line="360" w:lineRule="auto"/>
        <w:ind w:firstLine="480"/>
        <w:rPr>
          <w:bCs/>
          <w:sz w:val="24"/>
        </w:rPr>
      </w:pPr>
      <w:r w:rsidRPr="009F73E1">
        <w:rPr>
          <w:rFonts w:hint="eastAsia"/>
          <w:bCs/>
          <w:sz w:val="24"/>
        </w:rPr>
        <w:t>本基金投资组合中股票及存托凭证投资比例为基金资产的</w:t>
      </w:r>
      <w:r w:rsidRPr="009F73E1">
        <w:rPr>
          <w:rFonts w:hint="eastAsia"/>
          <w:bCs/>
          <w:sz w:val="24"/>
        </w:rPr>
        <w:t>60%-95%</w:t>
      </w:r>
      <w:r w:rsidRPr="009F73E1">
        <w:rPr>
          <w:rFonts w:hint="eastAsia"/>
          <w:bCs/>
          <w:sz w:val="24"/>
        </w:rPr>
        <w:t>；投资于港股通标的股票</w:t>
      </w:r>
      <w:r>
        <w:rPr>
          <w:rFonts w:hint="eastAsia"/>
          <w:bCs/>
          <w:sz w:val="24"/>
        </w:rPr>
        <w:t>的</w:t>
      </w:r>
      <w:r w:rsidRPr="009F73E1">
        <w:rPr>
          <w:rFonts w:hint="eastAsia"/>
          <w:bCs/>
          <w:sz w:val="24"/>
        </w:rPr>
        <w:t>比例不超过全部股票及存托凭证资产的</w:t>
      </w:r>
      <w:r w:rsidRPr="009F73E1">
        <w:rPr>
          <w:rFonts w:hint="eastAsia"/>
          <w:bCs/>
          <w:sz w:val="24"/>
        </w:rPr>
        <w:t>50%</w:t>
      </w:r>
      <w:r w:rsidRPr="009F73E1">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sidRPr="009F73E1">
        <w:rPr>
          <w:rFonts w:hint="eastAsia"/>
          <w:bCs/>
          <w:sz w:val="24"/>
        </w:rPr>
        <w:t>5%</w:t>
      </w:r>
      <w:r w:rsidRPr="009F73E1">
        <w:rPr>
          <w:rFonts w:hint="eastAsia"/>
          <w:bCs/>
          <w:sz w:val="24"/>
        </w:rPr>
        <w:t>；股票期权、股指期货、国债期货及其他金融工具的投资比例依照法律法规或监管机构的规定执行。</w:t>
      </w:r>
    </w:p>
    <w:p w14:paraId="0644C400" w14:textId="77777777" w:rsidR="000A0FE8" w:rsidRDefault="000A0FE8" w:rsidP="000A0FE8">
      <w:pPr>
        <w:spacing w:line="360" w:lineRule="auto"/>
        <w:ind w:firstLine="480"/>
        <w:rPr>
          <w:bCs/>
          <w:sz w:val="24"/>
        </w:rPr>
      </w:pPr>
      <w:r w:rsidRPr="009F73E1">
        <w:rPr>
          <w:rFonts w:hint="eastAsia"/>
          <w:bCs/>
          <w:sz w:val="24"/>
        </w:rPr>
        <w:lastRenderedPageBreak/>
        <w:t>如果法律法规或监管机构变更投资品种的投资比例限制，基金管理人在履行适当程序后，可以调整上述投资品种的投资比例。</w:t>
      </w:r>
    </w:p>
    <w:p w14:paraId="171FF411" w14:textId="34D3A27F" w:rsidR="000A0FE8" w:rsidRDefault="000A0FE8" w:rsidP="000A0FE8">
      <w:pPr>
        <w:adjustRightInd w:val="0"/>
        <w:snapToGrid w:val="0"/>
        <w:spacing w:line="360" w:lineRule="auto"/>
        <w:ind w:firstLineChars="200" w:firstLine="480"/>
        <w:rPr>
          <w:rFonts w:ascii="宋体" w:hAnsi="宋体" w:cs="Arial"/>
          <w:sz w:val="24"/>
        </w:rPr>
      </w:pPr>
      <w:r>
        <w:rPr>
          <w:rFonts w:ascii="宋体" w:hAnsi="宋体" w:cs="Arial" w:hint="eastAsia"/>
          <w:sz w:val="24"/>
        </w:rPr>
        <w:t>（二）基金托管人根据有关法律法规的规定及基金合同的约定，对基金投资、融资比例进行监督。基金托管人按下述比例和调整期限进行监督：</w:t>
      </w:r>
    </w:p>
    <w:p w14:paraId="3FE2EF44" w14:textId="77777777" w:rsidR="000A0FE8" w:rsidRPr="00AA208B" w:rsidRDefault="000A0FE8" w:rsidP="000A0FE8">
      <w:pPr>
        <w:spacing w:line="360" w:lineRule="auto"/>
        <w:ind w:firstLine="480"/>
        <w:rPr>
          <w:bCs/>
          <w:sz w:val="24"/>
        </w:rPr>
      </w:pPr>
      <w:r>
        <w:rPr>
          <w:rFonts w:hint="eastAsia"/>
          <w:sz w:val="24"/>
        </w:rPr>
        <w:t>（</w:t>
      </w:r>
      <w:r>
        <w:rPr>
          <w:sz w:val="24"/>
        </w:rPr>
        <w:t>1</w:t>
      </w:r>
      <w:r>
        <w:rPr>
          <w:rFonts w:hint="eastAsia"/>
          <w:sz w:val="24"/>
        </w:rPr>
        <w:t>）本基金投资组合中股票及存托凭证投资比例为基金资产的</w:t>
      </w:r>
      <w:r>
        <w:rPr>
          <w:rFonts w:hint="eastAsia"/>
          <w:sz w:val="24"/>
        </w:rPr>
        <w:t>60%-95%</w:t>
      </w:r>
      <w:r>
        <w:rPr>
          <w:rFonts w:hint="eastAsia"/>
          <w:sz w:val="24"/>
        </w:rPr>
        <w:t>；</w:t>
      </w:r>
      <w:r w:rsidRPr="00AA208B">
        <w:rPr>
          <w:rFonts w:hint="eastAsia"/>
          <w:bCs/>
          <w:sz w:val="24"/>
        </w:rPr>
        <w:t>投资于港股通标的股票的比例不超过全部股票及存托凭证资产的</w:t>
      </w:r>
      <w:r w:rsidRPr="00AA208B">
        <w:rPr>
          <w:rFonts w:hint="eastAsia"/>
          <w:bCs/>
          <w:sz w:val="24"/>
        </w:rPr>
        <w:t>50%</w:t>
      </w:r>
      <w:r w:rsidRPr="00AA208B">
        <w:rPr>
          <w:rFonts w:hint="eastAsia"/>
          <w:bCs/>
          <w:sz w:val="24"/>
        </w:rPr>
        <w:t>；</w:t>
      </w:r>
      <w:r w:rsidRPr="00AA208B">
        <w:rPr>
          <w:bCs/>
          <w:sz w:val="24"/>
        </w:rPr>
        <w:t xml:space="preserve"> </w:t>
      </w:r>
    </w:p>
    <w:p w14:paraId="0001DB4C" w14:textId="77777777" w:rsidR="000A0FE8" w:rsidRDefault="000A0FE8" w:rsidP="000A0FE8">
      <w:pPr>
        <w:spacing w:line="360" w:lineRule="auto"/>
        <w:ind w:firstLine="480"/>
        <w:rPr>
          <w:bCs/>
          <w:sz w:val="24"/>
        </w:rPr>
      </w:pPr>
      <w:r>
        <w:rPr>
          <w:rFonts w:hint="eastAsia"/>
          <w:bCs/>
          <w:sz w:val="24"/>
        </w:rPr>
        <w:t>（</w:t>
      </w:r>
      <w:r>
        <w:rPr>
          <w:rFonts w:hint="eastAsia"/>
          <w:bCs/>
          <w:sz w:val="24"/>
        </w:rPr>
        <w:t>2</w:t>
      </w:r>
      <w:r>
        <w:rPr>
          <w:rFonts w:hint="eastAsia"/>
          <w:bCs/>
          <w:sz w:val="24"/>
        </w:rPr>
        <w:t>）每个交易日日终，在扣除股指期货、国债期货和股票期权合约需缴纳的交易保证金后，保持现金（不包括结算备付金、存出保证金、应收申购款等）或者到期日在一年以内的政府债券投资比例合计不低于基金资产净值的</w:t>
      </w:r>
      <w:r>
        <w:rPr>
          <w:rFonts w:hint="eastAsia"/>
          <w:bCs/>
          <w:sz w:val="24"/>
        </w:rPr>
        <w:t>5%</w:t>
      </w:r>
      <w:r>
        <w:rPr>
          <w:rFonts w:hint="eastAsia"/>
          <w:bCs/>
          <w:sz w:val="24"/>
        </w:rPr>
        <w:t>；</w:t>
      </w:r>
    </w:p>
    <w:p w14:paraId="6246B30C" w14:textId="77777777" w:rsidR="000A0FE8" w:rsidRDefault="000A0FE8" w:rsidP="000A0FE8">
      <w:pPr>
        <w:spacing w:line="360" w:lineRule="auto"/>
        <w:ind w:firstLine="480"/>
        <w:rPr>
          <w:bCs/>
          <w:sz w:val="24"/>
        </w:rPr>
      </w:pPr>
      <w:r>
        <w:rPr>
          <w:rFonts w:hint="eastAsia"/>
          <w:bCs/>
          <w:sz w:val="24"/>
        </w:rPr>
        <w:t>（</w:t>
      </w:r>
      <w:r>
        <w:rPr>
          <w:rFonts w:hint="eastAsia"/>
          <w:bCs/>
          <w:sz w:val="24"/>
        </w:rPr>
        <w:t>3</w:t>
      </w:r>
      <w:r>
        <w:rPr>
          <w:rFonts w:hint="eastAsia"/>
          <w:bCs/>
          <w:sz w:val="24"/>
        </w:rPr>
        <w:t>）本基金持有一家公司发行的证券，其市值（同一家公司在内地和香港同时上市的</w:t>
      </w:r>
      <w:r>
        <w:rPr>
          <w:rFonts w:hint="eastAsia"/>
          <w:bCs/>
          <w:sz w:val="24"/>
        </w:rPr>
        <w:t>A+H</w:t>
      </w:r>
      <w:r>
        <w:rPr>
          <w:rFonts w:hint="eastAsia"/>
          <w:bCs/>
          <w:sz w:val="24"/>
        </w:rPr>
        <w:t>股合计计算）不超过基金资产净值的</w:t>
      </w:r>
      <w:r>
        <w:rPr>
          <w:rFonts w:hint="eastAsia"/>
          <w:bCs/>
          <w:sz w:val="24"/>
        </w:rPr>
        <w:t>10</w:t>
      </w:r>
      <w:r>
        <w:rPr>
          <w:rFonts w:hint="eastAsia"/>
          <w:bCs/>
          <w:sz w:val="24"/>
        </w:rPr>
        <w:t>％；</w:t>
      </w:r>
    </w:p>
    <w:p w14:paraId="4D4FB54B" w14:textId="77777777" w:rsidR="000A0FE8" w:rsidRDefault="000A0FE8" w:rsidP="000A0FE8">
      <w:pPr>
        <w:spacing w:line="360" w:lineRule="auto"/>
        <w:ind w:firstLine="480"/>
        <w:rPr>
          <w:bCs/>
          <w:sz w:val="24"/>
        </w:rPr>
      </w:pPr>
      <w:r>
        <w:rPr>
          <w:rFonts w:hint="eastAsia"/>
          <w:bCs/>
          <w:sz w:val="24"/>
        </w:rPr>
        <w:t>（</w:t>
      </w:r>
      <w:r>
        <w:rPr>
          <w:rFonts w:hint="eastAsia"/>
          <w:bCs/>
          <w:sz w:val="24"/>
        </w:rPr>
        <w:t>4</w:t>
      </w:r>
      <w:r>
        <w:rPr>
          <w:rFonts w:hint="eastAsia"/>
          <w:bCs/>
          <w:sz w:val="24"/>
        </w:rPr>
        <w:t>）本基金管理人管理的</w:t>
      </w:r>
      <w:r w:rsidR="00412DB9">
        <w:rPr>
          <w:rFonts w:hint="eastAsia"/>
          <w:bCs/>
          <w:sz w:val="24"/>
        </w:rPr>
        <w:t>且由本基金托管人托管的</w:t>
      </w:r>
      <w:r>
        <w:rPr>
          <w:rFonts w:hint="eastAsia"/>
          <w:bCs/>
          <w:sz w:val="24"/>
        </w:rPr>
        <w:t>全部基金持有一家公司发行的证券（同一家公司在内地和香港同时上市的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05EACF19" w14:textId="77777777" w:rsidR="000A0FE8" w:rsidRDefault="000A0FE8" w:rsidP="000A0FE8">
      <w:pPr>
        <w:spacing w:line="360" w:lineRule="auto"/>
        <w:ind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1C17A530" w14:textId="77777777" w:rsidR="000A0FE8" w:rsidRDefault="000A0FE8" w:rsidP="000A0FE8">
      <w:pPr>
        <w:spacing w:line="360" w:lineRule="auto"/>
        <w:ind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5228D144" w14:textId="77777777" w:rsidR="000A0FE8" w:rsidRDefault="000A0FE8" w:rsidP="000A0FE8">
      <w:pPr>
        <w:spacing w:line="360" w:lineRule="auto"/>
        <w:ind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2F10BB4" w14:textId="77777777" w:rsidR="000A0FE8" w:rsidRDefault="000A0FE8" w:rsidP="000A0FE8">
      <w:pPr>
        <w:spacing w:line="360" w:lineRule="auto"/>
        <w:ind w:firstLine="480"/>
        <w:rPr>
          <w:bCs/>
          <w:sz w:val="24"/>
        </w:rPr>
      </w:pPr>
      <w:r>
        <w:rPr>
          <w:rFonts w:hint="eastAsia"/>
          <w:bCs/>
          <w:sz w:val="24"/>
        </w:rPr>
        <w:t>（</w:t>
      </w:r>
      <w:r>
        <w:rPr>
          <w:rFonts w:hint="eastAsia"/>
          <w:bCs/>
          <w:sz w:val="24"/>
        </w:rPr>
        <w:t>8</w:t>
      </w:r>
      <w:r>
        <w:rPr>
          <w:rFonts w:hint="eastAsia"/>
          <w:bCs/>
          <w:sz w:val="24"/>
        </w:rPr>
        <w:t>）本基金管理人管理的</w:t>
      </w:r>
      <w:r w:rsidR="00412DB9">
        <w:rPr>
          <w:rFonts w:hint="eastAsia"/>
          <w:bCs/>
          <w:sz w:val="24"/>
        </w:rPr>
        <w:t>且由本基金托管人托管的</w:t>
      </w:r>
      <w:r>
        <w:rPr>
          <w:rFonts w:hint="eastAsia"/>
          <w:bCs/>
          <w:sz w:val="24"/>
        </w:rPr>
        <w:t>全部基金投资于同一原始权益人的各类资产支持证券，不得超过其各类资产支持证券合计规模的</w:t>
      </w:r>
      <w:r>
        <w:rPr>
          <w:rFonts w:hint="eastAsia"/>
          <w:bCs/>
          <w:sz w:val="24"/>
        </w:rPr>
        <w:t>10</w:t>
      </w:r>
      <w:r>
        <w:rPr>
          <w:rFonts w:hint="eastAsia"/>
          <w:bCs/>
          <w:sz w:val="24"/>
        </w:rPr>
        <w:t>％；</w:t>
      </w:r>
    </w:p>
    <w:p w14:paraId="745A9E60" w14:textId="77777777" w:rsidR="000A0FE8" w:rsidRDefault="000A0FE8" w:rsidP="000A0FE8">
      <w:pPr>
        <w:spacing w:line="360" w:lineRule="auto"/>
        <w:ind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537ACC9A" w14:textId="77777777" w:rsidR="000A0FE8" w:rsidRDefault="000A0FE8" w:rsidP="000A0FE8">
      <w:pPr>
        <w:spacing w:line="360" w:lineRule="auto"/>
        <w:ind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290806F0" w14:textId="77777777" w:rsidR="000A0FE8" w:rsidRDefault="000A0FE8" w:rsidP="000A0FE8">
      <w:pPr>
        <w:spacing w:line="360" w:lineRule="auto"/>
        <w:ind w:firstLine="480"/>
        <w:rPr>
          <w:bCs/>
          <w:sz w:val="24"/>
        </w:rPr>
      </w:pPr>
      <w:r>
        <w:rPr>
          <w:rFonts w:hint="eastAsia"/>
          <w:bCs/>
          <w:sz w:val="24"/>
        </w:rPr>
        <w:t>（</w:t>
      </w:r>
      <w:r>
        <w:rPr>
          <w:rFonts w:hint="eastAsia"/>
          <w:bCs/>
          <w:sz w:val="24"/>
        </w:rPr>
        <w:t>11</w:t>
      </w:r>
      <w:r>
        <w:rPr>
          <w:rFonts w:hint="eastAsia"/>
          <w:bCs/>
          <w:sz w:val="24"/>
        </w:rPr>
        <w:t>）本基金不得持有信用保护卖方属性的信用衍生品，不得持有合约类信</w:t>
      </w:r>
      <w:r>
        <w:rPr>
          <w:rFonts w:hint="eastAsia"/>
          <w:bCs/>
          <w:sz w:val="24"/>
        </w:rPr>
        <w:lastRenderedPageBreak/>
        <w:t>用衍生品，持有的信用衍生品的名义本金不得超过本基金对应受保护债券面值的</w:t>
      </w:r>
      <w:r>
        <w:rPr>
          <w:rFonts w:hint="eastAsia"/>
          <w:bCs/>
          <w:sz w:val="24"/>
        </w:rPr>
        <w:t>100%</w:t>
      </w:r>
      <w:r>
        <w:rPr>
          <w:rFonts w:hint="eastAsia"/>
          <w:bCs/>
          <w:sz w:val="24"/>
        </w:rPr>
        <w:t>；</w:t>
      </w:r>
    </w:p>
    <w:p w14:paraId="33FEFA9B" w14:textId="77777777" w:rsidR="000A0FE8" w:rsidRDefault="000A0FE8" w:rsidP="000A0FE8">
      <w:pPr>
        <w:spacing w:line="360" w:lineRule="auto"/>
        <w:ind w:firstLine="480"/>
        <w:rPr>
          <w:bCs/>
          <w:sz w:val="24"/>
        </w:rPr>
      </w:pPr>
      <w:r>
        <w:rPr>
          <w:rFonts w:hint="eastAsia"/>
          <w:bCs/>
          <w:sz w:val="24"/>
        </w:rPr>
        <w:t>（</w:t>
      </w:r>
      <w:r>
        <w:rPr>
          <w:rFonts w:hint="eastAsia"/>
          <w:bCs/>
          <w:sz w:val="24"/>
        </w:rPr>
        <w:t>12</w:t>
      </w:r>
      <w:r>
        <w:rPr>
          <w:rFonts w:hint="eastAsia"/>
          <w:bCs/>
          <w:sz w:val="24"/>
        </w:rPr>
        <w:t>）本基金投资于同一信用保护卖方的各类信用衍生品的名义本金合计不得超过基金资产净值的</w:t>
      </w:r>
      <w:r>
        <w:rPr>
          <w:rFonts w:hint="eastAsia"/>
          <w:bCs/>
          <w:sz w:val="24"/>
        </w:rPr>
        <w:t>10%</w:t>
      </w:r>
      <w:r>
        <w:rPr>
          <w:rFonts w:hint="eastAsia"/>
          <w:bCs/>
          <w:sz w:val="24"/>
        </w:rPr>
        <w:t>；</w:t>
      </w:r>
    </w:p>
    <w:p w14:paraId="57E0E8D8" w14:textId="77777777" w:rsidR="000A0FE8" w:rsidRDefault="000A0FE8" w:rsidP="000A0FE8">
      <w:pPr>
        <w:spacing w:line="360" w:lineRule="auto"/>
        <w:ind w:firstLine="480"/>
        <w:rPr>
          <w:bCs/>
          <w:sz w:val="24"/>
        </w:rPr>
      </w:pPr>
      <w:r>
        <w:rPr>
          <w:rFonts w:hint="eastAsia"/>
          <w:bCs/>
          <w:sz w:val="24"/>
        </w:rPr>
        <w:t>因证券、期货市场波动、证券发行人合并、基金规模变动等基金管理人之外的因素致使基金不符合前述（</w:t>
      </w:r>
      <w:r>
        <w:rPr>
          <w:rFonts w:hint="eastAsia"/>
          <w:bCs/>
          <w:sz w:val="24"/>
        </w:rPr>
        <w:t>11</w:t>
      </w:r>
      <w:r>
        <w:rPr>
          <w:rFonts w:hint="eastAsia"/>
          <w:bCs/>
          <w:sz w:val="24"/>
        </w:rPr>
        <w:t>）、（</w:t>
      </w:r>
      <w:r>
        <w:rPr>
          <w:rFonts w:hint="eastAsia"/>
          <w:bCs/>
          <w:sz w:val="24"/>
        </w:rPr>
        <w:t>12</w:t>
      </w:r>
      <w:r>
        <w:rPr>
          <w:rFonts w:hint="eastAsia"/>
          <w:bCs/>
          <w:sz w:val="24"/>
        </w:rPr>
        <w:t>）所规定比例限制的，基金管理人应在</w:t>
      </w:r>
      <w:r>
        <w:rPr>
          <w:rFonts w:hint="eastAsia"/>
          <w:bCs/>
          <w:sz w:val="24"/>
        </w:rPr>
        <w:t>3</w:t>
      </w:r>
      <w:r>
        <w:rPr>
          <w:rFonts w:hint="eastAsia"/>
          <w:bCs/>
          <w:sz w:val="24"/>
        </w:rPr>
        <w:t>个月之内进行调整；</w:t>
      </w:r>
    </w:p>
    <w:p w14:paraId="6A518CD2" w14:textId="77777777" w:rsidR="000A0FE8" w:rsidRDefault="000A0FE8" w:rsidP="000A0FE8">
      <w:pPr>
        <w:spacing w:line="360" w:lineRule="auto"/>
        <w:ind w:firstLine="480"/>
        <w:rPr>
          <w:bCs/>
          <w:sz w:val="24"/>
        </w:rPr>
      </w:pPr>
      <w:r>
        <w:rPr>
          <w:rFonts w:hint="eastAsia"/>
          <w:bCs/>
          <w:sz w:val="24"/>
        </w:rPr>
        <w:t>（</w:t>
      </w:r>
      <w:r>
        <w:rPr>
          <w:rFonts w:hint="eastAsia"/>
          <w:bCs/>
          <w:sz w:val="24"/>
        </w:rPr>
        <w:t>13</w:t>
      </w:r>
      <w:r>
        <w:rPr>
          <w:rFonts w:hint="eastAsia"/>
          <w:bCs/>
          <w:sz w:val="24"/>
        </w:rPr>
        <w:t>）本基金管理人管理的</w:t>
      </w:r>
      <w:r w:rsidR="00412DB9">
        <w:rPr>
          <w:rFonts w:hint="eastAsia"/>
          <w:bCs/>
          <w:sz w:val="24"/>
        </w:rPr>
        <w:t>且由本基金托管人托管的</w:t>
      </w:r>
      <w:r>
        <w:rPr>
          <w:rFonts w:hint="eastAsia"/>
          <w:bCs/>
          <w:sz w:val="24"/>
        </w:rPr>
        <w:t>全部开放式基金</w:t>
      </w:r>
      <w:r>
        <w:rPr>
          <w:rFonts w:hint="eastAsia"/>
          <w:bCs/>
          <w:sz w:val="24"/>
        </w:rPr>
        <w:t>(</w:t>
      </w:r>
      <w:r>
        <w:rPr>
          <w:rFonts w:hint="eastAsia"/>
          <w:bCs/>
          <w:sz w:val="24"/>
        </w:rPr>
        <w:t>包括开放式基金以及处于开放期的定期开放基金</w:t>
      </w:r>
      <w:r>
        <w:rPr>
          <w:rFonts w:hint="eastAsia"/>
          <w:bCs/>
          <w:sz w:val="24"/>
        </w:rPr>
        <w:t>)</w:t>
      </w:r>
      <w:r>
        <w:rPr>
          <w:rFonts w:hint="eastAsia"/>
          <w:bCs/>
          <w:sz w:val="24"/>
        </w:rPr>
        <w:t>持有一家上市公司发行的可流通股票，不得超过该上市公司可流通股票的</w:t>
      </w:r>
      <w:r>
        <w:rPr>
          <w:rFonts w:hint="eastAsia"/>
          <w:bCs/>
          <w:sz w:val="24"/>
        </w:rPr>
        <w:t>15%</w:t>
      </w:r>
      <w:r>
        <w:rPr>
          <w:rFonts w:hint="eastAsia"/>
          <w:bCs/>
          <w:sz w:val="24"/>
        </w:rPr>
        <w:t>；本基金管理人管理的</w:t>
      </w:r>
      <w:r w:rsidR="00412DB9">
        <w:rPr>
          <w:rFonts w:hint="eastAsia"/>
          <w:bCs/>
          <w:sz w:val="24"/>
        </w:rPr>
        <w:t>且由本基金托管人托管的</w:t>
      </w:r>
      <w:r>
        <w:rPr>
          <w:rFonts w:hint="eastAsia"/>
          <w:bCs/>
          <w:sz w:val="24"/>
        </w:rPr>
        <w:t>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559432C6" w14:textId="77777777" w:rsidR="000A0FE8" w:rsidRDefault="000A0FE8" w:rsidP="000A0FE8">
      <w:pPr>
        <w:spacing w:line="360" w:lineRule="auto"/>
        <w:ind w:firstLine="480"/>
        <w:rPr>
          <w:bCs/>
          <w:sz w:val="24"/>
        </w:rPr>
      </w:pPr>
      <w:r>
        <w:rPr>
          <w:rFonts w:hint="eastAsia"/>
          <w:bCs/>
          <w:sz w:val="24"/>
        </w:rPr>
        <w:t>（</w:t>
      </w:r>
      <w:r>
        <w:rPr>
          <w:rFonts w:hint="eastAsia"/>
          <w:bCs/>
          <w:sz w:val="24"/>
        </w:rPr>
        <w:t>14</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316CB1A5" w14:textId="77777777" w:rsidR="000A0FE8" w:rsidRDefault="000A0FE8" w:rsidP="000A0FE8">
      <w:pPr>
        <w:spacing w:line="360" w:lineRule="auto"/>
        <w:ind w:firstLine="480"/>
        <w:rPr>
          <w:bCs/>
          <w:sz w:val="24"/>
        </w:rPr>
      </w:pPr>
      <w:r>
        <w:rPr>
          <w:rFonts w:hint="eastAsia"/>
          <w:bCs/>
          <w:sz w:val="24"/>
        </w:rPr>
        <w:t>（</w:t>
      </w:r>
      <w:r>
        <w:rPr>
          <w:rFonts w:hint="eastAsia"/>
          <w:bCs/>
          <w:sz w:val="24"/>
        </w:rPr>
        <w:t>15</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31E7C702" w14:textId="77777777" w:rsidR="000A0FE8" w:rsidRDefault="000A0FE8" w:rsidP="000A0FE8">
      <w:pPr>
        <w:spacing w:line="360" w:lineRule="auto"/>
        <w:ind w:firstLine="480"/>
        <w:rPr>
          <w:bCs/>
          <w:sz w:val="24"/>
        </w:rPr>
      </w:pPr>
      <w:r>
        <w:rPr>
          <w:rFonts w:hint="eastAsia"/>
          <w:bCs/>
          <w:sz w:val="24"/>
        </w:rPr>
        <w:t>（</w:t>
      </w:r>
      <w:r>
        <w:rPr>
          <w:rFonts w:hint="eastAsia"/>
          <w:bCs/>
          <w:sz w:val="24"/>
        </w:rPr>
        <w:t>16</w:t>
      </w:r>
      <w:r>
        <w:rPr>
          <w:rFonts w:hint="eastAsia"/>
          <w:bCs/>
          <w:sz w:val="24"/>
        </w:rPr>
        <w:t>）本基金</w:t>
      </w:r>
      <w:proofErr w:type="gramStart"/>
      <w:r>
        <w:rPr>
          <w:rFonts w:hint="eastAsia"/>
          <w:bCs/>
          <w:sz w:val="24"/>
        </w:rPr>
        <w:t>若参</w:t>
      </w:r>
      <w:proofErr w:type="gramEnd"/>
      <w:r>
        <w:rPr>
          <w:rFonts w:hint="eastAsia"/>
          <w:bCs/>
          <w:sz w:val="24"/>
        </w:rPr>
        <w:t>与国债期货、股指期货交易的，需遵守下列投资比例限制：</w:t>
      </w:r>
    </w:p>
    <w:p w14:paraId="23CA56D1" w14:textId="77777777" w:rsidR="000A0FE8" w:rsidRDefault="000A0FE8" w:rsidP="000A0FE8">
      <w:pPr>
        <w:spacing w:line="360" w:lineRule="auto"/>
        <w:ind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24716785" w14:textId="77777777" w:rsidR="000A0FE8" w:rsidRDefault="000A0FE8" w:rsidP="000A0FE8">
      <w:pPr>
        <w:spacing w:line="360" w:lineRule="auto"/>
        <w:ind w:firstLine="480"/>
        <w:rPr>
          <w:bCs/>
          <w:sz w:val="24"/>
        </w:rPr>
      </w:pPr>
      <w:r>
        <w:rPr>
          <w:rFonts w:hint="eastAsia"/>
          <w:bCs/>
          <w:sz w:val="24"/>
        </w:rPr>
        <w:t>2</w:t>
      </w:r>
      <w:r>
        <w:rPr>
          <w:rFonts w:hint="eastAsia"/>
          <w:bCs/>
          <w:sz w:val="24"/>
        </w:rPr>
        <w:t>）本基金在任何交易日日终，持有的买入国债期货合约价值，不得超过基金资产净值的</w:t>
      </w:r>
      <w:r>
        <w:rPr>
          <w:rFonts w:hint="eastAsia"/>
          <w:bCs/>
          <w:sz w:val="24"/>
        </w:rPr>
        <w:t>15%</w:t>
      </w:r>
      <w:r>
        <w:rPr>
          <w:rFonts w:hint="eastAsia"/>
          <w:bCs/>
          <w:sz w:val="24"/>
        </w:rPr>
        <w:t>；</w:t>
      </w:r>
    </w:p>
    <w:p w14:paraId="2D9D19C2" w14:textId="77777777" w:rsidR="000A0FE8" w:rsidRDefault="000A0FE8" w:rsidP="000A0FE8">
      <w:pPr>
        <w:spacing w:line="360" w:lineRule="auto"/>
        <w:ind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7EF1E30B" w14:textId="77777777" w:rsidR="000A0FE8" w:rsidRDefault="000A0FE8" w:rsidP="000A0FE8">
      <w:pPr>
        <w:spacing w:line="360" w:lineRule="auto"/>
        <w:ind w:firstLine="480"/>
        <w:rPr>
          <w:bCs/>
          <w:sz w:val="24"/>
        </w:rPr>
      </w:pPr>
      <w:r>
        <w:rPr>
          <w:rFonts w:hint="eastAsia"/>
          <w:bCs/>
          <w:sz w:val="24"/>
        </w:rPr>
        <w:t>4</w:t>
      </w:r>
      <w:r>
        <w:rPr>
          <w:rFonts w:hint="eastAsia"/>
          <w:bCs/>
          <w:sz w:val="24"/>
        </w:rPr>
        <w:t>）本基金在任何交易日日终，持有的卖出国债期货合约价值不得超过基金持有的债券总市值的</w:t>
      </w:r>
      <w:r>
        <w:rPr>
          <w:rFonts w:hint="eastAsia"/>
          <w:bCs/>
          <w:sz w:val="24"/>
        </w:rPr>
        <w:t>30%</w:t>
      </w:r>
      <w:r>
        <w:rPr>
          <w:rFonts w:hint="eastAsia"/>
          <w:bCs/>
          <w:sz w:val="24"/>
        </w:rPr>
        <w:t>；</w:t>
      </w:r>
    </w:p>
    <w:p w14:paraId="20A00659" w14:textId="77777777" w:rsidR="000A0FE8" w:rsidRDefault="000A0FE8" w:rsidP="000A0FE8">
      <w:pPr>
        <w:spacing w:line="360" w:lineRule="auto"/>
        <w:ind w:firstLine="480"/>
        <w:rPr>
          <w:bCs/>
          <w:sz w:val="24"/>
        </w:rPr>
      </w:pPr>
      <w:r>
        <w:rPr>
          <w:rFonts w:hint="eastAsia"/>
          <w:bCs/>
          <w:sz w:val="24"/>
        </w:rPr>
        <w:lastRenderedPageBreak/>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362046CB" w14:textId="77777777" w:rsidR="000A0FE8" w:rsidRDefault="000A0FE8" w:rsidP="000A0FE8">
      <w:pPr>
        <w:spacing w:line="360" w:lineRule="auto"/>
        <w:ind w:firstLine="480"/>
        <w:rPr>
          <w:bCs/>
          <w:sz w:val="24"/>
        </w:rPr>
      </w:pPr>
      <w:r>
        <w:rPr>
          <w:rFonts w:hint="eastAsia"/>
          <w:bCs/>
          <w:sz w:val="24"/>
        </w:rPr>
        <w:t>6</w:t>
      </w:r>
      <w:r>
        <w:rPr>
          <w:rFonts w:hint="eastAsia"/>
          <w:bCs/>
          <w:sz w:val="24"/>
        </w:rPr>
        <w:t>）本基金在任何交易日内交易（不包括平仓）的国债期货合约的成交金额不得超过上一交易日基金资产净值的</w:t>
      </w:r>
      <w:r>
        <w:rPr>
          <w:rFonts w:hint="eastAsia"/>
          <w:bCs/>
          <w:sz w:val="24"/>
        </w:rPr>
        <w:t>30%</w:t>
      </w:r>
      <w:r>
        <w:rPr>
          <w:rFonts w:hint="eastAsia"/>
          <w:bCs/>
          <w:sz w:val="24"/>
        </w:rPr>
        <w:t>；</w:t>
      </w:r>
    </w:p>
    <w:p w14:paraId="0F48B802" w14:textId="77777777" w:rsidR="000A0FE8" w:rsidRDefault="000A0FE8" w:rsidP="000A0FE8">
      <w:pPr>
        <w:spacing w:line="360" w:lineRule="auto"/>
        <w:ind w:firstLine="480"/>
        <w:rPr>
          <w:bCs/>
          <w:sz w:val="24"/>
        </w:rPr>
      </w:pPr>
      <w:r>
        <w:rPr>
          <w:rFonts w:hint="eastAsia"/>
          <w:bCs/>
          <w:sz w:val="24"/>
        </w:rPr>
        <w:t>7</w:t>
      </w:r>
      <w:r>
        <w:rPr>
          <w:rFonts w:hint="eastAsia"/>
          <w:bCs/>
          <w:sz w:val="24"/>
        </w:rPr>
        <w:t>）本基金任何交易日日终，持有的买入国债期货和股指期货合约价值与有价证券市值之和，不得超过基金资产净值的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14:paraId="73C7EB88" w14:textId="77777777" w:rsidR="000A0FE8" w:rsidRDefault="000A0FE8" w:rsidP="000A0FE8">
      <w:pPr>
        <w:spacing w:line="360" w:lineRule="auto"/>
        <w:ind w:firstLine="480"/>
        <w:rPr>
          <w:bCs/>
          <w:sz w:val="24"/>
        </w:rPr>
      </w:pPr>
      <w:r>
        <w:rPr>
          <w:rFonts w:hint="eastAsia"/>
          <w:bCs/>
          <w:sz w:val="24"/>
        </w:rPr>
        <w:t>8</w:t>
      </w:r>
      <w:r>
        <w:rPr>
          <w:rFonts w:hint="eastAsia"/>
          <w:bCs/>
          <w:sz w:val="24"/>
        </w:rPr>
        <w:t>）本基金所持有的股票市值和买入、卖出股指期货合约价值，合计（轧差计算）应当符合基金合同关于股票投资比例的有关约定；</w:t>
      </w:r>
    </w:p>
    <w:p w14:paraId="57A3B332" w14:textId="77777777" w:rsidR="000A0FE8" w:rsidRDefault="000A0FE8" w:rsidP="000A0FE8">
      <w:pPr>
        <w:spacing w:line="360" w:lineRule="auto"/>
        <w:ind w:firstLine="480"/>
        <w:rPr>
          <w:bCs/>
          <w:sz w:val="24"/>
        </w:rPr>
      </w:pPr>
      <w:r>
        <w:rPr>
          <w:rFonts w:hint="eastAsia"/>
          <w:bCs/>
          <w:sz w:val="24"/>
        </w:rPr>
        <w:t>（</w:t>
      </w:r>
      <w:r>
        <w:rPr>
          <w:rFonts w:hint="eastAsia"/>
          <w:bCs/>
          <w:sz w:val="24"/>
        </w:rPr>
        <w:t>17</w:t>
      </w:r>
      <w:r>
        <w:rPr>
          <w:rFonts w:hint="eastAsia"/>
          <w:bCs/>
          <w:sz w:val="24"/>
        </w:rPr>
        <w:t>）本基金</w:t>
      </w:r>
      <w:proofErr w:type="gramStart"/>
      <w:r>
        <w:rPr>
          <w:rFonts w:hint="eastAsia"/>
          <w:bCs/>
          <w:sz w:val="24"/>
        </w:rPr>
        <w:t>若参</w:t>
      </w:r>
      <w:proofErr w:type="gramEnd"/>
      <w:r>
        <w:rPr>
          <w:rFonts w:hint="eastAsia"/>
          <w:bCs/>
          <w:sz w:val="24"/>
        </w:rPr>
        <w:t>与股票期权交易的，需遵守下列投资比例限制：</w:t>
      </w:r>
    </w:p>
    <w:p w14:paraId="3E1E697E" w14:textId="77777777" w:rsidR="000A0FE8" w:rsidRDefault="000A0FE8" w:rsidP="000A0FE8">
      <w:pPr>
        <w:spacing w:line="360" w:lineRule="auto"/>
        <w:ind w:firstLine="480"/>
        <w:rPr>
          <w:bCs/>
          <w:sz w:val="24"/>
        </w:rPr>
      </w:pPr>
      <w:r>
        <w:rPr>
          <w:rFonts w:hint="eastAsia"/>
          <w:bCs/>
          <w:sz w:val="24"/>
        </w:rPr>
        <w:t>1</w:t>
      </w:r>
      <w:r>
        <w:rPr>
          <w:rFonts w:hint="eastAsia"/>
          <w:bCs/>
          <w:sz w:val="24"/>
        </w:rPr>
        <w:t>）本基金因未平仓的期权合约支付和收取的权利金总额不得超过基金资产净值的</w:t>
      </w:r>
      <w:r>
        <w:rPr>
          <w:rFonts w:hint="eastAsia"/>
          <w:bCs/>
          <w:sz w:val="24"/>
        </w:rPr>
        <w:t>10%</w:t>
      </w:r>
      <w:r>
        <w:rPr>
          <w:rFonts w:hint="eastAsia"/>
          <w:bCs/>
          <w:sz w:val="24"/>
        </w:rPr>
        <w:t>；</w:t>
      </w:r>
    </w:p>
    <w:p w14:paraId="2FC1E8EE" w14:textId="77777777" w:rsidR="000A0FE8" w:rsidRDefault="000A0FE8" w:rsidP="000A0FE8">
      <w:pPr>
        <w:spacing w:line="360" w:lineRule="auto"/>
        <w:ind w:firstLine="480"/>
        <w:rPr>
          <w:bCs/>
          <w:sz w:val="24"/>
        </w:rPr>
      </w:pPr>
      <w:r>
        <w:rPr>
          <w:rFonts w:hint="eastAsia"/>
          <w:bCs/>
          <w:sz w:val="24"/>
        </w:rPr>
        <w:t>2</w:t>
      </w:r>
      <w:r>
        <w:rPr>
          <w:rFonts w:hint="eastAsia"/>
          <w:bCs/>
          <w:sz w:val="24"/>
        </w:rPr>
        <w:t>）本基金开仓卖出认购期权的，应持有足额标的证券；开仓卖出认沽期权的，应持有合约行权所需的全额现金或交易所规则认可的可冲抵期权保证金的现金等价物；</w:t>
      </w:r>
    </w:p>
    <w:p w14:paraId="3D11CA5A" w14:textId="77777777" w:rsidR="000A0FE8" w:rsidRDefault="000A0FE8" w:rsidP="000A0FE8">
      <w:pPr>
        <w:spacing w:line="360" w:lineRule="auto"/>
        <w:ind w:firstLine="480"/>
        <w:rPr>
          <w:bCs/>
          <w:sz w:val="24"/>
        </w:rPr>
      </w:pPr>
      <w:r>
        <w:rPr>
          <w:rFonts w:hint="eastAsia"/>
          <w:bCs/>
          <w:sz w:val="24"/>
        </w:rPr>
        <w:t>3</w:t>
      </w:r>
      <w:r>
        <w:rPr>
          <w:rFonts w:hint="eastAsia"/>
          <w:bCs/>
          <w:sz w:val="24"/>
        </w:rPr>
        <w:t>）本基金未平仓的期权合约面值不得超过基金资产净值的</w:t>
      </w:r>
      <w:r>
        <w:rPr>
          <w:rFonts w:hint="eastAsia"/>
          <w:bCs/>
          <w:sz w:val="24"/>
        </w:rPr>
        <w:t>20%</w:t>
      </w:r>
      <w:r>
        <w:rPr>
          <w:rFonts w:hint="eastAsia"/>
          <w:bCs/>
          <w:sz w:val="24"/>
        </w:rPr>
        <w:t>。其中，合约面值按照行权价乘以合约乘数计算；</w:t>
      </w:r>
    </w:p>
    <w:p w14:paraId="6E8CBB01" w14:textId="77777777" w:rsidR="000A0FE8" w:rsidRDefault="000A0FE8" w:rsidP="000A0FE8">
      <w:pPr>
        <w:spacing w:line="360" w:lineRule="auto"/>
        <w:ind w:firstLine="480"/>
        <w:rPr>
          <w:bCs/>
          <w:sz w:val="24"/>
        </w:rPr>
      </w:pPr>
      <w:r>
        <w:rPr>
          <w:rFonts w:hint="eastAsia"/>
          <w:bCs/>
          <w:sz w:val="24"/>
        </w:rPr>
        <w:t>（</w:t>
      </w:r>
      <w:r>
        <w:rPr>
          <w:rFonts w:hint="eastAsia"/>
          <w:bCs/>
          <w:sz w:val="24"/>
        </w:rPr>
        <w:t>18</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27EF0D2D" w14:textId="77777777" w:rsidR="000A0FE8" w:rsidRDefault="000A0FE8" w:rsidP="000A0FE8">
      <w:pPr>
        <w:spacing w:line="360" w:lineRule="auto"/>
        <w:ind w:firstLine="480"/>
        <w:rPr>
          <w:bCs/>
          <w:sz w:val="24"/>
        </w:rPr>
      </w:pPr>
      <w:r>
        <w:rPr>
          <w:rFonts w:hint="eastAsia"/>
          <w:bCs/>
          <w:sz w:val="24"/>
        </w:rPr>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14:paraId="18D93BE9" w14:textId="77777777" w:rsidR="000A0FE8" w:rsidRDefault="000A0FE8" w:rsidP="002D40B3">
      <w:pPr>
        <w:spacing w:line="360" w:lineRule="auto"/>
        <w:ind w:firstLine="480"/>
        <w:rPr>
          <w:bCs/>
          <w:sz w:val="24"/>
        </w:rPr>
      </w:pPr>
      <w:r>
        <w:rPr>
          <w:rFonts w:hint="eastAsia"/>
          <w:bCs/>
          <w:sz w:val="24"/>
        </w:rPr>
        <w:t>（</w:t>
      </w:r>
      <w:r>
        <w:rPr>
          <w:rFonts w:hint="eastAsia"/>
          <w:bCs/>
          <w:sz w:val="24"/>
        </w:rPr>
        <w:t>20</w:t>
      </w:r>
      <w:r>
        <w:rPr>
          <w:rFonts w:hint="eastAsia"/>
          <w:bCs/>
          <w:sz w:val="24"/>
        </w:rPr>
        <w:t>）本基金投资存托凭证的比例限制依照内地上市交易的股票执行，与内地上市交易的股票合并计算；</w:t>
      </w:r>
    </w:p>
    <w:p w14:paraId="60DC14D6" w14:textId="77777777" w:rsidR="00BC3093" w:rsidRDefault="000A0FE8" w:rsidP="002D40B3">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）法律法规及中国证监会规定的和基金合同约定的其他投资限制。</w:t>
      </w:r>
      <w:bookmarkStart w:id="42" w:name="_Hlk175314551"/>
      <w:bookmarkEnd w:id="41"/>
    </w:p>
    <w:p w14:paraId="7618429C" w14:textId="77777777" w:rsidR="00BC3093" w:rsidRDefault="00BC3093" w:rsidP="00BC3093">
      <w:pPr>
        <w:spacing w:line="360" w:lineRule="auto"/>
        <w:ind w:firstLine="480"/>
        <w:rPr>
          <w:bCs/>
          <w:sz w:val="24"/>
        </w:rPr>
      </w:pPr>
      <w:r>
        <w:rPr>
          <w:rFonts w:hint="eastAsia"/>
          <w:bCs/>
          <w:sz w:val="24"/>
        </w:rPr>
        <w:t>除上述（</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11</w:t>
      </w:r>
      <w:r>
        <w:rPr>
          <w:rFonts w:hint="eastAsia"/>
          <w:bCs/>
          <w:sz w:val="24"/>
        </w:rPr>
        <w:t>）、（</w:t>
      </w:r>
      <w:r>
        <w:rPr>
          <w:rFonts w:hint="eastAsia"/>
          <w:bCs/>
          <w:sz w:val="24"/>
        </w:rPr>
        <w:t>12</w:t>
      </w:r>
      <w:r>
        <w:rPr>
          <w:rFonts w:hint="eastAsia"/>
          <w:bCs/>
          <w:sz w:val="24"/>
        </w:rPr>
        <w:t>）、（</w:t>
      </w:r>
      <w:r>
        <w:rPr>
          <w:rFonts w:hint="eastAsia"/>
          <w:bCs/>
          <w:sz w:val="24"/>
        </w:rPr>
        <w:t>14</w:t>
      </w:r>
      <w:r>
        <w:rPr>
          <w:rFonts w:hint="eastAsia"/>
          <w:bCs/>
          <w:sz w:val="24"/>
        </w:rPr>
        <w:t>）、（</w:t>
      </w:r>
      <w:r>
        <w:rPr>
          <w:rFonts w:hint="eastAsia"/>
          <w:bCs/>
          <w:sz w:val="24"/>
        </w:rPr>
        <w:t>15</w:t>
      </w:r>
      <w:r>
        <w:rPr>
          <w:rFonts w:hint="eastAsia"/>
          <w:bCs/>
          <w:sz w:val="24"/>
        </w:rPr>
        <w:t>）情形之外，因证券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bookmarkEnd w:id="42"/>
    <w:p w14:paraId="1BC057F4" w14:textId="77777777" w:rsidR="00C42FFB" w:rsidRDefault="000A7F8D">
      <w:pPr>
        <w:adjustRightInd w:val="0"/>
        <w:snapToGrid w:val="0"/>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w:t>
      </w:r>
      <w:r>
        <w:rPr>
          <w:rFonts w:hint="eastAsia"/>
          <w:bCs/>
          <w:sz w:val="24"/>
        </w:rPr>
        <w:lastRenderedPageBreak/>
        <w:t>基金合同的约定。</w:t>
      </w:r>
      <w:r>
        <w:rPr>
          <w:bCs/>
          <w:sz w:val="24"/>
        </w:rPr>
        <w:t>基金托管人对基金的投资的监督与检查自基金合同生效之日起开始。</w:t>
      </w:r>
    </w:p>
    <w:p w14:paraId="3CFAFA17" w14:textId="77777777" w:rsidR="000A7F8D" w:rsidRDefault="00C42FFB" w:rsidP="0002290E">
      <w:pPr>
        <w:adjustRightInd w:val="0"/>
        <w:snapToGrid w:val="0"/>
        <w:spacing w:line="360" w:lineRule="auto"/>
        <w:ind w:firstLineChars="200" w:firstLine="480"/>
        <w:rPr>
          <w:bCs/>
          <w:sz w:val="24"/>
        </w:rPr>
      </w:pPr>
      <w:r w:rsidRPr="00C42FFB">
        <w:rPr>
          <w:rFonts w:hint="eastAsia"/>
          <w:bCs/>
          <w:sz w:val="24"/>
        </w:rPr>
        <w:t>法律法规或监管部门取消或调整上述限制，如适用于本基金，基金管理人在履行适当程序后，则本基金投资不再受相关限制或按照调整后的规定执行。</w:t>
      </w:r>
    </w:p>
    <w:p w14:paraId="0359250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（三）基金托管人根据有关法律法规的规定及基金合同的约定，对本托管协议第十五条第九款基金投资禁止行为进行监督。基金托管人通过事后监督方式对基金管理人基金投资禁止行为进行监督。</w:t>
      </w:r>
    </w:p>
    <w:p w14:paraId="0DEDCA12" w14:textId="77777777" w:rsidR="000A7F8D" w:rsidRDefault="000A7F8D">
      <w:pPr>
        <w:adjustRightInd w:val="0"/>
        <w:snapToGrid w:val="0"/>
        <w:spacing w:line="360" w:lineRule="auto"/>
        <w:ind w:firstLineChars="200" w:firstLine="480"/>
        <w:rPr>
          <w:bCs/>
          <w:sz w:val="24"/>
        </w:rPr>
      </w:pPr>
      <w:r>
        <w:rPr>
          <w:rFonts w:hint="eastAsia"/>
          <w:bCs/>
          <w:sz w:val="24"/>
        </w:rPr>
        <w:t>基金管理人运用基金财产买卖基金管理人、基金托管人及其控股股东、实际控制人或者与其有</w:t>
      </w:r>
      <w:r w:rsidR="000B310C">
        <w:rPr>
          <w:rFonts w:hint="eastAsia"/>
          <w:bCs/>
          <w:sz w:val="24"/>
        </w:rPr>
        <w:t>其他</w:t>
      </w:r>
      <w:r>
        <w:rPr>
          <w:rFonts w:hint="eastAsia"/>
          <w:bCs/>
          <w:sz w:val="24"/>
        </w:rPr>
        <w:t>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w:t>
      </w:r>
      <w:r>
        <w:rPr>
          <w:bCs/>
          <w:sz w:val="24"/>
        </w:rPr>
        <w:t>重大关联交易应提交基金管理人董事会审议，并经过三分之二以上的独立董事通过。基金管理人董事会应至少每半年对关联交易事项进行审查</w:t>
      </w:r>
      <w:r>
        <w:rPr>
          <w:rFonts w:hint="eastAsia"/>
          <w:bCs/>
          <w:sz w:val="24"/>
        </w:rPr>
        <w:t>。</w:t>
      </w:r>
    </w:p>
    <w:p w14:paraId="766DD02E" w14:textId="77777777" w:rsidR="000A7F8D" w:rsidRDefault="000A7F8D">
      <w:pPr>
        <w:adjustRightInd w:val="0"/>
        <w:snapToGrid w:val="0"/>
        <w:spacing w:line="360" w:lineRule="auto"/>
        <w:ind w:firstLineChars="200" w:firstLine="480"/>
        <w:rPr>
          <w:bCs/>
          <w:sz w:val="24"/>
        </w:rPr>
      </w:pPr>
      <w:r>
        <w:rPr>
          <w:rFonts w:hint="eastAsia"/>
          <w:bCs/>
          <w:sz w:val="24"/>
        </w:rPr>
        <w:t>如果法律法规对基金合同约定投资组合比例限制进行变更的，以变更后的规定为准。</w:t>
      </w:r>
      <w:r>
        <w:rPr>
          <w:bCs/>
          <w:sz w:val="24"/>
        </w:rPr>
        <w:t>法律法规或监管部门取消</w:t>
      </w:r>
      <w:r w:rsidR="00855218">
        <w:rPr>
          <w:rFonts w:hint="eastAsia"/>
          <w:bCs/>
          <w:sz w:val="24"/>
        </w:rPr>
        <w:t>或调整</w:t>
      </w:r>
      <w:r>
        <w:rPr>
          <w:bCs/>
          <w:sz w:val="24"/>
        </w:rPr>
        <w:t>上述限制，如适用于本基金，</w:t>
      </w:r>
      <w:r>
        <w:rPr>
          <w:rFonts w:hint="eastAsia"/>
          <w:bCs/>
          <w:sz w:val="24"/>
        </w:rPr>
        <w:t>基金管理人在履行适当程序后，</w:t>
      </w:r>
      <w:r>
        <w:rPr>
          <w:bCs/>
          <w:sz w:val="24"/>
        </w:rPr>
        <w:t>则本基金投资</w:t>
      </w:r>
      <w:r w:rsidR="00855218" w:rsidRPr="00855218">
        <w:rPr>
          <w:rFonts w:hint="eastAsia"/>
          <w:bCs/>
          <w:sz w:val="24"/>
        </w:rPr>
        <w:t>按照取消或调整后的规定执行</w:t>
      </w:r>
      <w:r>
        <w:rPr>
          <w:bCs/>
          <w:sz w:val="24"/>
        </w:rPr>
        <w:t>。</w:t>
      </w:r>
    </w:p>
    <w:p w14:paraId="6DD8650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 xml:space="preserve">（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及时向基金托管人说明理由，并在与交易对手发生交易前 3 </w:t>
      </w:r>
      <w:proofErr w:type="gramStart"/>
      <w:r>
        <w:rPr>
          <w:rFonts w:ascii="宋体" w:hAnsi="宋体" w:cs="Arial" w:hint="eastAsia"/>
          <w:sz w:val="24"/>
        </w:rPr>
        <w:t>个</w:t>
      </w:r>
      <w:proofErr w:type="gramEnd"/>
      <w:r>
        <w:rPr>
          <w:rFonts w:ascii="宋体" w:hAnsi="宋体" w:cs="Arial" w:hint="eastAsia"/>
          <w:sz w:val="24"/>
        </w:rPr>
        <w:t>工作日内与基金托管人协商确认。如因基金管理人未能及时提供相关信息导致托管人无法有效监督产生的风险，托管人不承担责任。</w:t>
      </w:r>
    </w:p>
    <w:p w14:paraId="21A8A22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基金管理人负责对交易对手的资信控制，按银行间债券市场的交易规则进行交易，并</w:t>
      </w:r>
      <w:r>
        <w:rPr>
          <w:rFonts w:ascii="宋体" w:hAnsi="宋体" w:hint="eastAsia"/>
          <w:sz w:val="24"/>
        </w:rPr>
        <w:t>负责解决因交易对手不履行合同而造成的纠纷及损失，基金托管人不承担由此造成的任何法律责任及损失。</w:t>
      </w:r>
      <w:r>
        <w:rPr>
          <w:rFonts w:ascii="宋体" w:hAnsi="宋体" w:cs="Arial" w:hint="eastAsia"/>
          <w:sz w:val="24"/>
        </w:rPr>
        <w:t>如基金托管人事后发现基金管理人没有按照事先约定的交易对手或交易方式进行交易时，基金托管人应及时提醒基金管理人，基金托管人不承担由此造成的任何损失和责任。</w:t>
      </w:r>
    </w:p>
    <w:p w14:paraId="5D6249B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（五）基金托管人根据有关法律法规的规定及基金合同的约定，对基金管理人投资流通受限证券进行监督。</w:t>
      </w:r>
    </w:p>
    <w:p w14:paraId="1EB332F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hint="eastAsia"/>
          <w:sz w:val="24"/>
        </w:rPr>
        <w:t>基金管理人投资流通受限证券，应事先根据中国证监会相关规定，明确基金投资流通受限证券的比例，</w:t>
      </w:r>
      <w:r>
        <w:rPr>
          <w:rFonts w:ascii="宋体" w:hAnsi="宋体" w:cs="Arial" w:hint="eastAsia"/>
          <w:sz w:val="24"/>
        </w:rPr>
        <w:t>制订严格的投资决策流程和风险控制制度，防范流动性风险、法律风险和操作风险等各种风险。基金托管人对基金管理人是否遵守相关制度、流动性风险处置预案以及相关投资额度和比例等的情况进行监督。</w:t>
      </w:r>
      <w:r>
        <w:rPr>
          <w:rFonts w:ascii="宋体" w:hAnsi="宋体" w:hint="eastAsia"/>
          <w:sz w:val="24"/>
        </w:rPr>
        <w:t>首次投资流通受限证券前，基金管理人应与基金托管人</w:t>
      </w:r>
      <w:proofErr w:type="gramStart"/>
      <w:r>
        <w:rPr>
          <w:rFonts w:ascii="宋体" w:hAnsi="宋体" w:hint="eastAsia"/>
          <w:sz w:val="24"/>
        </w:rPr>
        <w:t>就流通</w:t>
      </w:r>
      <w:proofErr w:type="gramEnd"/>
      <w:r>
        <w:rPr>
          <w:rFonts w:ascii="宋体" w:hAnsi="宋体" w:hint="eastAsia"/>
          <w:sz w:val="24"/>
        </w:rPr>
        <w:t>受限证券投资签订风险控制补充协议。</w:t>
      </w:r>
    </w:p>
    <w:p w14:paraId="5BB6479A" w14:textId="77777777" w:rsidR="000A7F8D" w:rsidRDefault="000A7F8D">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本基金投资的流通受限证券与上文所述的流动性受限资产范围并不完全一致，须为经中国证监会批准的在发行时明确一定期限锁定期的可交易证券，不包括由于发布重大消息或其他原因而临时停牌的证券、已发行未上市证券、回购交易中的质押</w:t>
      </w:r>
      <w:proofErr w:type="gramStart"/>
      <w:r>
        <w:rPr>
          <w:rFonts w:ascii="宋体" w:hAnsi="宋体" w:cs="Arial" w:hint="eastAsia"/>
          <w:sz w:val="24"/>
        </w:rPr>
        <w:t>券</w:t>
      </w:r>
      <w:proofErr w:type="gramEnd"/>
      <w:r>
        <w:rPr>
          <w:rFonts w:ascii="宋体" w:hAnsi="宋体" w:cs="Arial" w:hint="eastAsia"/>
          <w:sz w:val="24"/>
        </w:rPr>
        <w:t>等流通受限证券。本基金不投资有</w:t>
      </w:r>
      <w:proofErr w:type="gramStart"/>
      <w:r>
        <w:rPr>
          <w:rFonts w:ascii="宋体" w:hAnsi="宋体" w:cs="Arial" w:hint="eastAsia"/>
          <w:sz w:val="24"/>
        </w:rPr>
        <w:t>锁定期但锁定</w:t>
      </w:r>
      <w:proofErr w:type="gramEnd"/>
      <w:r>
        <w:rPr>
          <w:rFonts w:ascii="宋体" w:hAnsi="宋体" w:cs="Arial" w:hint="eastAsia"/>
          <w:sz w:val="24"/>
        </w:rPr>
        <w:t>期不明确的证券。</w:t>
      </w:r>
    </w:p>
    <w:p w14:paraId="7AE5C90A" w14:textId="77777777" w:rsidR="000A7F8D" w:rsidRDefault="000A7F8D">
      <w:pPr>
        <w:snapToGrid w:val="0"/>
        <w:spacing w:line="360" w:lineRule="auto"/>
        <w:ind w:firstLineChars="200" w:firstLine="480"/>
        <w:rPr>
          <w:rFonts w:ascii="宋体" w:hAnsi="宋体"/>
          <w:sz w:val="24"/>
        </w:rPr>
      </w:pPr>
      <w:r>
        <w:rPr>
          <w:rFonts w:ascii="宋体" w:hAnsi="宋体" w:cs="Arial" w:hint="eastAsia"/>
          <w:sz w:val="24"/>
        </w:rPr>
        <w:t>本基金</w:t>
      </w:r>
      <w:r>
        <w:rPr>
          <w:rFonts w:ascii="宋体" w:hAnsi="宋体" w:hint="eastAsia"/>
          <w:sz w:val="24"/>
        </w:rPr>
        <w:t>投资的</w:t>
      </w:r>
      <w:r>
        <w:rPr>
          <w:rFonts w:ascii="宋体" w:hAnsi="宋体" w:cs="Arial" w:hint="eastAsia"/>
          <w:sz w:val="24"/>
        </w:rPr>
        <w:t>流通</w:t>
      </w:r>
      <w:r>
        <w:rPr>
          <w:rFonts w:ascii="宋体" w:hAnsi="宋体" w:hint="eastAsia"/>
          <w:sz w:val="24"/>
        </w:rPr>
        <w:t>受限证券限于可由中国证券登记结算有限责任公司或中央国债登记结算有限责任公司、银行间清算所股份有限公司负责登记和存管，并可在证券交易所或全国银行间债券市场交易的证券。</w:t>
      </w:r>
    </w:p>
    <w:p w14:paraId="5C5E8CA0" w14:textId="77777777" w:rsidR="000A7F8D" w:rsidRDefault="000A7F8D">
      <w:pPr>
        <w:adjustRightInd w:val="0"/>
        <w:snapToGrid w:val="0"/>
        <w:spacing w:line="360" w:lineRule="auto"/>
        <w:ind w:firstLineChars="200" w:firstLine="480"/>
        <w:rPr>
          <w:rFonts w:ascii="宋体" w:hAnsi="宋体"/>
          <w:sz w:val="24"/>
        </w:rPr>
      </w:pPr>
      <w:r>
        <w:rPr>
          <w:rFonts w:ascii="宋体" w:hAnsi="宋体" w:cs="Arial" w:hint="eastAsia"/>
          <w:sz w:val="24"/>
        </w:rPr>
        <w:t>本基金</w:t>
      </w:r>
      <w:r>
        <w:rPr>
          <w:rFonts w:ascii="宋体" w:hAnsi="宋体" w:hint="eastAsia"/>
          <w:sz w:val="24"/>
        </w:rPr>
        <w:t>投资的</w:t>
      </w:r>
      <w:r>
        <w:rPr>
          <w:rFonts w:ascii="宋体" w:hAnsi="宋体" w:cs="Arial" w:hint="eastAsia"/>
          <w:sz w:val="24"/>
        </w:rPr>
        <w:t>流通</w:t>
      </w:r>
      <w:r>
        <w:rPr>
          <w:rFonts w:ascii="宋体" w:hAnsi="宋体" w:hint="eastAsia"/>
          <w:sz w:val="24"/>
        </w:rPr>
        <w:t>受限证券应保证登记存管在本基金名下，基金管理人负责相关工作的落实和协调，并确保基金托管人能够正常查询。因基金管理</w:t>
      </w:r>
      <w:proofErr w:type="gramStart"/>
      <w:r>
        <w:rPr>
          <w:rFonts w:ascii="宋体" w:hAnsi="宋体" w:hint="eastAsia"/>
          <w:sz w:val="24"/>
        </w:rPr>
        <w:t>人原因</w:t>
      </w:r>
      <w:proofErr w:type="gramEnd"/>
      <w:r>
        <w:rPr>
          <w:rFonts w:ascii="宋体" w:hAnsi="宋体" w:hint="eastAsia"/>
          <w:sz w:val="24"/>
        </w:rPr>
        <w:t>产生的</w:t>
      </w:r>
      <w:r>
        <w:rPr>
          <w:rFonts w:ascii="宋体" w:hAnsi="宋体" w:cs="Arial" w:hint="eastAsia"/>
          <w:sz w:val="24"/>
        </w:rPr>
        <w:t>流通</w:t>
      </w:r>
      <w:r>
        <w:rPr>
          <w:rFonts w:ascii="宋体" w:hAnsi="宋体" w:hint="eastAsia"/>
          <w:sz w:val="24"/>
        </w:rPr>
        <w:t>受限证券登记存管问题，造成基金托管人无法安全保管本基金资产的责任与损失，及因</w:t>
      </w:r>
      <w:r>
        <w:rPr>
          <w:rFonts w:ascii="宋体" w:hAnsi="宋体" w:cs="Arial" w:hint="eastAsia"/>
          <w:sz w:val="24"/>
        </w:rPr>
        <w:t>流通</w:t>
      </w:r>
      <w:r>
        <w:rPr>
          <w:rFonts w:ascii="宋体" w:hAnsi="宋体" w:hint="eastAsia"/>
          <w:sz w:val="24"/>
        </w:rPr>
        <w:t>受限证券存管直接影响本基金安全的责任及损失，由基金管理人承担。</w:t>
      </w:r>
    </w:p>
    <w:p w14:paraId="3245CA0A" w14:textId="77777777" w:rsidR="000A7F8D" w:rsidRDefault="000A7F8D">
      <w:pPr>
        <w:adjustRightInd w:val="0"/>
        <w:snapToGrid w:val="0"/>
        <w:spacing w:line="360" w:lineRule="auto"/>
        <w:ind w:firstLineChars="200" w:firstLine="480"/>
        <w:rPr>
          <w:rFonts w:ascii="宋体" w:hAnsi="宋体"/>
          <w:sz w:val="24"/>
        </w:rPr>
      </w:pPr>
      <w:r>
        <w:rPr>
          <w:rFonts w:ascii="宋体" w:hAnsi="宋体" w:cs="Arial" w:hint="eastAsia"/>
          <w:sz w:val="24"/>
        </w:rPr>
        <w:t>本基金</w:t>
      </w:r>
      <w:r>
        <w:rPr>
          <w:rFonts w:ascii="宋体" w:hAnsi="宋体" w:hint="eastAsia"/>
          <w:sz w:val="24"/>
        </w:rPr>
        <w:t>投资</w:t>
      </w:r>
      <w:r>
        <w:rPr>
          <w:rFonts w:ascii="宋体" w:hAnsi="宋体" w:cs="Arial" w:hint="eastAsia"/>
          <w:sz w:val="24"/>
        </w:rPr>
        <w:t>流通</w:t>
      </w:r>
      <w:r>
        <w:rPr>
          <w:rFonts w:ascii="宋体" w:hAnsi="宋体" w:hint="eastAsia"/>
          <w:sz w:val="24"/>
        </w:rPr>
        <w:t>受限证券，不得预付任何形式的保证金。</w:t>
      </w:r>
    </w:p>
    <w:p w14:paraId="3A64BB66" w14:textId="77777777" w:rsidR="000A7F8D" w:rsidRDefault="000A7F8D">
      <w:pPr>
        <w:numPr>
          <w:ilvl w:val="0"/>
          <w:numId w:val="2"/>
        </w:numPr>
        <w:adjustRightInd w:val="0"/>
        <w:snapToGrid w:val="0"/>
        <w:spacing w:line="360" w:lineRule="auto"/>
        <w:ind w:left="0" w:firstLine="480"/>
        <w:rPr>
          <w:rFonts w:ascii="宋体" w:hAnsi="宋体"/>
          <w:sz w:val="24"/>
        </w:rPr>
      </w:pPr>
      <w:r>
        <w:rPr>
          <w:rFonts w:ascii="宋体" w:hAnsi="宋体" w:hint="eastAsia"/>
          <w:sz w:val="24"/>
        </w:rPr>
        <w:t>基金管理人对本基金投资</w:t>
      </w:r>
      <w:r>
        <w:rPr>
          <w:rFonts w:ascii="宋体" w:hAnsi="宋体" w:cs="Arial" w:hint="eastAsia"/>
          <w:sz w:val="24"/>
        </w:rPr>
        <w:t>流通</w:t>
      </w:r>
      <w:r>
        <w:rPr>
          <w:rFonts w:ascii="宋体" w:hAnsi="宋体" w:hint="eastAsia"/>
          <w:sz w:val="24"/>
        </w:rPr>
        <w:t>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对本基金因投资</w:t>
      </w:r>
      <w:r>
        <w:rPr>
          <w:rFonts w:ascii="宋体" w:hAnsi="宋体" w:cs="Arial" w:hint="eastAsia"/>
          <w:sz w:val="24"/>
        </w:rPr>
        <w:t>流通</w:t>
      </w:r>
      <w:r>
        <w:rPr>
          <w:rFonts w:ascii="宋体" w:hAnsi="宋体" w:hint="eastAsia"/>
          <w:sz w:val="24"/>
        </w:rPr>
        <w:t>受限证券导</w:t>
      </w:r>
      <w:r>
        <w:rPr>
          <w:rFonts w:ascii="宋体" w:hAnsi="宋体" w:hint="eastAsia"/>
          <w:sz w:val="24"/>
        </w:rPr>
        <w:lastRenderedPageBreak/>
        <w:t>致的流动性风险，基金托管人不承担任何责任。如因基金管理人违反基金合同或预先确定的投资流通受限证券的比例导致本基金出现损失致使基金托管人承担连带赔偿责任的，基金管理人应赔偿基金托管人由此遭受的损失。</w:t>
      </w:r>
    </w:p>
    <w:p w14:paraId="457602C2" w14:textId="77777777" w:rsidR="000A7F8D" w:rsidRDefault="000A7F8D">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基金托管人根据有关规定有权对基金管理人进行以下事项监督：</w:t>
      </w:r>
    </w:p>
    <w:p w14:paraId="5B54A9FC" w14:textId="77777777" w:rsidR="000A7F8D" w:rsidRDefault="000A7F8D">
      <w:pPr>
        <w:numPr>
          <w:ilvl w:val="0"/>
          <w:numId w:val="3"/>
        </w:numPr>
        <w:snapToGrid w:val="0"/>
        <w:spacing w:line="360" w:lineRule="auto"/>
        <w:ind w:left="0" w:firstLine="480"/>
        <w:rPr>
          <w:rFonts w:ascii="宋体" w:hAnsi="宋体"/>
          <w:sz w:val="24"/>
        </w:rPr>
      </w:pPr>
      <w:r>
        <w:rPr>
          <w:rFonts w:ascii="宋体" w:hAnsi="宋体" w:hint="eastAsia"/>
          <w:sz w:val="24"/>
        </w:rPr>
        <w:t>本基金投资</w:t>
      </w:r>
      <w:r>
        <w:rPr>
          <w:rFonts w:ascii="宋体" w:hAnsi="宋体" w:cs="Arial" w:hint="eastAsia"/>
          <w:sz w:val="24"/>
        </w:rPr>
        <w:t>流通</w:t>
      </w:r>
      <w:r>
        <w:rPr>
          <w:rFonts w:ascii="宋体" w:hAnsi="宋体" w:hint="eastAsia"/>
          <w:sz w:val="24"/>
        </w:rPr>
        <w:t>受限证券时的法律法规遵守情况。</w:t>
      </w:r>
    </w:p>
    <w:p w14:paraId="5A0A1CC2" w14:textId="77777777" w:rsidR="000A7F8D" w:rsidRDefault="000A7F8D">
      <w:pPr>
        <w:numPr>
          <w:ilvl w:val="0"/>
          <w:numId w:val="3"/>
        </w:numPr>
        <w:snapToGrid w:val="0"/>
        <w:spacing w:line="360" w:lineRule="auto"/>
        <w:ind w:left="0" w:firstLine="480"/>
        <w:rPr>
          <w:rFonts w:ascii="宋体" w:hAnsi="宋体"/>
          <w:sz w:val="24"/>
        </w:rPr>
      </w:pPr>
      <w:r>
        <w:rPr>
          <w:rFonts w:ascii="宋体" w:hAnsi="宋体" w:hint="eastAsia"/>
          <w:sz w:val="24"/>
        </w:rPr>
        <w:t>在基金投资</w:t>
      </w:r>
      <w:r>
        <w:rPr>
          <w:rFonts w:ascii="宋体" w:hAnsi="宋体" w:cs="Arial" w:hint="eastAsia"/>
          <w:sz w:val="24"/>
        </w:rPr>
        <w:t>流通</w:t>
      </w:r>
      <w:r>
        <w:rPr>
          <w:rFonts w:ascii="宋体" w:hAnsi="宋体" w:hint="eastAsia"/>
          <w:sz w:val="24"/>
        </w:rPr>
        <w:t>受限证券管理工作方面有关制度、流动性风险处置预案的建立与完善情况。</w:t>
      </w:r>
    </w:p>
    <w:p w14:paraId="50FE341D" w14:textId="77777777" w:rsidR="000A7F8D" w:rsidRDefault="000A7F8D">
      <w:pPr>
        <w:numPr>
          <w:ilvl w:val="0"/>
          <w:numId w:val="3"/>
        </w:numPr>
        <w:snapToGrid w:val="0"/>
        <w:spacing w:line="360" w:lineRule="auto"/>
        <w:ind w:left="0" w:firstLine="480"/>
        <w:rPr>
          <w:rFonts w:ascii="宋体" w:hAnsi="宋体"/>
          <w:sz w:val="24"/>
        </w:rPr>
      </w:pPr>
      <w:r>
        <w:rPr>
          <w:rFonts w:ascii="宋体" w:hAnsi="宋体" w:hint="eastAsia"/>
          <w:sz w:val="24"/>
        </w:rPr>
        <w:t>有关比例限制的执行情况。</w:t>
      </w:r>
    </w:p>
    <w:p w14:paraId="43221D1E" w14:textId="77777777" w:rsidR="000A7F8D" w:rsidRDefault="000A7F8D">
      <w:pPr>
        <w:numPr>
          <w:ilvl w:val="0"/>
          <w:numId w:val="3"/>
        </w:numPr>
        <w:snapToGrid w:val="0"/>
        <w:spacing w:line="360" w:lineRule="auto"/>
        <w:ind w:left="0" w:firstLine="480"/>
        <w:rPr>
          <w:rFonts w:ascii="宋体" w:hAnsi="宋体"/>
          <w:sz w:val="24"/>
        </w:rPr>
      </w:pPr>
      <w:r>
        <w:rPr>
          <w:rFonts w:ascii="宋体" w:hAnsi="宋体" w:hint="eastAsia"/>
          <w:sz w:val="24"/>
        </w:rPr>
        <w:t>信息披露情况。</w:t>
      </w:r>
    </w:p>
    <w:p w14:paraId="0EC3E6E9" w14:textId="77777777" w:rsidR="000A7F8D" w:rsidRDefault="000A7F8D">
      <w:pPr>
        <w:numPr>
          <w:ilvl w:val="0"/>
          <w:numId w:val="2"/>
        </w:numPr>
        <w:adjustRightInd w:val="0"/>
        <w:snapToGrid w:val="0"/>
        <w:spacing w:line="360" w:lineRule="auto"/>
        <w:ind w:left="0" w:firstLine="480"/>
        <w:rPr>
          <w:rFonts w:ascii="宋体" w:hAnsi="宋体" w:cs="Arial"/>
          <w:sz w:val="24"/>
        </w:rPr>
      </w:pPr>
      <w:r>
        <w:rPr>
          <w:rFonts w:ascii="宋体" w:hAnsi="宋体" w:cs="Arial" w:hint="eastAsia"/>
          <w:sz w:val="24"/>
        </w:rPr>
        <w:t>相关法律法规对基金投资流通受限证券有新规定的，从其规定。</w:t>
      </w:r>
    </w:p>
    <w:p w14:paraId="0C7E3869" w14:textId="77777777" w:rsidR="000A7F8D" w:rsidRDefault="000A7F8D">
      <w:pPr>
        <w:adjustRightInd w:val="0"/>
        <w:snapToGrid w:val="0"/>
        <w:spacing w:line="360" w:lineRule="auto"/>
        <w:ind w:firstLineChars="200" w:firstLine="480"/>
        <w:rPr>
          <w:rFonts w:ascii="宋体" w:hAnsi="宋体"/>
          <w:sz w:val="24"/>
          <w:highlight w:val="yellow"/>
        </w:rPr>
      </w:pPr>
      <w:r>
        <w:rPr>
          <w:rFonts w:ascii="宋体" w:hAnsi="宋体" w:cs="Arial" w:hint="eastAsia"/>
          <w:sz w:val="24"/>
        </w:rPr>
        <w:t>（六）</w:t>
      </w:r>
      <w:r>
        <w:rPr>
          <w:rFonts w:ascii="宋体" w:hAnsi="宋体" w:hint="eastAsia"/>
          <w:sz w:val="24"/>
        </w:rPr>
        <w:t>基金如投资银行存款，基金托管人根据有关法律法规的规定及基金合同的约定，对基金投资银行存款的交易对手范围是否符合有关规定进行监督；基金管理人在签署银行存款协议前，应将草拟的银行存款协议</w:t>
      </w:r>
      <w:proofErr w:type="gramStart"/>
      <w:r>
        <w:rPr>
          <w:rFonts w:ascii="宋体" w:hAnsi="宋体" w:hint="eastAsia"/>
          <w:sz w:val="24"/>
        </w:rPr>
        <w:t>送基金</w:t>
      </w:r>
      <w:proofErr w:type="gramEnd"/>
      <w:r>
        <w:rPr>
          <w:rFonts w:ascii="宋体" w:hAnsi="宋体" w:hint="eastAsia"/>
          <w:sz w:val="24"/>
        </w:rPr>
        <w:t>托管人审核。</w:t>
      </w:r>
      <w:r>
        <w:rPr>
          <w:rFonts w:ascii="宋体" w:hAnsi="宋体" w:cs="Arial" w:hint="eastAsia"/>
          <w:sz w:val="24"/>
        </w:rPr>
        <w:t>如基金托管人事后发现基金管理人没有按照事先约定的交易对手进行交易时，基金托管人应及时提醒基金管理人，基金托管人不承担由此造成的任何损失和责任。如因基金管理人未能及时提供相关信息导致托管人无法有效监督，托管人不承担责任。</w:t>
      </w:r>
    </w:p>
    <w:p w14:paraId="6146DDB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七）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76B4EA4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八）基金托管人发现基金管理人的上述事项及投资指令或实际投资运作违反法律法规、基金合同和本托管协议的规定，应及时以电话提醒或书面提示等方式通知基金管理人限期纠正，并及时向中国证监会报告。基金管理人应积极配合和协助基金托管人的监督和核查。基金管理人收到书面通知后应在下一工作日内及时核对并以书面形式给基金托管人发出回函，就基金托管人的疑义进行解释或举证，说明违规原因及纠正期限，并保证在规定期限内及时改正。基金管理人指定专人接收托管人的通知和提示。在上述规定期限内，基金托管人有权随时对通知事项进行复查，督促基金管理人改正。基金管理人对基金托管人通知的违规事项未能在限期内纠正的，基金托管人应报告中国证监会（如需）。</w:t>
      </w:r>
    </w:p>
    <w:p w14:paraId="158CB17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九）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5180C58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（十）</w:t>
      </w:r>
      <w:proofErr w:type="gramStart"/>
      <w:r>
        <w:rPr>
          <w:rFonts w:ascii="宋体" w:hAnsi="宋体" w:cs="Arial" w:hint="eastAsia"/>
          <w:sz w:val="24"/>
        </w:rPr>
        <w:t>若基金</w:t>
      </w:r>
      <w:proofErr w:type="gramEnd"/>
      <w:r>
        <w:rPr>
          <w:rFonts w:ascii="宋体" w:hAnsi="宋体" w:cs="Arial" w:hint="eastAsia"/>
          <w:sz w:val="24"/>
        </w:rPr>
        <w:t>托管人发现基金管理人依据交易程序已经生效的指令违反法律、行政法规和其他有关规定，或者违反基金合同约定的，应当立即通知基金管理人，由此造成的损失由基金管理人承担，并及时向中国证监会报告。</w:t>
      </w:r>
    </w:p>
    <w:p w14:paraId="54266E5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十一）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6164A09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十二）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cs="Arial" w:hint="eastAsia"/>
          <w:sz w:val="24"/>
        </w:rPr>
        <w:t>启用侧袋机制</w:t>
      </w:r>
      <w:proofErr w:type="gramEnd"/>
      <w:r>
        <w:rPr>
          <w:rFonts w:ascii="宋体" w:hAnsi="宋体" w:cs="Arial" w:hint="eastAsia"/>
          <w:sz w:val="24"/>
        </w:rPr>
        <w:t>，无需召开基金份额持有人大会审议。</w:t>
      </w:r>
    </w:p>
    <w:p w14:paraId="6C722456" w14:textId="77777777" w:rsidR="000A7F8D" w:rsidRDefault="000A7F8D">
      <w:pPr>
        <w:adjustRightInd w:val="0"/>
        <w:snapToGrid w:val="0"/>
        <w:spacing w:line="360" w:lineRule="auto"/>
        <w:ind w:firstLineChars="200" w:firstLine="480"/>
        <w:rPr>
          <w:rFonts w:ascii="宋体" w:hAnsi="宋体" w:cs="Arial"/>
          <w:sz w:val="24"/>
        </w:rPr>
      </w:pPr>
      <w:proofErr w:type="gramStart"/>
      <w:r>
        <w:rPr>
          <w:rFonts w:ascii="宋体" w:hAnsi="宋体" w:cs="Arial" w:hint="eastAsia"/>
          <w:sz w:val="24"/>
        </w:rPr>
        <w:t>侧袋机制</w:t>
      </w:r>
      <w:proofErr w:type="gramEnd"/>
      <w:r>
        <w:rPr>
          <w:rFonts w:ascii="宋体" w:hAnsi="宋体" w:cs="Arial" w:hint="eastAsia"/>
          <w:sz w:val="24"/>
        </w:rPr>
        <w:t>实施期间，本基金的投资组合比例、投资策略、组合限制、业绩比较基准、风险收益特征等约定仅</w:t>
      </w:r>
      <w:proofErr w:type="gramStart"/>
      <w:r>
        <w:rPr>
          <w:rFonts w:ascii="宋体" w:hAnsi="宋体" w:cs="Arial" w:hint="eastAsia"/>
          <w:sz w:val="24"/>
        </w:rPr>
        <w:t>适用于主袋账户</w:t>
      </w:r>
      <w:proofErr w:type="gramEnd"/>
      <w:r>
        <w:rPr>
          <w:rFonts w:ascii="宋体" w:hAnsi="宋体" w:cs="Arial" w:hint="eastAsia"/>
          <w:sz w:val="24"/>
        </w:rPr>
        <w:t>。</w:t>
      </w:r>
    </w:p>
    <w:p w14:paraId="71E8E2C3" w14:textId="77777777" w:rsidR="000A7F8D" w:rsidRDefault="000A7F8D">
      <w:pPr>
        <w:adjustRightInd w:val="0"/>
        <w:snapToGrid w:val="0"/>
        <w:spacing w:line="360" w:lineRule="auto"/>
        <w:ind w:firstLineChars="200" w:firstLine="480"/>
        <w:rPr>
          <w:rFonts w:ascii="宋体" w:hAnsi="宋体" w:cs="Arial"/>
          <w:sz w:val="24"/>
        </w:rPr>
      </w:pPr>
      <w:proofErr w:type="gramStart"/>
      <w:r>
        <w:rPr>
          <w:rFonts w:ascii="宋体" w:hAnsi="宋体" w:cs="Arial" w:hint="eastAsia"/>
          <w:sz w:val="24"/>
        </w:rPr>
        <w:t>侧袋账户</w:t>
      </w:r>
      <w:proofErr w:type="gramEnd"/>
      <w:r>
        <w:rPr>
          <w:rFonts w:ascii="宋体" w:hAnsi="宋体" w:cs="Arial" w:hint="eastAsia"/>
          <w:sz w:val="24"/>
        </w:rPr>
        <w:t>的实施条件、实施程序、运作安排（包括但不限于对基金赎回的影响、信息披露、费用列支等）、投资安排、特定资产的处置变现和支付等对投资者权益有重大影响的事项详见基金合同和招募说明书的规定。</w:t>
      </w:r>
    </w:p>
    <w:p w14:paraId="0E5045D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基金托管人依照相关法律法规的规定以及基金合同和招募说明书的约定，对侧</w:t>
      </w:r>
      <w:proofErr w:type="gramStart"/>
      <w:r>
        <w:rPr>
          <w:rFonts w:ascii="宋体" w:hAnsi="宋体" w:cs="Arial" w:hint="eastAsia"/>
          <w:sz w:val="24"/>
        </w:rPr>
        <w:t>袋机制</w:t>
      </w:r>
      <w:proofErr w:type="gramEnd"/>
      <w:r>
        <w:rPr>
          <w:rFonts w:ascii="宋体" w:hAnsi="宋体" w:cs="Arial" w:hint="eastAsia"/>
          <w:sz w:val="24"/>
        </w:rPr>
        <w:t>启用、特定资产处置和信息披露等方面进行监督。</w:t>
      </w:r>
    </w:p>
    <w:p w14:paraId="3894B581" w14:textId="77777777" w:rsidR="000A7F8D" w:rsidRDefault="000A7F8D">
      <w:pPr>
        <w:pStyle w:val="1"/>
        <w:numPr>
          <w:ilvl w:val="0"/>
          <w:numId w:val="1"/>
        </w:numPr>
        <w:spacing w:line="360" w:lineRule="auto"/>
        <w:jc w:val="center"/>
        <w:rPr>
          <w:rFonts w:ascii="宋体" w:hAnsi="宋体"/>
          <w:sz w:val="28"/>
          <w:szCs w:val="28"/>
        </w:rPr>
      </w:pPr>
      <w:r>
        <w:rPr>
          <w:rFonts w:ascii="宋体" w:hAnsi="宋体"/>
          <w:sz w:val="24"/>
          <w:szCs w:val="24"/>
        </w:rPr>
        <w:br w:type="page"/>
      </w:r>
      <w:bookmarkStart w:id="43" w:name="_Toc295832940"/>
      <w:bookmarkStart w:id="44" w:name="_Toc295833671"/>
      <w:bookmarkStart w:id="45" w:name="_Toc295833000"/>
      <w:bookmarkStart w:id="46" w:name="_Toc295832633"/>
      <w:bookmarkStart w:id="47" w:name="_Toc270669855"/>
      <w:bookmarkStart w:id="48" w:name="_Toc86726439"/>
      <w:bookmarkStart w:id="49" w:name="_Toc86737929"/>
      <w:bookmarkStart w:id="50" w:name="_Toc86223242"/>
      <w:bookmarkStart w:id="51" w:name="_Toc89163368"/>
      <w:bookmarkStart w:id="52" w:name="_Toc110830492"/>
      <w:bookmarkStart w:id="53" w:name="_Toc118774803"/>
      <w:bookmarkStart w:id="54" w:name="_Toc108512358"/>
      <w:bookmarkStart w:id="55" w:name="_Toc110765660"/>
      <w:bookmarkStart w:id="56" w:name="_Toc124325888"/>
      <w:bookmarkStart w:id="57" w:name="_Toc118972648"/>
      <w:bookmarkStart w:id="58" w:name="_Toc86727355"/>
      <w:bookmarkStart w:id="59" w:name="_Toc119402710"/>
      <w:bookmarkStart w:id="60" w:name="_Toc86225291"/>
      <w:bookmarkStart w:id="61" w:name="_Toc86649722"/>
      <w:bookmarkStart w:id="62" w:name="_Toc450839470"/>
      <w:bookmarkStart w:id="63" w:name="_Toc110761796"/>
      <w:bookmarkStart w:id="64" w:name="_Toc120435783"/>
      <w:bookmarkStart w:id="65" w:name="_Toc118212950"/>
      <w:bookmarkEnd w:id="43"/>
      <w:bookmarkEnd w:id="44"/>
      <w:bookmarkEnd w:id="45"/>
      <w:bookmarkEnd w:id="46"/>
      <w:r>
        <w:rPr>
          <w:rFonts w:ascii="宋体" w:hAnsi="宋体" w:hint="eastAsia"/>
          <w:sz w:val="28"/>
          <w:szCs w:val="28"/>
        </w:rPr>
        <w:lastRenderedPageBreak/>
        <w:t>基金管理人对基金托管人的业务核查</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C03F2A0"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（一）基金管理人对基金托管人履行托管职责情况进行核查，核查事项包括基金托管人安全保管基金财产、开设基金财产的资金账户、证券账户</w:t>
      </w:r>
      <w:r w:rsidR="00F909A5">
        <w:rPr>
          <w:rFonts w:ascii="宋体" w:hAnsi="宋体" w:cs="Arial" w:hint="eastAsia"/>
          <w:sz w:val="24"/>
        </w:rPr>
        <w:t>、</w:t>
      </w:r>
      <w:r w:rsidR="00B75C62" w:rsidRPr="00A1371F">
        <w:rPr>
          <w:rFonts w:hint="eastAsia"/>
          <w:bCs/>
          <w:sz w:val="24"/>
        </w:rPr>
        <w:t>债券托管</w:t>
      </w:r>
      <w:r w:rsidR="00B75C62" w:rsidRPr="009E3F1A">
        <w:rPr>
          <w:rFonts w:hint="eastAsia"/>
          <w:sz w:val="24"/>
        </w:rPr>
        <w:t>账户、</w:t>
      </w:r>
      <w:r w:rsidR="00F909A5">
        <w:rPr>
          <w:rFonts w:ascii="宋体" w:hAnsi="宋体" w:cs="Arial" w:hint="eastAsia"/>
          <w:sz w:val="24"/>
        </w:rPr>
        <w:t>期货账户</w:t>
      </w:r>
      <w:r>
        <w:rPr>
          <w:rFonts w:ascii="宋体" w:hAnsi="宋体" w:cs="Arial" w:hint="eastAsia"/>
          <w:sz w:val="24"/>
        </w:rPr>
        <w:t>等投资所需账户、复核基金管理人计算的基金资产净值、各类基金份额净值、根据基金管理人指令办理清算交收、相关信息披露和监督基金投资运作等行为。</w:t>
      </w:r>
    </w:p>
    <w:p w14:paraId="7E7FB904"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Pr>
          <w:rFonts w:ascii="宋体" w:hAnsi="宋体" w:cs="Arial" w:hint="eastAsia"/>
          <w:sz w:val="24"/>
        </w:rPr>
        <w:t>供基金</w:t>
      </w:r>
      <w:proofErr w:type="gramEnd"/>
      <w:r>
        <w:rPr>
          <w:rFonts w:ascii="宋体" w:hAnsi="宋体" w:cs="Arial" w:hint="eastAsia"/>
          <w:sz w:val="24"/>
        </w:rPr>
        <w:t>管理人核查托管财产的完整性和真实性，在规定时间内答复基金管理人并改正。</w:t>
      </w:r>
    </w:p>
    <w:p w14:paraId="04E9C6F1"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w:t>
      </w:r>
      <w:proofErr w:type="gramStart"/>
      <w:r>
        <w:rPr>
          <w:rFonts w:ascii="宋体" w:hAnsi="宋体" w:cs="Arial" w:hint="eastAsia"/>
          <w:sz w:val="24"/>
        </w:rPr>
        <w:t>供基金</w:t>
      </w:r>
      <w:proofErr w:type="gramEnd"/>
      <w:r>
        <w:rPr>
          <w:rFonts w:ascii="宋体" w:hAnsi="宋体" w:cs="Arial" w:hint="eastAsia"/>
          <w:sz w:val="24"/>
        </w:rPr>
        <w:t>管理人核查托管财产的完整性和真实性。</w:t>
      </w:r>
    </w:p>
    <w:p w14:paraId="1781C207"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四）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67FD3C0A" w14:textId="77777777" w:rsidR="000A7F8D" w:rsidRDefault="000A7F8D">
      <w:pPr>
        <w:pStyle w:val="1"/>
        <w:numPr>
          <w:ilvl w:val="0"/>
          <w:numId w:val="1"/>
        </w:numPr>
        <w:spacing w:line="360" w:lineRule="auto"/>
        <w:jc w:val="center"/>
        <w:rPr>
          <w:rFonts w:ascii="宋体" w:hAnsi="宋体"/>
          <w:sz w:val="28"/>
          <w:szCs w:val="28"/>
        </w:rPr>
      </w:pPr>
      <w:r>
        <w:rPr>
          <w:rFonts w:ascii="宋体" w:hAnsi="宋体"/>
          <w:sz w:val="24"/>
          <w:szCs w:val="24"/>
        </w:rPr>
        <w:br w:type="page"/>
      </w:r>
      <w:bookmarkStart w:id="66" w:name="_Toc295832635"/>
      <w:bookmarkStart w:id="67" w:name="_Toc295833673"/>
      <w:bookmarkStart w:id="68" w:name="_Toc295832942"/>
      <w:bookmarkStart w:id="69" w:name="_Toc295833002"/>
      <w:bookmarkStart w:id="70" w:name="_Toc86726440"/>
      <w:bookmarkStart w:id="71" w:name="_Toc450839471"/>
      <w:bookmarkStart w:id="72" w:name="_Toc118972649"/>
      <w:bookmarkStart w:id="73" w:name="_Toc124325889"/>
      <w:bookmarkStart w:id="74" w:name="_Toc86223243"/>
      <w:bookmarkStart w:id="75" w:name="_Toc84234435"/>
      <w:bookmarkStart w:id="76" w:name="_Toc86737930"/>
      <w:bookmarkStart w:id="77" w:name="_Toc84133786"/>
      <w:bookmarkStart w:id="78" w:name="_Toc89163369"/>
      <w:bookmarkStart w:id="79" w:name="_Toc86649723"/>
      <w:bookmarkStart w:id="80" w:name="_Toc110765661"/>
      <w:bookmarkStart w:id="81" w:name="_Toc118212951"/>
      <w:bookmarkStart w:id="82" w:name="_Toc86204789"/>
      <w:bookmarkStart w:id="83" w:name="_Toc120435784"/>
      <w:bookmarkStart w:id="84" w:name="_Toc84234388"/>
      <w:bookmarkStart w:id="85" w:name="_Toc110830493"/>
      <w:bookmarkStart w:id="86" w:name="_Toc108512359"/>
      <w:bookmarkStart w:id="87" w:name="_Toc119402711"/>
      <w:bookmarkStart w:id="88" w:name="_Toc270669856"/>
      <w:bookmarkStart w:id="89" w:name="_Toc110761797"/>
      <w:bookmarkStart w:id="90" w:name="_Toc86225292"/>
      <w:bookmarkStart w:id="91" w:name="_Toc86727356"/>
      <w:bookmarkStart w:id="92" w:name="_Toc118774804"/>
      <w:bookmarkEnd w:id="66"/>
      <w:bookmarkEnd w:id="67"/>
      <w:bookmarkEnd w:id="68"/>
      <w:bookmarkEnd w:id="69"/>
      <w:r>
        <w:rPr>
          <w:rFonts w:ascii="宋体" w:hAnsi="宋体" w:hint="eastAsia"/>
          <w:sz w:val="28"/>
          <w:szCs w:val="28"/>
        </w:rPr>
        <w:lastRenderedPageBreak/>
        <w:t>基金财产的保管</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8F53FFE"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（一）基金财产保管的原则</w:t>
      </w:r>
    </w:p>
    <w:p w14:paraId="73A4F6D8"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基金财产应独立于基金管理人、基金托管人的固有财产。基金财产的债权、不得与基金管理人、基金托管人固有财产的债务相</w:t>
      </w:r>
      <w:proofErr w:type="gramStart"/>
      <w:r>
        <w:rPr>
          <w:rFonts w:ascii="宋体" w:hAnsi="宋体" w:cs="Arial" w:hint="eastAsia"/>
          <w:sz w:val="24"/>
        </w:rPr>
        <w:t>抵销</w:t>
      </w:r>
      <w:proofErr w:type="gramEnd"/>
      <w:r>
        <w:rPr>
          <w:rFonts w:ascii="宋体" w:hAnsi="宋体" w:cs="Arial" w:hint="eastAsia"/>
          <w:sz w:val="24"/>
        </w:rPr>
        <w:t>，不同基金财产的债权债务，不得相互</w:t>
      </w:r>
      <w:proofErr w:type="gramStart"/>
      <w:r>
        <w:rPr>
          <w:rFonts w:ascii="宋体" w:hAnsi="宋体" w:cs="Arial" w:hint="eastAsia"/>
          <w:sz w:val="24"/>
        </w:rPr>
        <w:t>抵销</w:t>
      </w:r>
      <w:proofErr w:type="gramEnd"/>
      <w:r>
        <w:rPr>
          <w:rFonts w:ascii="宋体" w:hAnsi="宋体" w:cs="Arial" w:hint="eastAsia"/>
          <w:sz w:val="24"/>
        </w:rPr>
        <w:t>。基金管理人、基金托管人以其自有资产承担法律责任，其债权人不得对基金财产行使请求冻结、扣押和其他权利。</w:t>
      </w:r>
    </w:p>
    <w:p w14:paraId="1A9EBB2D"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基金管理人、基金托管人因依法解散、被依法撤销或者被依法宣告破产等原因进行清算的，基金财产不属于其清算财产。</w:t>
      </w:r>
    </w:p>
    <w:p w14:paraId="567F66D1"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基金托管人应安全保管基金财产。未经基金管理人依据合法程序</w:t>
      </w:r>
      <w:proofErr w:type="gramStart"/>
      <w:r>
        <w:rPr>
          <w:rFonts w:ascii="宋体" w:hAnsi="宋体" w:cs="Arial" w:hint="eastAsia"/>
          <w:sz w:val="24"/>
        </w:rPr>
        <w:t>作出</w:t>
      </w:r>
      <w:proofErr w:type="gramEnd"/>
      <w:r>
        <w:rPr>
          <w:rFonts w:ascii="宋体" w:hAnsi="宋体" w:cs="Arial" w:hint="eastAsia"/>
          <w:sz w:val="24"/>
        </w:rPr>
        <w:t>的合法合</w:t>
      </w:r>
      <w:proofErr w:type="gramStart"/>
      <w:r>
        <w:rPr>
          <w:rFonts w:ascii="宋体" w:hAnsi="宋体" w:cs="Arial" w:hint="eastAsia"/>
          <w:sz w:val="24"/>
        </w:rPr>
        <w:t>规</w:t>
      </w:r>
      <w:proofErr w:type="gramEnd"/>
      <w:r>
        <w:rPr>
          <w:rFonts w:ascii="宋体" w:hAnsi="宋体" w:cs="Arial" w:hint="eastAsia"/>
          <w:sz w:val="24"/>
        </w:rPr>
        <w:t>指令，基金托管人不得自行运用、处分、分配基金的任何财产。非因基金财产本身承担的债务，不得对基金财产强制执行。</w:t>
      </w:r>
    </w:p>
    <w:p w14:paraId="709845FA" w14:textId="0B93D3D0"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基金托管人按照规定开设基金财产的资金账户、证券账户</w:t>
      </w:r>
      <w:r w:rsidR="00761C71">
        <w:rPr>
          <w:rFonts w:ascii="宋体" w:hAnsi="宋体" w:cs="Arial" w:hint="eastAsia"/>
          <w:sz w:val="24"/>
        </w:rPr>
        <w:t>、</w:t>
      </w:r>
      <w:r w:rsidR="005707FA" w:rsidRPr="00A1371F">
        <w:rPr>
          <w:rFonts w:hint="eastAsia"/>
          <w:bCs/>
          <w:sz w:val="24"/>
        </w:rPr>
        <w:t>债券托管账户</w:t>
      </w:r>
      <w:r>
        <w:rPr>
          <w:rFonts w:ascii="宋体" w:hAnsi="宋体" w:cs="Arial" w:hint="eastAsia"/>
          <w:sz w:val="24"/>
        </w:rPr>
        <w:t>投资需要的账户。</w:t>
      </w:r>
    </w:p>
    <w:p w14:paraId="1CC170CC"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基金托管人对所托管的不同基金财产分别设置账户，独立核算，分账管理，确保基金财产的完整与独立。</w:t>
      </w:r>
    </w:p>
    <w:p w14:paraId="44110804"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基金托管人根据基金管理人的指令，按照基金合同和本协议的约定保管基金财产，如有特殊情况双方可另行协商解决。</w:t>
      </w:r>
    </w:p>
    <w:p w14:paraId="5C6D6D59"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14:paraId="6D08DEBF" w14:textId="77777777" w:rsidR="000A7F8D" w:rsidRDefault="000A7F8D">
      <w:pPr>
        <w:numPr>
          <w:ilvl w:val="1"/>
          <w:numId w:val="1"/>
        </w:numPr>
        <w:tabs>
          <w:tab w:val="clear" w:pos="840"/>
          <w:tab w:val="left" w:pos="567"/>
        </w:tabs>
        <w:adjustRightInd w:val="0"/>
        <w:snapToGrid w:val="0"/>
        <w:spacing w:line="360" w:lineRule="auto"/>
        <w:ind w:left="0" w:firstLine="420"/>
        <w:rPr>
          <w:rFonts w:ascii="宋体" w:hAnsi="宋体" w:cs="Arial"/>
          <w:sz w:val="24"/>
        </w:rPr>
      </w:pPr>
      <w:r>
        <w:rPr>
          <w:rFonts w:ascii="宋体" w:hAnsi="宋体" w:cs="Arial" w:hint="eastAsia"/>
          <w:sz w:val="24"/>
        </w:rPr>
        <w:t>除依据法律法规和基金合同的规定外，基金托管人不得委托第三人托管基金财产。</w:t>
      </w:r>
    </w:p>
    <w:p w14:paraId="0856496A"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（二）基金募集期间及募集资金的验资</w:t>
      </w:r>
    </w:p>
    <w:p w14:paraId="714B1D14" w14:textId="77777777" w:rsidR="000A7F8D" w:rsidRDefault="000A7F8D">
      <w:pPr>
        <w:numPr>
          <w:ilvl w:val="0"/>
          <w:numId w:val="4"/>
        </w:numPr>
        <w:adjustRightInd w:val="0"/>
        <w:snapToGrid w:val="0"/>
        <w:spacing w:line="360" w:lineRule="auto"/>
        <w:ind w:left="0" w:firstLine="426"/>
        <w:rPr>
          <w:rFonts w:ascii="宋体" w:hAnsi="宋体" w:cs="Arial"/>
          <w:sz w:val="24"/>
        </w:rPr>
      </w:pPr>
      <w:r>
        <w:rPr>
          <w:rFonts w:ascii="宋体" w:hAnsi="宋体" w:cs="Arial" w:hint="eastAsia"/>
          <w:sz w:val="24"/>
        </w:rPr>
        <w:t>基金募集期间应开立“基金募集专户”，用于存放募集的资金。该账户由基金管理人开立。</w:t>
      </w:r>
    </w:p>
    <w:p w14:paraId="69A78398" w14:textId="77777777" w:rsidR="000A7F8D" w:rsidRDefault="000A7F8D">
      <w:pPr>
        <w:numPr>
          <w:ilvl w:val="0"/>
          <w:numId w:val="4"/>
        </w:numPr>
        <w:adjustRightInd w:val="0"/>
        <w:snapToGrid w:val="0"/>
        <w:spacing w:line="360" w:lineRule="auto"/>
        <w:ind w:left="0" w:firstLine="426"/>
        <w:rPr>
          <w:rFonts w:ascii="宋体" w:hAnsi="宋体" w:cs="Arial"/>
          <w:sz w:val="24"/>
        </w:rPr>
      </w:pPr>
      <w:r>
        <w:rPr>
          <w:rFonts w:ascii="宋体" w:hAnsi="宋体" w:cs="Arial" w:hint="eastAsia"/>
          <w:sz w:val="24"/>
        </w:rPr>
        <w:t>基金募集期满或基金停止募集时，募集的基金份额总额、基金募集金额、基金份额持有人人数符合《基金法》、《运作办法》等有关规定后，基金管理人</w:t>
      </w:r>
      <w:r>
        <w:rPr>
          <w:rFonts w:ascii="宋体" w:hAnsi="宋体" w:cs="Arial" w:hint="eastAsia"/>
          <w:sz w:val="24"/>
        </w:rPr>
        <w:lastRenderedPageBreak/>
        <w:t>应将属于基金财产的全部资金划入基金托管人为本基金开立的基金银行账户，同时在规定时间内，聘请</w:t>
      </w:r>
      <w:r w:rsidR="00753F7E" w:rsidRPr="00753F7E">
        <w:rPr>
          <w:rFonts w:ascii="宋体" w:hAnsi="宋体" w:cs="Arial" w:hint="eastAsia"/>
          <w:sz w:val="24"/>
        </w:rPr>
        <w:t>符合《中华人民共和国证券法》规定</w:t>
      </w:r>
      <w:r>
        <w:rPr>
          <w:rFonts w:ascii="宋体" w:hAnsi="宋体" w:cs="Arial" w:hint="eastAsia"/>
          <w:sz w:val="24"/>
        </w:rPr>
        <w:t>的会计师事务所进行验资，出具验资报告。出具的验资报告由参加验资的2名或2名以上中国注册会计师签字并加盖会计师事务所公章方为有效。</w:t>
      </w:r>
    </w:p>
    <w:p w14:paraId="5A705DD2" w14:textId="77777777" w:rsidR="000A7F8D" w:rsidRDefault="000A7F8D">
      <w:pPr>
        <w:numPr>
          <w:ilvl w:val="0"/>
          <w:numId w:val="4"/>
        </w:numPr>
        <w:adjustRightInd w:val="0"/>
        <w:snapToGrid w:val="0"/>
        <w:spacing w:line="360" w:lineRule="auto"/>
        <w:ind w:left="0" w:firstLine="426"/>
        <w:rPr>
          <w:rFonts w:ascii="宋体" w:hAnsi="宋体" w:cs="Arial"/>
          <w:sz w:val="24"/>
        </w:rPr>
      </w:pPr>
      <w:proofErr w:type="gramStart"/>
      <w:r>
        <w:rPr>
          <w:rFonts w:ascii="宋体" w:hAnsi="宋体" w:cs="Arial" w:hint="eastAsia"/>
          <w:sz w:val="24"/>
        </w:rPr>
        <w:t>若基金</w:t>
      </w:r>
      <w:proofErr w:type="gramEnd"/>
      <w:r>
        <w:rPr>
          <w:rFonts w:ascii="宋体" w:hAnsi="宋体" w:cs="Arial" w:hint="eastAsia"/>
          <w:sz w:val="24"/>
        </w:rPr>
        <w:t>募集期限届满</w:t>
      </w:r>
      <w:r>
        <w:rPr>
          <w:rFonts w:hint="eastAsia"/>
          <w:sz w:val="24"/>
        </w:rPr>
        <w:t>或基金停止募集时</w:t>
      </w:r>
      <w:r>
        <w:rPr>
          <w:rFonts w:ascii="宋体" w:hAnsi="宋体" w:cs="Arial" w:hint="eastAsia"/>
          <w:sz w:val="24"/>
        </w:rPr>
        <w:t>，未能达到基金合同生效的条件，由基金管理人按规定办理退款等事宜，基金托管人应提供充分协助。</w:t>
      </w:r>
    </w:p>
    <w:p w14:paraId="23CC27F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（三）基金银行账户的开立和管理</w:t>
      </w:r>
    </w:p>
    <w:p w14:paraId="6A251C8B" w14:textId="77777777" w:rsidR="000A7F8D" w:rsidRDefault="000A7F8D">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基金托管人应负责本基金的银行账户的开设和管理。</w:t>
      </w:r>
    </w:p>
    <w:p w14:paraId="2CC4F217" w14:textId="195C3523" w:rsidR="000A7F8D" w:rsidRDefault="000A7F8D">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基金托管人应</w:t>
      </w:r>
      <w:r w:rsidR="00412DB9">
        <w:rPr>
          <w:rFonts w:ascii="宋体" w:hAnsi="宋体" w:cs="Arial" w:hint="eastAsia"/>
          <w:sz w:val="24"/>
        </w:rPr>
        <w:t>根据管理人申请</w:t>
      </w:r>
      <w:r>
        <w:rPr>
          <w:rFonts w:ascii="宋体" w:hAnsi="宋体" w:cs="Arial" w:hint="eastAsia"/>
          <w:sz w:val="24"/>
        </w:rPr>
        <w:t>以本基金名义在其营业机构开立基金的银行账户，并根据基金管理人合法合</w:t>
      </w:r>
      <w:proofErr w:type="gramStart"/>
      <w:r>
        <w:rPr>
          <w:rFonts w:ascii="宋体" w:hAnsi="宋体" w:cs="Arial" w:hint="eastAsia"/>
          <w:sz w:val="24"/>
        </w:rPr>
        <w:t>规</w:t>
      </w:r>
      <w:proofErr w:type="gramEnd"/>
      <w:r>
        <w:rPr>
          <w:rFonts w:ascii="宋体" w:hAnsi="宋体" w:cs="Arial" w:hint="eastAsia"/>
          <w:sz w:val="24"/>
        </w:rPr>
        <w:t>的指令办理资金收付。账户名称、账户预留印鉴以基金管理人向基金托管人出具的开户委托文件为准</w:t>
      </w:r>
      <w:r w:rsidR="00412DB9">
        <w:rPr>
          <w:rFonts w:ascii="宋体" w:hAnsi="宋体" w:cs="Arial" w:hint="eastAsia"/>
          <w:sz w:val="24"/>
        </w:rPr>
        <w:t>，并应符合托管人内部管理要求</w:t>
      </w:r>
      <w:r>
        <w:rPr>
          <w:rFonts w:ascii="宋体" w:hAnsi="宋体" w:cs="Arial" w:hint="eastAsia"/>
          <w:sz w:val="24"/>
        </w:rPr>
        <w:t>。该账户为不可通兑、不可提现账户。</w:t>
      </w:r>
    </w:p>
    <w:p w14:paraId="1A881DEC" w14:textId="77777777" w:rsidR="000A7F8D" w:rsidRDefault="000A7F8D">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基金银行账户的开立和使用，限于满足开展本基金业务的需要。基金托管人和基金管理人不得假借本基金的名义开立任何其他银行账户；亦不得使用基金的任何账户进行本基金业务以外的活动。</w:t>
      </w:r>
    </w:p>
    <w:p w14:paraId="72F097BC" w14:textId="77777777" w:rsidR="000A7F8D" w:rsidRDefault="000A7F8D">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基金银行账户的开立和管理应符合银行保险监督管理机构的有关规定。基金管理人在业务运作中应遵守监管部门及基金托管人对银行结算账户的相关规定，如因基金管理</w:t>
      </w:r>
      <w:proofErr w:type="gramStart"/>
      <w:r>
        <w:rPr>
          <w:rFonts w:ascii="宋体" w:hAnsi="宋体" w:cs="Arial" w:hint="eastAsia"/>
          <w:sz w:val="24"/>
        </w:rPr>
        <w:t>人原因</w:t>
      </w:r>
      <w:proofErr w:type="gramEnd"/>
      <w:r>
        <w:rPr>
          <w:rFonts w:ascii="宋体" w:hAnsi="宋体" w:cs="Arial" w:hint="eastAsia"/>
          <w:sz w:val="24"/>
        </w:rPr>
        <w:t>造成保管账户无法使用，基金托管人不承担相关责任。</w:t>
      </w:r>
      <w:r w:rsidR="00412DB9" w:rsidRPr="001C57CF">
        <w:rPr>
          <w:rFonts w:ascii="宋体" w:hAnsi="宋体" w:cs="Arial" w:hint="eastAsia"/>
          <w:sz w:val="24"/>
        </w:rPr>
        <w:t>管理人应依法履行客户身份识别义务，在开立托管账户时按照开户银行要求，就受益所有人识别等相关信息的核实提供必要的协助，并确保所提供信息以及证明材料的真实性、准确性。</w:t>
      </w:r>
    </w:p>
    <w:p w14:paraId="12F9FF8F" w14:textId="77777777" w:rsidR="000A7F8D" w:rsidRDefault="000A7F8D">
      <w:pPr>
        <w:numPr>
          <w:ilvl w:val="0"/>
          <w:numId w:val="5"/>
        </w:numPr>
        <w:adjustRightInd w:val="0"/>
        <w:snapToGrid w:val="0"/>
        <w:spacing w:line="360" w:lineRule="auto"/>
        <w:ind w:left="0" w:firstLine="426"/>
        <w:rPr>
          <w:rFonts w:ascii="宋体" w:hAnsi="宋体" w:cs="Arial"/>
          <w:sz w:val="24"/>
        </w:rPr>
      </w:pPr>
      <w:r>
        <w:rPr>
          <w:rFonts w:ascii="宋体" w:hAnsi="宋体" w:cs="Arial" w:hint="eastAsia"/>
          <w:sz w:val="24"/>
        </w:rPr>
        <w:t>在符合法律法规规定的条件下，基金托管人可以通过基金托管人专用账户办理基金资产的支付。</w:t>
      </w:r>
    </w:p>
    <w:p w14:paraId="1BCDD8F5" w14:textId="31E43F63" w:rsidR="00412DB9" w:rsidRDefault="00412DB9">
      <w:pPr>
        <w:numPr>
          <w:ilvl w:val="0"/>
          <w:numId w:val="5"/>
        </w:numPr>
        <w:adjustRightInd w:val="0"/>
        <w:snapToGrid w:val="0"/>
        <w:spacing w:line="360" w:lineRule="auto"/>
        <w:ind w:left="0" w:firstLine="426"/>
        <w:rPr>
          <w:rFonts w:ascii="宋体" w:hAnsi="宋体" w:cs="Arial"/>
          <w:sz w:val="24"/>
        </w:rPr>
      </w:pPr>
      <w:r w:rsidRPr="001C57CF">
        <w:rPr>
          <w:rFonts w:ascii="宋体" w:hAnsi="宋体" w:cs="Arial" w:hint="eastAsia"/>
          <w:color w:val="000000"/>
          <w:sz w:val="24"/>
        </w:rPr>
        <w:t>托管人因协助司法机关、行政机关或其他有权机关执行对托管账户或资产管理人在托管人开立的</w:t>
      </w:r>
      <w:r w:rsidR="00052BFC">
        <w:rPr>
          <w:rFonts w:ascii="宋体" w:hAnsi="宋体" w:cs="Arial" w:hint="eastAsia"/>
          <w:color w:val="000000"/>
          <w:sz w:val="24"/>
        </w:rPr>
        <w:t>与本托管业务有关的</w:t>
      </w:r>
      <w:r w:rsidRPr="001C57CF">
        <w:rPr>
          <w:rFonts w:ascii="宋体" w:hAnsi="宋体" w:cs="Arial" w:hint="eastAsia"/>
          <w:color w:val="000000"/>
          <w:sz w:val="24"/>
        </w:rPr>
        <w:t>其他账户内资金进行查询、冻结、扣划，</w:t>
      </w:r>
      <w:proofErr w:type="gramStart"/>
      <w:r w:rsidRPr="001C57CF">
        <w:rPr>
          <w:rFonts w:ascii="宋体" w:hAnsi="宋体" w:cs="Arial" w:hint="eastAsia"/>
          <w:color w:val="000000"/>
          <w:sz w:val="24"/>
        </w:rPr>
        <w:t>不</w:t>
      </w:r>
      <w:proofErr w:type="gramEnd"/>
      <w:r w:rsidRPr="001C57CF">
        <w:rPr>
          <w:rFonts w:ascii="宋体" w:hAnsi="宋体" w:cs="Arial" w:hint="eastAsia"/>
          <w:color w:val="000000"/>
          <w:sz w:val="24"/>
        </w:rPr>
        <w:t>视为托管人对本协议的违反，托管人</w:t>
      </w:r>
      <w:proofErr w:type="gramStart"/>
      <w:r w:rsidRPr="001C57CF">
        <w:rPr>
          <w:rFonts w:ascii="宋体" w:hAnsi="宋体" w:cs="Arial" w:hint="eastAsia"/>
          <w:color w:val="000000"/>
          <w:sz w:val="24"/>
        </w:rPr>
        <w:t>不</w:t>
      </w:r>
      <w:proofErr w:type="gramEnd"/>
      <w:r w:rsidRPr="001C57CF">
        <w:rPr>
          <w:rFonts w:ascii="宋体" w:hAnsi="宋体" w:cs="Arial" w:hint="eastAsia"/>
          <w:color w:val="000000"/>
          <w:sz w:val="24"/>
        </w:rPr>
        <w:t>因此承担责任</w:t>
      </w:r>
      <w:r w:rsidR="00046418">
        <w:rPr>
          <w:rFonts w:ascii="宋体" w:hAnsi="宋体" w:cs="Arial" w:hint="eastAsia"/>
          <w:color w:val="000000"/>
          <w:sz w:val="24"/>
        </w:rPr>
        <w:t>，但托管人应当符合法律法规规定的前提下及时通知基金管理人</w:t>
      </w:r>
      <w:r w:rsidRPr="001C57CF">
        <w:rPr>
          <w:rFonts w:ascii="宋体" w:hAnsi="宋体" w:cs="Arial" w:hint="eastAsia"/>
          <w:color w:val="000000"/>
          <w:sz w:val="24"/>
        </w:rPr>
        <w:t>。</w:t>
      </w:r>
    </w:p>
    <w:p w14:paraId="4308F7D6"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（四）基金证券账户和结算备付金账户的开立和管理</w:t>
      </w:r>
    </w:p>
    <w:p w14:paraId="4A18957F" w14:textId="77777777" w:rsidR="000A7F8D" w:rsidRDefault="000A7F8D">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基金托管人</w:t>
      </w:r>
      <w:r w:rsidR="00412DB9">
        <w:rPr>
          <w:rFonts w:ascii="宋体" w:hAnsi="宋体" w:cs="Arial" w:hint="eastAsia"/>
          <w:sz w:val="24"/>
        </w:rPr>
        <w:t>根据管理人申请</w:t>
      </w:r>
      <w:r>
        <w:rPr>
          <w:rFonts w:ascii="宋体" w:hAnsi="宋体" w:cs="Arial" w:hint="eastAsia"/>
          <w:sz w:val="24"/>
        </w:rPr>
        <w:t>在中国证券登记结算有限责任公司上海分公司、深圳分公司为本基金开立基金托管人与本基金联名的证券账户。</w:t>
      </w:r>
    </w:p>
    <w:p w14:paraId="2C2C114A" w14:textId="77777777" w:rsidR="000A7F8D" w:rsidRDefault="000A7F8D">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lastRenderedPageBreak/>
        <w:t>基金证券账户的开立和使用，仅限于满足开展本基金业务的需要。基金托管人和基金管理人不得出借或未经对方书面同意擅自转让基金的任何证券账户，亦不得使用基金的任何账户进行本基金业务以外的活动。</w:t>
      </w:r>
    </w:p>
    <w:p w14:paraId="31A009CB" w14:textId="77777777" w:rsidR="000A7F8D" w:rsidRDefault="000A7F8D">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基金证券账户的开立由基金托管人负责，账户资产的管理和运用由基金管理人负责。</w:t>
      </w:r>
    </w:p>
    <w:p w14:paraId="63A47647" w14:textId="77777777" w:rsidR="000A7F8D" w:rsidRDefault="000A7F8D">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基金托管人以自身法人名义在中国证券登记结算有限责任公司开立结算备付金账户，并代表所托管的基金完成与中国证券登记结算有限责任公司的一级法人清算工作，基金管理人应予以积极协助。结算备付金、证券结算保证金等的收取按照中国证券登记结算有限责任公司的规定执行。</w:t>
      </w:r>
    </w:p>
    <w:p w14:paraId="375A7136" w14:textId="77777777" w:rsidR="000A7F8D" w:rsidRDefault="000A7F8D">
      <w:pPr>
        <w:numPr>
          <w:ilvl w:val="0"/>
          <w:numId w:val="6"/>
        </w:numPr>
        <w:adjustRightInd w:val="0"/>
        <w:snapToGrid w:val="0"/>
        <w:spacing w:line="360" w:lineRule="auto"/>
        <w:ind w:left="0" w:firstLine="480"/>
        <w:rPr>
          <w:rFonts w:ascii="宋体" w:hAnsi="宋体" w:cs="Arial"/>
          <w:sz w:val="24"/>
        </w:rPr>
      </w:pPr>
      <w:r>
        <w:rPr>
          <w:rFonts w:ascii="宋体" w:hAnsi="宋体" w:cs="Arial" w:hint="eastAsia"/>
          <w:sz w:val="24"/>
        </w:rPr>
        <w:t>若中国证监会或其他监管机构在本托管协议订立日之后允许基金从事其他投资品种的投资业务，涉及相关账户的开立、使用的，若无相关规定，</w:t>
      </w:r>
      <w:proofErr w:type="gramStart"/>
      <w:r>
        <w:rPr>
          <w:rFonts w:ascii="宋体" w:hAnsi="宋体" w:cs="Arial" w:hint="eastAsia"/>
          <w:sz w:val="24"/>
        </w:rPr>
        <w:t>则基金</w:t>
      </w:r>
      <w:proofErr w:type="gramEnd"/>
      <w:r>
        <w:rPr>
          <w:rFonts w:ascii="宋体" w:hAnsi="宋体" w:cs="Arial" w:hint="eastAsia"/>
          <w:sz w:val="24"/>
        </w:rPr>
        <w:t>托管人比照上述关于账户开立、使用的规定执行。</w:t>
      </w:r>
    </w:p>
    <w:p w14:paraId="23B6024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（五）债券托管账户的开设和管理</w:t>
      </w:r>
    </w:p>
    <w:p w14:paraId="18823995" w14:textId="77777777" w:rsidR="000A7F8D" w:rsidRDefault="000A7F8D">
      <w:pPr>
        <w:adjustRightInd w:val="0"/>
        <w:spacing w:line="360" w:lineRule="auto"/>
        <w:ind w:firstLine="480"/>
        <w:rPr>
          <w:sz w:val="24"/>
        </w:rPr>
      </w:pPr>
      <w:r>
        <w:rPr>
          <w:sz w:val="24"/>
        </w:rPr>
        <w:t>基金合同生效后，</w:t>
      </w:r>
      <w:r>
        <w:rPr>
          <w:rFonts w:hint="eastAsia"/>
          <w:sz w:val="24"/>
        </w:rPr>
        <w:t>基金管理人代本基金向中国人民银行发起银行间债券市场准入备案，备案通过后，</w:t>
      </w:r>
      <w:r>
        <w:rPr>
          <w:sz w:val="24"/>
        </w:rPr>
        <w:t>基金托管人</w:t>
      </w:r>
      <w:r>
        <w:rPr>
          <w:rFonts w:hint="eastAsia"/>
          <w:sz w:val="24"/>
        </w:rPr>
        <w:t>代本基金</w:t>
      </w:r>
      <w:r>
        <w:rPr>
          <w:sz w:val="24"/>
        </w:rPr>
        <w:t>根据中国人民银行、中央国债登记结算有限责任公司</w:t>
      </w:r>
      <w:r>
        <w:rPr>
          <w:rFonts w:hint="eastAsia"/>
          <w:sz w:val="24"/>
        </w:rPr>
        <w:t>、银行间市场清算所股份有限公司</w:t>
      </w:r>
      <w:r>
        <w:rPr>
          <w:sz w:val="24"/>
        </w:rPr>
        <w:t>的有关规定，</w:t>
      </w:r>
      <w:r>
        <w:rPr>
          <w:rFonts w:hint="eastAsia"/>
          <w:sz w:val="24"/>
        </w:rPr>
        <w:t>以本基金的名义</w:t>
      </w:r>
      <w:r>
        <w:rPr>
          <w:sz w:val="24"/>
        </w:rPr>
        <w:t>在中央国债登记结算有限责任公司</w:t>
      </w:r>
      <w:r>
        <w:rPr>
          <w:rFonts w:hint="eastAsia"/>
          <w:sz w:val="24"/>
        </w:rPr>
        <w:t>、银行间市场清算所股份有限公司</w:t>
      </w:r>
      <w:r>
        <w:rPr>
          <w:sz w:val="24"/>
        </w:rPr>
        <w:t>开立债券托管与结算账户，并代表基金进行银行间市场债券的结算</w:t>
      </w:r>
      <w:r>
        <w:rPr>
          <w:rFonts w:hint="eastAsia"/>
          <w:sz w:val="24"/>
        </w:rPr>
        <w:t>，基金管理人应在过程中给予必要的配合</w:t>
      </w:r>
      <w:r>
        <w:rPr>
          <w:sz w:val="24"/>
        </w:rPr>
        <w:t>。基金管理人代表</w:t>
      </w:r>
      <w:r>
        <w:rPr>
          <w:rFonts w:hint="eastAsia"/>
          <w:sz w:val="24"/>
        </w:rPr>
        <w:t>本</w:t>
      </w:r>
      <w:r>
        <w:rPr>
          <w:sz w:val="24"/>
        </w:rPr>
        <w:t>基金签订全国银行间债券市场债券回购主协议。</w:t>
      </w:r>
    </w:p>
    <w:p w14:paraId="56E7D02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（六）定期存款账户的开设与管理</w:t>
      </w:r>
    </w:p>
    <w:p w14:paraId="1629963B"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投资定期存款需在存款机构开立银行账户，定期存款账户户名原则上应与托管账户或产品名称保持一致,该账户预留印鉴经与基金托管人商议后预留。基金管理人与存款机构签订定期存款协议，协议中涉及基金托管人相关职责的约定须由基金管理人和基金托管人双方协商一致后签署。该协议内容应至少包含起息日、到期日、存款金额、存款账户、存款利率、存款是否可以提前支取、定存到期支取账户、存款证实</w:t>
      </w:r>
      <w:proofErr w:type="gramStart"/>
      <w:r>
        <w:rPr>
          <w:rFonts w:ascii="宋体" w:hAnsi="宋体" w:hint="eastAsia"/>
          <w:sz w:val="24"/>
        </w:rPr>
        <w:t>书如何</w:t>
      </w:r>
      <w:proofErr w:type="gramEnd"/>
      <w:r>
        <w:rPr>
          <w:rFonts w:ascii="宋体" w:hAnsi="宋体" w:hint="eastAsia"/>
          <w:sz w:val="24"/>
        </w:rPr>
        <w:t>交接以及存款证实书不得转让质押等条款，并将本信托托管账户指定为唯一回款账户。 </w:t>
      </w:r>
    </w:p>
    <w:p w14:paraId="5475070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hint="eastAsia"/>
          <w:sz w:val="24"/>
        </w:rPr>
        <w:t>（七）</w:t>
      </w:r>
      <w:r>
        <w:rPr>
          <w:rFonts w:ascii="宋体" w:hAnsi="宋体" w:cs="Arial" w:hint="eastAsia"/>
          <w:sz w:val="24"/>
        </w:rPr>
        <w:t>其他账户的开立和管理</w:t>
      </w:r>
    </w:p>
    <w:p w14:paraId="289BC78D" w14:textId="77777777" w:rsidR="000A7F8D" w:rsidRDefault="000A7F8D">
      <w:pPr>
        <w:numPr>
          <w:ilvl w:val="0"/>
          <w:numId w:val="7"/>
        </w:numPr>
        <w:adjustRightInd w:val="0"/>
        <w:snapToGrid w:val="0"/>
        <w:spacing w:line="360" w:lineRule="auto"/>
        <w:ind w:left="0" w:firstLine="426"/>
        <w:rPr>
          <w:rFonts w:ascii="宋体" w:hAnsi="宋体" w:cs="Arial"/>
          <w:sz w:val="24"/>
        </w:rPr>
      </w:pPr>
      <w:r>
        <w:rPr>
          <w:rFonts w:ascii="宋体" w:hAnsi="宋体" w:cs="Arial" w:hint="eastAsia"/>
          <w:sz w:val="24"/>
        </w:rPr>
        <w:t>因业务发展需要而开立的其他账户，可以根据法律法规和基金合同的规</w:t>
      </w:r>
      <w:r>
        <w:rPr>
          <w:rFonts w:ascii="宋体" w:hAnsi="宋体" w:cs="Arial" w:hint="eastAsia"/>
          <w:sz w:val="24"/>
        </w:rPr>
        <w:lastRenderedPageBreak/>
        <w:t>定开立，在基金管理人和基金托管人商议后由基金托管人负责开立。新账户按有关规定使用并管理。</w:t>
      </w:r>
    </w:p>
    <w:p w14:paraId="7B43398C" w14:textId="77777777" w:rsidR="000A7F8D" w:rsidRDefault="000A7F8D">
      <w:pPr>
        <w:numPr>
          <w:ilvl w:val="0"/>
          <w:numId w:val="7"/>
        </w:numPr>
        <w:adjustRightInd w:val="0"/>
        <w:snapToGrid w:val="0"/>
        <w:spacing w:line="360" w:lineRule="auto"/>
        <w:ind w:left="0" w:firstLine="426"/>
        <w:rPr>
          <w:rFonts w:ascii="宋体" w:hAnsi="宋体" w:cs="Arial"/>
          <w:sz w:val="24"/>
        </w:rPr>
      </w:pPr>
      <w:r>
        <w:rPr>
          <w:rFonts w:ascii="宋体" w:hAnsi="宋体" w:cs="Arial" w:hint="eastAsia"/>
          <w:sz w:val="24"/>
        </w:rPr>
        <w:t>法律法规等有关规定对相关账户的开立和管理另有规定的，从其规定办理。</w:t>
      </w:r>
    </w:p>
    <w:p w14:paraId="5D039B15"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（八）基金财产投资的有关有价凭证等的保管</w:t>
      </w:r>
    </w:p>
    <w:p w14:paraId="6E614BC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基金财产投资的有关实物证券</w:t>
      </w:r>
      <w:r>
        <w:rPr>
          <w:rFonts w:ascii="宋体" w:hAnsi="宋体" w:cs="仿宋" w:hint="eastAsia"/>
          <w:sz w:val="24"/>
        </w:rPr>
        <w:t>、银行存款开户证实书</w:t>
      </w:r>
      <w:r>
        <w:rPr>
          <w:rFonts w:ascii="宋体" w:hAnsi="宋体" w:cs="Arial" w:hint="eastAsia"/>
          <w:sz w:val="24"/>
        </w:rPr>
        <w:t>等有价凭证由基金托管人存放于基金托管人的保管库，也可存入中央国债登记结算有限责任公司、</w:t>
      </w:r>
      <w:r>
        <w:rPr>
          <w:rFonts w:ascii="宋体" w:hAnsi="宋体" w:hint="eastAsia"/>
          <w:sz w:val="24"/>
        </w:rPr>
        <w:t>银行间市场清算所股份有限公司、</w:t>
      </w:r>
      <w:r>
        <w:rPr>
          <w:rFonts w:ascii="宋体" w:hAnsi="宋体" w:cs="Arial" w:hint="eastAsia"/>
          <w:sz w:val="24"/>
        </w:rPr>
        <w:t>中国证券登记结算有限责任公司上海分公司/深圳分公司或票据营业中心的代保管库，保管凭证由基金托管人持有。实物证券</w:t>
      </w:r>
      <w:r>
        <w:rPr>
          <w:rFonts w:ascii="宋体" w:hAnsi="宋体" w:cs="仿宋" w:hint="eastAsia"/>
          <w:sz w:val="24"/>
        </w:rPr>
        <w:t>、银行存款开户证实书</w:t>
      </w:r>
      <w:r>
        <w:rPr>
          <w:rFonts w:ascii="宋体" w:hAnsi="宋体" w:cs="Arial" w:hint="eastAsia"/>
          <w:sz w:val="24"/>
        </w:rPr>
        <w:t>等有价凭证的购买和转让，由基金管理人和基金托管人共同办理。基金托管人对由基金托管人</w:t>
      </w:r>
      <w:r>
        <w:rPr>
          <w:rFonts w:ascii="宋体" w:hAnsi="宋体" w:cs="仿宋" w:hint="eastAsia"/>
          <w:sz w:val="24"/>
        </w:rPr>
        <w:t>及基金托管人委托保管的机构</w:t>
      </w:r>
      <w:r>
        <w:rPr>
          <w:rFonts w:ascii="宋体" w:hAnsi="宋体" w:cs="Arial" w:hint="eastAsia"/>
          <w:sz w:val="24"/>
        </w:rPr>
        <w:t>以外机构实际有效控制的证券不承担保管责任，但基金托管人应妥善保管凭证。</w:t>
      </w:r>
    </w:p>
    <w:p w14:paraId="25A4A7E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（九）与基金财产有关的重大合同的保管</w:t>
      </w:r>
    </w:p>
    <w:p w14:paraId="38CADD2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重大合同的保管期限为基金合同终止后20年，法律法规或监管部门另有规定的，从其规定。</w:t>
      </w:r>
    </w:p>
    <w:p w14:paraId="5993FC62" w14:textId="77777777" w:rsidR="000A7F8D" w:rsidRDefault="000A7F8D">
      <w:pPr>
        <w:pStyle w:val="1"/>
        <w:numPr>
          <w:ilvl w:val="0"/>
          <w:numId w:val="1"/>
        </w:numPr>
        <w:spacing w:line="360" w:lineRule="auto"/>
        <w:jc w:val="center"/>
        <w:rPr>
          <w:rFonts w:ascii="宋体" w:hAnsi="宋体"/>
          <w:sz w:val="28"/>
          <w:szCs w:val="28"/>
        </w:rPr>
      </w:pPr>
      <w:bookmarkStart w:id="93" w:name="_Toc295832638"/>
      <w:bookmarkStart w:id="94" w:name="_Toc295833677"/>
      <w:bookmarkStart w:id="95" w:name="_Toc295833675"/>
      <w:bookmarkStart w:id="96" w:name="_Toc295832637"/>
      <w:bookmarkStart w:id="97" w:name="_Toc295832945"/>
      <w:bookmarkStart w:id="98" w:name="_Toc295833005"/>
      <w:bookmarkStart w:id="99" w:name="_Toc295832946"/>
      <w:bookmarkStart w:id="100" w:name="_Toc295832944"/>
      <w:bookmarkStart w:id="101" w:name="_Toc295833006"/>
      <w:bookmarkStart w:id="102" w:name="_Toc295833004"/>
      <w:bookmarkStart w:id="103" w:name="_Toc295832639"/>
      <w:bookmarkStart w:id="104" w:name="_Toc295833676"/>
      <w:bookmarkEnd w:id="93"/>
      <w:bookmarkEnd w:id="94"/>
      <w:bookmarkEnd w:id="95"/>
      <w:bookmarkEnd w:id="96"/>
      <w:bookmarkEnd w:id="97"/>
      <w:bookmarkEnd w:id="98"/>
      <w:bookmarkEnd w:id="99"/>
      <w:bookmarkEnd w:id="100"/>
      <w:bookmarkEnd w:id="101"/>
      <w:bookmarkEnd w:id="102"/>
      <w:bookmarkEnd w:id="103"/>
      <w:bookmarkEnd w:id="104"/>
      <w:r>
        <w:rPr>
          <w:rFonts w:ascii="宋体" w:hAnsi="宋体"/>
          <w:sz w:val="24"/>
          <w:szCs w:val="24"/>
        </w:rPr>
        <w:br w:type="page"/>
      </w:r>
      <w:bookmarkStart w:id="105" w:name="_Toc295833678"/>
      <w:bookmarkStart w:id="106" w:name="_Toc295832947"/>
      <w:bookmarkStart w:id="107" w:name="_Toc295833007"/>
      <w:bookmarkStart w:id="108" w:name="_Toc295832640"/>
      <w:bookmarkStart w:id="109" w:name="_Toc118774805"/>
      <w:bookmarkStart w:id="110" w:name="_Toc110830494"/>
      <w:bookmarkStart w:id="111" w:name="_Toc120435785"/>
      <w:bookmarkStart w:id="112" w:name="_Toc89163370"/>
      <w:bookmarkStart w:id="113" w:name="_Toc86727357"/>
      <w:bookmarkStart w:id="114" w:name="_Toc86225293"/>
      <w:bookmarkStart w:id="115" w:name="_Toc86726441"/>
      <w:bookmarkStart w:id="116" w:name="_Toc119402712"/>
      <w:bookmarkStart w:id="117" w:name="_Toc270669857"/>
      <w:bookmarkStart w:id="118" w:name="_Toc84234436"/>
      <w:bookmarkStart w:id="119" w:name="_Toc110765662"/>
      <w:bookmarkStart w:id="120" w:name="_Toc86223244"/>
      <w:bookmarkStart w:id="121" w:name="_Toc450839472"/>
      <w:bookmarkStart w:id="122" w:name="_Toc86204790"/>
      <w:bookmarkStart w:id="123" w:name="_Toc118212952"/>
      <w:bookmarkStart w:id="124" w:name="_Toc124325890"/>
      <w:bookmarkStart w:id="125" w:name="_Toc86649724"/>
      <w:bookmarkStart w:id="126" w:name="_Toc84133787"/>
      <w:bookmarkStart w:id="127" w:name="_Toc118972650"/>
      <w:bookmarkStart w:id="128" w:name="_Toc86737931"/>
      <w:bookmarkStart w:id="129" w:name="_Toc108512360"/>
      <w:bookmarkStart w:id="130" w:name="_Toc110761798"/>
      <w:bookmarkStart w:id="131" w:name="_Toc84234389"/>
      <w:bookmarkEnd w:id="105"/>
      <w:bookmarkEnd w:id="106"/>
      <w:bookmarkEnd w:id="107"/>
      <w:bookmarkEnd w:id="108"/>
      <w:r>
        <w:rPr>
          <w:rFonts w:ascii="宋体" w:hAnsi="宋体" w:hint="eastAsia"/>
          <w:sz w:val="28"/>
          <w:szCs w:val="28"/>
        </w:rPr>
        <w:lastRenderedPageBreak/>
        <w:t>指令的发送、确认及执行</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1D46312B"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基金管理人在运用基金财产时向基金托管人发送资金划拨及其他款项付款指令，基金托管人执行基金管理人的指令、办理基金名下的资金往来等有关事项。</w:t>
      </w:r>
    </w:p>
    <w:p w14:paraId="28D8F1E0"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（一）基金管理人对发送指令人员的书面授权</w:t>
      </w:r>
    </w:p>
    <w:p w14:paraId="25C3DB25" w14:textId="77777777" w:rsidR="000A7F8D" w:rsidRDefault="000A7F8D">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基金管理人应指定专人向基金托管人发送指令。</w:t>
      </w:r>
    </w:p>
    <w:p w14:paraId="65BAD9D4" w14:textId="77777777" w:rsidR="000A7F8D" w:rsidRDefault="000A7F8D">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应于本基金成立前三个工作日内，向基金托管人提供预留印鉴和授权人签字样本，事先书面通知（以下称“授权通知”）基金托管人有权发送指令的人员名单，注明相应的交易权限，并规定基金管理人向基金托管人发送指令时基金托管人确认有权发送人员身份的方法，授权通知应加盖公章。</w:t>
      </w:r>
    </w:p>
    <w:p w14:paraId="4C438D7B" w14:textId="77777777" w:rsidR="000A7F8D" w:rsidRDefault="000A7F8D">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w:t>
      </w:r>
      <w:r>
        <w:rPr>
          <w:rFonts w:ascii="宋体" w:hAnsi="宋体" w:cs="宋体" w:hint="eastAsia"/>
          <w:sz w:val="24"/>
        </w:rPr>
        <w:t>应将授权文件以</w:t>
      </w:r>
      <w:proofErr w:type="gramStart"/>
      <w:r>
        <w:rPr>
          <w:rFonts w:ascii="宋体" w:hAnsi="宋体" w:cs="宋体" w:hint="eastAsia"/>
          <w:sz w:val="24"/>
        </w:rPr>
        <w:t>托管网银</w:t>
      </w:r>
      <w:proofErr w:type="gramEnd"/>
      <w:r>
        <w:rPr>
          <w:rFonts w:ascii="宋体" w:hAnsi="宋体" w:cs="宋体" w:hint="eastAsia"/>
          <w:sz w:val="24"/>
        </w:rPr>
        <w:t>、传真、电子邮件或其他双方书面认可的方式通知</w:t>
      </w:r>
      <w:bookmarkStart w:id="132" w:name="_Hlk8832084"/>
      <w:r>
        <w:rPr>
          <w:rFonts w:ascii="宋体" w:hAnsi="宋体" w:cs="宋体" w:hint="eastAsia"/>
          <w:sz w:val="24"/>
        </w:rPr>
        <w:t>基金托管人，并及时与基金托管人进行电话确认。</w:t>
      </w:r>
      <w:bookmarkEnd w:id="132"/>
      <w:r>
        <w:rPr>
          <w:rFonts w:ascii="宋体" w:hAnsi="宋体" w:cs="Arial" w:hint="eastAsia"/>
          <w:sz w:val="24"/>
        </w:rPr>
        <w:t>授权文件需载明具体生效时间，载明的具体生效时间不得早于电话确认时间，授权文件自载明日期生效。</w:t>
      </w:r>
    </w:p>
    <w:p w14:paraId="56977E0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宋体" w:hint="eastAsia"/>
          <w:sz w:val="24"/>
        </w:rPr>
        <w:t>基金管理人更改或终止对被授权人的授权，应及时将加盖基金管理人公章的新授权文件以</w:t>
      </w:r>
      <w:proofErr w:type="gramStart"/>
      <w:r>
        <w:rPr>
          <w:rFonts w:ascii="宋体" w:hAnsi="宋体" w:cs="宋体" w:hint="eastAsia"/>
          <w:sz w:val="24"/>
        </w:rPr>
        <w:t>托管网银</w:t>
      </w:r>
      <w:proofErr w:type="gramEnd"/>
      <w:r>
        <w:rPr>
          <w:rFonts w:ascii="宋体" w:hAnsi="宋体" w:cs="宋体" w:hint="eastAsia"/>
          <w:sz w:val="24"/>
        </w:rPr>
        <w:t>、传真、电子邮件或其他双方书面认可的方式通知基金托管人，并及时与基金托管人进行电话确认。新的授权文件需载明具体生效时间，载明的具体生效时间不得早于电话确认时间，新的授权文件自载明日期生效，且原授权文件同时废止。</w:t>
      </w:r>
      <w:r>
        <w:rPr>
          <w:rFonts w:ascii="宋体" w:hAnsi="宋体" w:cs="Arial" w:hint="eastAsia"/>
          <w:sz w:val="24"/>
        </w:rPr>
        <w:t>被授权人变更通知生效前，基金托管人仍应按原约定执行指令，基金管理人不得否认其效力。</w:t>
      </w:r>
    </w:p>
    <w:p w14:paraId="0CC9A96F" w14:textId="77777777" w:rsidR="000A7F8D" w:rsidRDefault="000A7F8D">
      <w:pPr>
        <w:numPr>
          <w:ilvl w:val="0"/>
          <w:numId w:val="8"/>
        </w:numPr>
        <w:adjustRightInd w:val="0"/>
        <w:snapToGrid w:val="0"/>
        <w:spacing w:line="360" w:lineRule="auto"/>
        <w:ind w:left="0" w:firstLine="426"/>
        <w:rPr>
          <w:rFonts w:ascii="宋体" w:hAnsi="宋体" w:cs="Arial"/>
          <w:sz w:val="24"/>
        </w:rPr>
      </w:pPr>
      <w:r>
        <w:rPr>
          <w:rFonts w:ascii="宋体" w:hAnsi="宋体" w:cs="Arial" w:hint="eastAsia"/>
          <w:sz w:val="24"/>
        </w:rPr>
        <w:t>基金管理人应确保原件与基金托管人收到的文件一致，若不一致则以基金托管人收到的文件为准。基金管理人和基金托管人对授权文件负有保密义务，其内容不得向被授权人及相关操作人员以外的任何人泄露。但法律法规规定或有权机关要求的除外。</w:t>
      </w:r>
    </w:p>
    <w:p w14:paraId="2F75BC3A"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（二）指令的内容</w:t>
      </w:r>
    </w:p>
    <w:p w14:paraId="52C2B9B0" w14:textId="77777777" w:rsidR="000A7F8D" w:rsidRDefault="000A7F8D">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指令包括赎回、分红付款指令、与投资有关的付款指令以及其他资金划拨指令等。</w:t>
      </w:r>
    </w:p>
    <w:p w14:paraId="135A6CC2" w14:textId="77777777" w:rsidR="000A7F8D" w:rsidRDefault="000A7F8D">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基金管理人发给基金托管人的指令应写明款项事由、支付时间、金额、收付款账户等，加盖预留印鉴。</w:t>
      </w:r>
    </w:p>
    <w:p w14:paraId="0F0AFD76" w14:textId="77777777" w:rsidR="000A7F8D" w:rsidRDefault="000A7F8D">
      <w:pPr>
        <w:numPr>
          <w:ilvl w:val="0"/>
          <w:numId w:val="9"/>
        </w:numPr>
        <w:adjustRightInd w:val="0"/>
        <w:snapToGrid w:val="0"/>
        <w:spacing w:line="360" w:lineRule="auto"/>
        <w:ind w:left="0" w:firstLine="426"/>
        <w:rPr>
          <w:rFonts w:ascii="宋体" w:hAnsi="宋体" w:cs="Arial"/>
          <w:sz w:val="24"/>
        </w:rPr>
      </w:pPr>
      <w:r>
        <w:rPr>
          <w:rFonts w:ascii="宋体" w:hAnsi="宋体" w:cs="Arial" w:hint="eastAsia"/>
          <w:sz w:val="24"/>
        </w:rPr>
        <w:t>相关登记结算公司向基金托管人发送的结算通知视为基金管理人向基金</w:t>
      </w:r>
      <w:r>
        <w:rPr>
          <w:rFonts w:ascii="宋体" w:hAnsi="宋体" w:cs="Arial" w:hint="eastAsia"/>
          <w:sz w:val="24"/>
        </w:rPr>
        <w:lastRenderedPageBreak/>
        <w:t>托管人发出的指令。</w:t>
      </w:r>
    </w:p>
    <w:p w14:paraId="33AA4713"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（三）指令的发送、确认及执行的时间和程序</w:t>
      </w:r>
    </w:p>
    <w:p w14:paraId="26756804" w14:textId="77777777" w:rsidR="000A7F8D" w:rsidRDefault="000A7F8D">
      <w:pPr>
        <w:numPr>
          <w:ilvl w:val="0"/>
          <w:numId w:val="10"/>
        </w:numPr>
        <w:adjustRightInd w:val="0"/>
        <w:snapToGrid w:val="0"/>
        <w:spacing w:line="360" w:lineRule="auto"/>
        <w:rPr>
          <w:rFonts w:ascii="宋体" w:hAnsi="宋体" w:cs="Arial"/>
          <w:sz w:val="24"/>
        </w:rPr>
      </w:pPr>
      <w:r>
        <w:rPr>
          <w:rFonts w:ascii="宋体" w:hAnsi="宋体" w:cs="Arial" w:hint="eastAsia"/>
          <w:sz w:val="24"/>
        </w:rPr>
        <w:t>指令的发送</w:t>
      </w:r>
    </w:p>
    <w:p w14:paraId="01241934"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基金管理人应按照有关法律法规规定和本协议的约定，在其合法的经营权限和交易权限内发送划款指令。被授权人应按照其授权权限签署划款指令，对于被授权人签署的划款指令，基金管理人不得否认其效力。</w:t>
      </w:r>
    </w:p>
    <w:p w14:paraId="60E798C2"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划款指令以</w:t>
      </w:r>
      <w:proofErr w:type="gramStart"/>
      <w:r>
        <w:rPr>
          <w:rFonts w:ascii="宋体" w:hAnsi="宋体" w:cs="Arial" w:hint="eastAsia"/>
          <w:sz w:val="24"/>
        </w:rPr>
        <w:t>托管网银</w:t>
      </w:r>
      <w:proofErr w:type="gramEnd"/>
      <w:r>
        <w:rPr>
          <w:rFonts w:ascii="宋体" w:hAnsi="宋体" w:cs="Arial" w:hint="eastAsia"/>
          <w:sz w:val="24"/>
        </w:rPr>
        <w:t>、传真、电子邮件或其他双方书面认可的方式向基金托管人发送，并及时与基金托管人进行电话确认。对于因基金管理人未能及时与基金托管人进行划款指令确认，致使资金未能及时划拨所造成的损失由基金管理人承担。</w:t>
      </w:r>
    </w:p>
    <w:p w14:paraId="2FDC4583"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且上述授权的撤销或更改基金管理人已在指令执行前按照本协议约定通知基金托管人并经基金托管人根据本协议的约定方式或双方认可的方式确认后，则对于此后该交易指令发送人员无权发送的指令，或超权限发送的指令，基金管理人不承担责任，授权已更改但未经基金托管人确认的情况除外。</w:t>
      </w:r>
    </w:p>
    <w:p w14:paraId="30637B46"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指令发出后，基金管理人应及时以电话方式向基金托管人确认。基金托管人在复核后应在规定期限内执行，不得延误。</w:t>
      </w:r>
      <w:r>
        <w:rPr>
          <w:rFonts w:ascii="宋体" w:hAnsi="宋体" w:hint="eastAsia"/>
          <w:sz w:val="24"/>
        </w:rPr>
        <w:t>基金托管人仅对基金管理人提交的指令按照本协议的约定进行表面一致性审查，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任何形式的责任。</w:t>
      </w:r>
    </w:p>
    <w:p w14:paraId="737CE73F"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基金管理人应在进行银行间同业市场交易后及时将交易成交单或分销协议及时以</w:t>
      </w:r>
      <w:proofErr w:type="gramStart"/>
      <w:r>
        <w:rPr>
          <w:rFonts w:ascii="宋体" w:hAnsi="宋体" w:cs="Arial" w:hint="eastAsia"/>
          <w:sz w:val="24"/>
        </w:rPr>
        <w:t>托管网银</w:t>
      </w:r>
      <w:proofErr w:type="gramEnd"/>
      <w:r>
        <w:rPr>
          <w:rFonts w:ascii="宋体" w:hAnsi="宋体" w:cs="Arial" w:hint="eastAsia"/>
          <w:sz w:val="24"/>
        </w:rPr>
        <w:t>、传真、电子邮件或其他双方书面认可的方式发送给基金托管人，并电话确认。如果银行间簿记系统已经生成的交易需要取消或终止，基金管理人应书面通知基金托管人。</w:t>
      </w:r>
    </w:p>
    <w:p w14:paraId="19C04C48"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基金管理人应于划款前一日向基金托管人发送投资划款指令并确认，如需在</w:t>
      </w:r>
      <w:r>
        <w:rPr>
          <w:rFonts w:ascii="宋体" w:hAnsi="宋体" w:cs="Arial" w:hint="eastAsia"/>
          <w:sz w:val="24"/>
        </w:rPr>
        <w:lastRenderedPageBreak/>
        <w:t>划款当日下达投资划款指令，在发送指令时，应为基金托管人留出执行指令所必需的时间，</w:t>
      </w:r>
      <w:r>
        <w:rPr>
          <w:rFonts w:ascii="宋体" w:hAnsi="宋体" w:hint="eastAsia"/>
          <w:sz w:val="24"/>
        </w:rPr>
        <w:t>一般为两个工作小时，基金管理人</w:t>
      </w:r>
      <w:r>
        <w:rPr>
          <w:rFonts w:ascii="宋体" w:hAnsi="宋体" w:cs="Arial" w:hint="eastAsia"/>
          <w:sz w:val="24"/>
        </w:rPr>
        <w:t>应于划款当日15:00前向基金托管人发送划款指令，</w:t>
      </w:r>
      <w:r>
        <w:rPr>
          <w:rFonts w:ascii="宋体" w:hAnsi="宋体" w:hint="eastAsia"/>
          <w:sz w:val="24"/>
        </w:rPr>
        <w:t>15:00之后发送的，基金托管人尽力执行，但不能保证划账成功，</w:t>
      </w:r>
      <w:r>
        <w:rPr>
          <w:rFonts w:ascii="宋体" w:hAnsi="宋体" w:cs="Arial" w:hint="eastAsia"/>
          <w:sz w:val="24"/>
        </w:rPr>
        <w:t>如有特殊情况，双方协商解决。因指令传输不及时、未能留出足够的划款时间，致使资金未能及时到账所造成的损失由基金管理人承担。</w:t>
      </w:r>
    </w:p>
    <w:p w14:paraId="013B2B52"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对新股申购网下发行业务，基金管理人应在网下申购缴款日(T日)的前一工作日下班前将指令发送给基金托管人，指令发送时间最迟不应晚于T日上午10:00。</w:t>
      </w:r>
    </w:p>
    <w:p w14:paraId="55F98F00" w14:textId="77777777" w:rsidR="000A7F8D" w:rsidRDefault="000A7F8D">
      <w:pPr>
        <w:adjustRightInd w:val="0"/>
        <w:snapToGrid w:val="0"/>
        <w:spacing w:line="360" w:lineRule="auto"/>
        <w:ind w:firstLineChars="200" w:firstLine="480"/>
        <w:rPr>
          <w:rFonts w:ascii="宋体" w:hAnsi="宋体"/>
          <w:sz w:val="24"/>
        </w:rPr>
      </w:pPr>
      <w:r>
        <w:rPr>
          <w:rFonts w:ascii="宋体" w:hAnsi="宋体" w:hint="eastAsia"/>
          <w:sz w:val="24"/>
        </w:rPr>
        <w:t>本协议项下的资金账户发生的银行结算费用、银行账户维护费等银行费用，由基金托管人直接从资金账户中扣划，无须基金管理人出具划款指令。</w:t>
      </w:r>
    </w:p>
    <w:p w14:paraId="61EFE544" w14:textId="77777777" w:rsidR="000A7F8D" w:rsidRDefault="000A7F8D">
      <w:pPr>
        <w:snapToGrid w:val="0"/>
        <w:spacing w:line="360" w:lineRule="auto"/>
        <w:ind w:firstLineChars="200" w:firstLine="480"/>
        <w:jc w:val="left"/>
        <w:rPr>
          <w:sz w:val="24"/>
        </w:rPr>
      </w:pPr>
      <w:r>
        <w:rPr>
          <w:rFonts w:ascii="宋体" w:hAnsi="宋体" w:hint="eastAsia"/>
          <w:sz w:val="24"/>
        </w:rPr>
        <w:t>基金托管人在收到有效指令后，将对于同一批次的划款指令随机执行，如有特殊支付顺序，基金管理人应以书面或</w:t>
      </w:r>
      <w:proofErr w:type="gramStart"/>
      <w:r>
        <w:rPr>
          <w:rFonts w:ascii="宋体" w:hAnsi="宋体" w:hint="eastAsia"/>
          <w:sz w:val="24"/>
        </w:rPr>
        <w:t>或</w:t>
      </w:r>
      <w:proofErr w:type="gramEnd"/>
      <w:r>
        <w:rPr>
          <w:rFonts w:ascii="宋体" w:hAnsi="宋体" w:hint="eastAsia"/>
          <w:sz w:val="24"/>
        </w:rPr>
        <w:t>电话形式提前告知。</w:t>
      </w:r>
    </w:p>
    <w:p w14:paraId="4B3B4715" w14:textId="77777777" w:rsidR="000A7F8D" w:rsidRDefault="000A7F8D">
      <w:pPr>
        <w:numPr>
          <w:ilvl w:val="0"/>
          <w:numId w:val="10"/>
        </w:numPr>
        <w:adjustRightInd w:val="0"/>
        <w:snapToGrid w:val="0"/>
        <w:spacing w:line="360" w:lineRule="auto"/>
        <w:rPr>
          <w:rFonts w:ascii="宋体" w:hAnsi="宋体" w:cs="Arial"/>
          <w:sz w:val="24"/>
        </w:rPr>
      </w:pPr>
      <w:r>
        <w:rPr>
          <w:rFonts w:ascii="宋体" w:hAnsi="宋体" w:cs="Arial" w:hint="eastAsia"/>
          <w:sz w:val="24"/>
        </w:rPr>
        <w:t>指令的确认</w:t>
      </w:r>
    </w:p>
    <w:p w14:paraId="3C22C14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基金托管人应指定专人接收基金管理人的指令，预先通知基金管理人其名单，并与基金管理人商定指令发送和接收方式。指令到达基金托管人后，基金托管人应指定专人</w:t>
      </w:r>
      <w:r>
        <w:rPr>
          <w:rFonts w:ascii="宋体" w:hAnsi="宋体" w:cs="Arial"/>
          <w:sz w:val="24"/>
        </w:rPr>
        <w:t>立即</w:t>
      </w:r>
      <w:r>
        <w:rPr>
          <w:rFonts w:ascii="宋体" w:hAnsi="宋体" w:cs="Arial" w:hint="eastAsia"/>
          <w:sz w:val="24"/>
        </w:rPr>
        <w:t>对有关内容及印鉴和签名进行表面一致性审查，如有疑问必须及时通知基金管理人。</w:t>
      </w:r>
    </w:p>
    <w:p w14:paraId="1C5C9F2D" w14:textId="77777777" w:rsidR="000A7F8D" w:rsidRDefault="000A7F8D">
      <w:pPr>
        <w:numPr>
          <w:ilvl w:val="0"/>
          <w:numId w:val="10"/>
        </w:numPr>
        <w:adjustRightInd w:val="0"/>
        <w:snapToGrid w:val="0"/>
        <w:spacing w:line="360" w:lineRule="auto"/>
        <w:rPr>
          <w:rFonts w:ascii="宋体" w:hAnsi="宋体" w:cs="Arial"/>
          <w:sz w:val="24"/>
        </w:rPr>
      </w:pPr>
      <w:r>
        <w:rPr>
          <w:rFonts w:ascii="宋体" w:hAnsi="宋体" w:cs="Arial" w:hint="eastAsia"/>
          <w:sz w:val="24"/>
        </w:rPr>
        <w:t>指令的时间和执行</w:t>
      </w:r>
    </w:p>
    <w:p w14:paraId="28533C8B"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基金托管人对指令验证后，应及时办理。指令执行完毕后，基金管理人可通过基金托管人提供的电子渠道查询指令执行结果。</w:t>
      </w:r>
    </w:p>
    <w:p w14:paraId="1C466702" w14:textId="77777777" w:rsidR="000A7F8D" w:rsidRDefault="000A7F8D">
      <w:pPr>
        <w:pStyle w:val="12"/>
        <w:snapToGrid w:val="0"/>
        <w:spacing w:after="0" w:line="360" w:lineRule="auto"/>
        <w:rPr>
          <w:rFonts w:hAnsi="宋体" w:cs="Arial"/>
          <w:szCs w:val="24"/>
        </w:rPr>
      </w:pPr>
      <w:r>
        <w:rPr>
          <w:rFonts w:hAnsi="宋体" w:cs="Arial"/>
          <w:szCs w:val="24"/>
        </w:rPr>
        <w:t>基金管理人向基金托管人下达指令时，应确保基金资金账户有足够的资金余额，对基金管理人在没有充足资金的情况下向基金托管人发出的投资指令、赎回、分红资金等的划拨指令，基金托管人可不予执行，但应立即通知基金管理人，由基金管理人审核、查明原因，出具书面文件确认此交易指令无效，基金托管人不承担因未执行该指令造成损失的责任。</w:t>
      </w:r>
    </w:p>
    <w:p w14:paraId="53EA6847" w14:textId="77777777" w:rsidR="000A7F8D" w:rsidRDefault="000A7F8D">
      <w:pPr>
        <w:pStyle w:val="12"/>
        <w:snapToGrid w:val="0"/>
        <w:spacing w:after="0" w:line="360" w:lineRule="auto"/>
        <w:rPr>
          <w:rFonts w:hAnsi="宋体" w:cs="Arial"/>
          <w:szCs w:val="24"/>
          <w:shd w:val="pct10" w:color="auto" w:fill="FFFFFF"/>
        </w:rPr>
      </w:pPr>
      <w:r>
        <w:rPr>
          <w:rFonts w:hAnsi="宋体" w:cs="Arial"/>
          <w:szCs w:val="24"/>
        </w:rPr>
        <w:t>对于发送时资金不足的指令，基金托管人有权不予执行，</w:t>
      </w:r>
      <w:r>
        <w:rPr>
          <w:rFonts w:hAnsi="宋体" w:cs="Arial" w:hint="eastAsia"/>
          <w:szCs w:val="24"/>
        </w:rPr>
        <w:t>但</w:t>
      </w:r>
      <w:r>
        <w:rPr>
          <w:rFonts w:hAnsi="宋体" w:cs="Arial"/>
          <w:szCs w:val="24"/>
        </w:rPr>
        <w:t>应当立即通知基金管理人，基金管理人确认该指令不予取消的，资金备足并通知基金托管人的时间视为指令收到时间。</w:t>
      </w:r>
    </w:p>
    <w:p w14:paraId="62AF609B"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（四）基金管理人发送错误指令的情形和处理程序</w:t>
      </w:r>
    </w:p>
    <w:p w14:paraId="7D19FAF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基金管理人发送错误指令的情形包括指令违反法律法规和基金合同，指令</w:t>
      </w:r>
      <w:r>
        <w:rPr>
          <w:rFonts w:ascii="宋体" w:hAnsi="宋体" w:cs="宋体" w:hint="eastAsia"/>
          <w:sz w:val="24"/>
        </w:rPr>
        <w:t>签</w:t>
      </w:r>
      <w:r>
        <w:rPr>
          <w:rFonts w:ascii="宋体" w:hAnsi="宋体" w:cs="宋体" w:hint="eastAsia"/>
          <w:sz w:val="24"/>
        </w:rPr>
        <w:lastRenderedPageBreak/>
        <w:t>署人员无权或超越权限签署划款指令，</w:t>
      </w:r>
      <w:r>
        <w:rPr>
          <w:rFonts w:cs="宋体" w:hint="eastAsia"/>
          <w:sz w:val="24"/>
        </w:rPr>
        <w:t>划款指令中重要信息模糊不清或不全等。</w:t>
      </w:r>
    </w:p>
    <w:p w14:paraId="68BDBBB5" w14:textId="77777777" w:rsidR="000A7F8D" w:rsidRDefault="000A7F8D">
      <w:pPr>
        <w:adjustRightInd w:val="0"/>
        <w:snapToGrid w:val="0"/>
        <w:spacing w:line="360" w:lineRule="auto"/>
        <w:ind w:firstLineChars="200" w:firstLine="480"/>
        <w:rPr>
          <w:rFonts w:ascii="宋体" w:hAnsi="宋体" w:cs="宋体"/>
          <w:sz w:val="24"/>
        </w:rPr>
      </w:pPr>
      <w:bookmarkStart w:id="133" w:name="_Hlk8832507"/>
      <w:r>
        <w:rPr>
          <w:rFonts w:ascii="宋体" w:hAnsi="宋体" w:cs="宋体" w:hint="eastAsia"/>
          <w:sz w:val="24"/>
        </w:rPr>
        <w:t>基金管理人如需修改、撤销或停止执行已经发送的划款指令，应先与基金托管人电话联系。</w:t>
      </w:r>
      <w:proofErr w:type="gramStart"/>
      <w:r>
        <w:rPr>
          <w:rFonts w:ascii="宋体" w:hAnsi="宋体" w:cs="宋体" w:hint="eastAsia"/>
          <w:sz w:val="24"/>
        </w:rPr>
        <w:t>若基金</w:t>
      </w:r>
      <w:proofErr w:type="gramEnd"/>
      <w:r>
        <w:rPr>
          <w:rFonts w:ascii="宋体" w:hAnsi="宋体" w:cs="宋体" w:hint="eastAsia"/>
          <w:sz w:val="24"/>
        </w:rPr>
        <w:t>托管人还未执行，基金管理人应重新发送修改划款指令或在原划款指令上注明“停止执行”字样并由划款指令签署人员签名，基金托管人收到修改或停止执行的划款指令后，将按新划款指令执行；</w:t>
      </w:r>
      <w:proofErr w:type="gramStart"/>
      <w:r>
        <w:rPr>
          <w:rFonts w:ascii="宋体" w:hAnsi="宋体" w:cs="宋体" w:hint="eastAsia"/>
          <w:sz w:val="24"/>
        </w:rPr>
        <w:t>若基金</w:t>
      </w:r>
      <w:proofErr w:type="gramEnd"/>
      <w:r>
        <w:rPr>
          <w:rFonts w:ascii="宋体" w:hAnsi="宋体" w:cs="宋体" w:hint="eastAsia"/>
          <w:sz w:val="24"/>
        </w:rPr>
        <w:t>托管人已执行原划款指令，则应与基金管理人电话说明。</w:t>
      </w:r>
    </w:p>
    <w:p w14:paraId="51D6F0D6" w14:textId="77777777" w:rsidR="000A7F8D" w:rsidRDefault="000A7F8D">
      <w:pPr>
        <w:pStyle w:val="21"/>
        <w:snapToGrid w:val="0"/>
        <w:spacing w:after="0" w:line="360" w:lineRule="auto"/>
        <w:ind w:leftChars="0" w:left="0" w:firstLineChars="200" w:firstLine="480"/>
        <w:rPr>
          <w:rFonts w:cs="宋体"/>
        </w:rPr>
      </w:pPr>
      <w:r>
        <w:rPr>
          <w:rFonts w:ascii="宋体" w:hAnsi="宋体" w:cs="宋体" w:hint="eastAsia"/>
          <w:sz w:val="24"/>
        </w:rPr>
        <w:t>基金管理人的划款指令存在事实上未经授权、欺诈、伪造或未能及时提供授权通知等情形，基金托管人执行有关指令或拒绝执行有关指令而给基金管理人或</w:t>
      </w:r>
      <w:r w:rsidR="00FE0D17">
        <w:rPr>
          <w:rFonts w:ascii="宋体" w:hAnsi="宋体" w:cs="宋体" w:hint="eastAsia"/>
          <w:sz w:val="24"/>
        </w:rPr>
        <w:t>基金</w:t>
      </w:r>
      <w:r>
        <w:rPr>
          <w:rFonts w:ascii="宋体" w:hAnsi="宋体" w:cs="宋体" w:hint="eastAsia"/>
          <w:sz w:val="24"/>
        </w:rPr>
        <w:t>财产或任何第三</w:t>
      </w:r>
      <w:proofErr w:type="gramStart"/>
      <w:r>
        <w:rPr>
          <w:rFonts w:ascii="宋体" w:hAnsi="宋体" w:cs="宋体" w:hint="eastAsia"/>
          <w:sz w:val="24"/>
        </w:rPr>
        <w:t>方带来</w:t>
      </w:r>
      <w:proofErr w:type="gramEnd"/>
      <w:r>
        <w:rPr>
          <w:rFonts w:ascii="宋体" w:hAnsi="宋体" w:cs="宋体" w:hint="eastAsia"/>
          <w:sz w:val="24"/>
        </w:rPr>
        <w:t>的损失由基金管理人承担。</w:t>
      </w:r>
    </w:p>
    <w:bookmarkEnd w:id="133"/>
    <w:p w14:paraId="3DE212A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（五）基金托管人依照法律法规暂缓、拒绝执行指令的情形和处理程序</w:t>
      </w:r>
    </w:p>
    <w:p w14:paraId="24F2E431" w14:textId="77777777" w:rsidR="000A7F8D" w:rsidRDefault="000A7F8D">
      <w:pPr>
        <w:adjustRightInd w:val="0"/>
        <w:snapToGrid w:val="0"/>
        <w:spacing w:line="360" w:lineRule="auto"/>
        <w:ind w:firstLine="480"/>
        <w:rPr>
          <w:rFonts w:ascii="宋体" w:hAnsi="宋体" w:cs="Arial"/>
          <w:sz w:val="24"/>
        </w:rPr>
      </w:pPr>
      <w:proofErr w:type="gramStart"/>
      <w:r>
        <w:rPr>
          <w:rFonts w:ascii="宋体" w:hAnsi="宋体" w:cs="Arial" w:hint="eastAsia"/>
          <w:sz w:val="24"/>
        </w:rPr>
        <w:t>若基金</w:t>
      </w:r>
      <w:proofErr w:type="gramEnd"/>
      <w:r>
        <w:rPr>
          <w:rFonts w:ascii="宋体" w:hAnsi="宋体" w:cs="Arial" w:hint="eastAsia"/>
          <w:sz w:val="24"/>
        </w:rPr>
        <w:t>托管人发现基金管理人的指令违反法律、行政法规和其他有关规定，或者违反基金合同约定的，应当</w:t>
      </w:r>
      <w:r w:rsidR="0047491D">
        <w:rPr>
          <w:rFonts w:ascii="宋体" w:hAnsi="宋体" w:cs="Arial" w:hint="eastAsia"/>
          <w:sz w:val="24"/>
        </w:rPr>
        <w:t>视情况暂缓或</w:t>
      </w:r>
      <w:r>
        <w:rPr>
          <w:rFonts w:ascii="宋体" w:hAnsi="宋体" w:cs="Arial" w:hint="eastAsia"/>
          <w:sz w:val="24"/>
        </w:rPr>
        <w:t>拒绝执行，立即通知基金管理人。</w:t>
      </w:r>
    </w:p>
    <w:p w14:paraId="1528FCE0"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（六）基金托管人未按照基金管理人指令执行的处理方法</w:t>
      </w:r>
    </w:p>
    <w:p w14:paraId="6079E56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对于基金管理人发送的合法、有效指令，基金托管人由于自身原因，未按照基金管理人发送的指令执行，</w:t>
      </w:r>
      <w:r>
        <w:rPr>
          <w:rFonts w:ascii="宋体" w:hAnsi="宋体" w:hint="eastAsia"/>
          <w:sz w:val="24"/>
        </w:rPr>
        <w:t>应在发现后及时采取措施予以弥补；</w:t>
      </w:r>
      <w:r>
        <w:rPr>
          <w:rFonts w:ascii="宋体" w:hAnsi="宋体" w:cs="Arial" w:hint="eastAsia"/>
          <w:sz w:val="24"/>
        </w:rPr>
        <w:t>若对基金管理人、基金财产或投资人造成直接损失的，由基金托管人</w:t>
      </w:r>
      <w:r>
        <w:rPr>
          <w:rFonts w:ascii="宋体" w:hAnsi="宋体" w:hint="eastAsia"/>
          <w:sz w:val="24"/>
        </w:rPr>
        <w:t>赔偿由此造成的直接损失。</w:t>
      </w:r>
    </w:p>
    <w:p w14:paraId="3F61A96F"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（七）其他事项</w:t>
      </w:r>
    </w:p>
    <w:p w14:paraId="20ADD015"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托管人在接收指令时，应对指令的要素是否齐全、印鉴与被授权人是否与预留的授权文件内容相符进行检查，如发现问题，应及时报告基金管理人，基金托管人对执行基金管理人的合法指令对基金财产造成的损失不承担赔偿责任。</w:t>
      </w:r>
    </w:p>
    <w:p w14:paraId="4714776A" w14:textId="77777777" w:rsidR="000A7F8D" w:rsidRDefault="000A7F8D">
      <w:pPr>
        <w:adjustRightInd w:val="0"/>
        <w:snapToGrid w:val="0"/>
        <w:spacing w:line="360" w:lineRule="auto"/>
        <w:ind w:firstLineChars="200" w:firstLine="480"/>
        <w:jc w:val="left"/>
        <w:rPr>
          <w:rFonts w:ascii="宋体" w:hAnsi="宋体" w:cs="Arial"/>
          <w:sz w:val="24"/>
        </w:rPr>
      </w:pPr>
      <w:r>
        <w:rPr>
          <w:rFonts w:ascii="宋体" w:hAnsi="宋体" w:cs="Arial" w:hint="eastAsia"/>
          <w:sz w:val="24"/>
        </w:rPr>
        <w:t>基金参与认购未上市债券时，基金管理人应代表本基金与对手方签署相关合同或协议，明确约定债券过户具体事宜。否则，基金管理人需对所认购债券的过户事宜承担相应责任。</w:t>
      </w:r>
    </w:p>
    <w:p w14:paraId="773609C7" w14:textId="77777777" w:rsidR="000A7F8D" w:rsidRDefault="000A7F8D">
      <w:pPr>
        <w:adjustRightInd w:val="0"/>
        <w:snapToGrid w:val="0"/>
        <w:spacing w:line="360" w:lineRule="auto"/>
        <w:ind w:firstLine="480"/>
        <w:rPr>
          <w:rFonts w:ascii="宋体" w:hAnsi="宋体" w:cs="Arial"/>
          <w:sz w:val="24"/>
        </w:rPr>
      </w:pPr>
      <w:r>
        <w:rPr>
          <w:rFonts w:ascii="宋体" w:hAnsi="宋体" w:hint="eastAsia"/>
          <w:sz w:val="24"/>
        </w:rPr>
        <w:t>指令正本由基金管理人保管，基金托管人保管</w:t>
      </w:r>
      <w:r>
        <w:rPr>
          <w:rFonts w:ascii="宋体" w:hAnsi="宋体" w:cs="宋体" w:hint="eastAsia"/>
          <w:sz w:val="24"/>
        </w:rPr>
        <w:t>收到的划款指令文件</w:t>
      </w:r>
      <w:r>
        <w:rPr>
          <w:rFonts w:ascii="宋体" w:hAnsi="宋体" w:hint="eastAsia"/>
          <w:sz w:val="24"/>
        </w:rPr>
        <w:t>。当两者不一致时，以基金托管人收到的</w:t>
      </w:r>
      <w:r>
        <w:rPr>
          <w:rFonts w:ascii="宋体" w:hAnsi="宋体" w:cs="宋体" w:hint="eastAsia"/>
          <w:sz w:val="24"/>
        </w:rPr>
        <w:t>划款指令文件</w:t>
      </w:r>
      <w:r>
        <w:rPr>
          <w:rFonts w:ascii="宋体" w:hAnsi="宋体" w:hint="eastAsia"/>
          <w:sz w:val="24"/>
        </w:rPr>
        <w:t>为准</w:t>
      </w:r>
      <w:r>
        <w:rPr>
          <w:rFonts w:ascii="宋体" w:hAnsi="宋体" w:cs="Arial" w:hint="eastAsia"/>
          <w:sz w:val="24"/>
        </w:rPr>
        <w:t>。</w:t>
      </w:r>
    </w:p>
    <w:p w14:paraId="6F220330" w14:textId="77777777" w:rsidR="000A7F8D" w:rsidRDefault="000A7F8D">
      <w:pPr>
        <w:adjustRightInd w:val="0"/>
        <w:snapToGrid w:val="0"/>
        <w:spacing w:line="360" w:lineRule="auto"/>
        <w:ind w:firstLine="480"/>
        <w:rPr>
          <w:rFonts w:ascii="宋体" w:hAnsi="宋体" w:cs="Arial"/>
          <w:sz w:val="24"/>
        </w:rPr>
      </w:pPr>
    </w:p>
    <w:p w14:paraId="06E137DC"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134" w:name="_Toc295832642"/>
      <w:bookmarkStart w:id="135" w:name="_Toc295833680"/>
      <w:bookmarkStart w:id="136" w:name="_Toc295833009"/>
      <w:bookmarkStart w:id="137" w:name="_Toc295832949"/>
      <w:bookmarkStart w:id="138" w:name="_Toc84234437"/>
      <w:bookmarkStart w:id="139" w:name="_Toc86223245"/>
      <w:bookmarkStart w:id="140" w:name="_Toc86727358"/>
      <w:bookmarkStart w:id="141" w:name="_Toc120435786"/>
      <w:bookmarkStart w:id="142" w:name="_Toc118972651"/>
      <w:bookmarkStart w:id="143" w:name="_Toc108512361"/>
      <w:bookmarkStart w:id="144" w:name="_Toc84133788"/>
      <w:bookmarkStart w:id="145" w:name="_Toc110761799"/>
      <w:bookmarkStart w:id="146" w:name="_Toc118774806"/>
      <w:bookmarkStart w:id="147" w:name="_Toc86726442"/>
      <w:bookmarkStart w:id="148" w:name="_Toc110830495"/>
      <w:bookmarkStart w:id="149" w:name="_Toc86737932"/>
      <w:bookmarkStart w:id="150" w:name="_Toc89163371"/>
      <w:bookmarkStart w:id="151" w:name="_Toc84234390"/>
      <w:bookmarkStart w:id="152" w:name="_Toc86649725"/>
      <w:bookmarkStart w:id="153" w:name="_Toc124325891"/>
      <w:bookmarkStart w:id="154" w:name="_Toc110765663"/>
      <w:bookmarkStart w:id="155" w:name="_Toc86204791"/>
      <w:bookmarkStart w:id="156" w:name="_Toc86225294"/>
      <w:bookmarkStart w:id="157" w:name="_Toc450839473"/>
      <w:bookmarkStart w:id="158" w:name="_Toc118212953"/>
      <w:bookmarkStart w:id="159" w:name="_Toc119402713"/>
      <w:bookmarkStart w:id="160" w:name="_Toc270669858"/>
      <w:bookmarkEnd w:id="134"/>
      <w:bookmarkEnd w:id="135"/>
      <w:bookmarkEnd w:id="136"/>
      <w:bookmarkEnd w:id="137"/>
      <w:r>
        <w:rPr>
          <w:rFonts w:ascii="宋体" w:hAnsi="宋体" w:hint="eastAsia"/>
          <w:sz w:val="28"/>
          <w:szCs w:val="28"/>
        </w:rPr>
        <w:lastRenderedPageBreak/>
        <w:t>交易及清算交收安排</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928AA4C"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（一）选择证券、期货买卖的证券、期货经营机构</w:t>
      </w:r>
    </w:p>
    <w:p w14:paraId="7819E20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设计选择证券买卖的证券经营机构的标准和程序。基金管理人负责选择代理本基金证券买卖的证券经营机构，租用其交易单元作为基金的专用交易单元。基金管理人和被选中的证券经营机构签订委托协议，基金管理人应提前通知基金托管人。基金管理人应根据有关规定，在基金的中期报告和年度报告中将所选证券经营机构的有关情况、基金通过该证券经营机构买卖证券的成交量、回购成交量和支付的佣金等予以披露，并将上述情况及基金交易单元号、佣金费率等基本信息以及变更情况及时以书面形式通知基金托管人。因相关法律法规或交易规则的修改带来的变化以届时有效的法律法规和相关交易规则为准。</w:t>
      </w:r>
    </w:p>
    <w:p w14:paraId="1400034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5F8A7636"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（二）基金投资证券后的清算交收安排</w:t>
      </w:r>
    </w:p>
    <w:p w14:paraId="5DE5D107" w14:textId="77777777" w:rsidR="000A7F8D" w:rsidRDefault="000A7F8D">
      <w:pPr>
        <w:numPr>
          <w:ilvl w:val="0"/>
          <w:numId w:val="11"/>
        </w:numPr>
        <w:adjustRightInd w:val="0"/>
        <w:snapToGrid w:val="0"/>
        <w:spacing w:line="360" w:lineRule="auto"/>
        <w:rPr>
          <w:rFonts w:ascii="宋体" w:hAnsi="宋体" w:cs="Arial"/>
          <w:sz w:val="24"/>
        </w:rPr>
      </w:pPr>
      <w:r>
        <w:rPr>
          <w:rFonts w:ascii="宋体" w:hAnsi="宋体" w:cs="Arial" w:hint="eastAsia"/>
          <w:sz w:val="24"/>
        </w:rPr>
        <w:t>清算与交割</w:t>
      </w:r>
    </w:p>
    <w:p w14:paraId="5490EA75" w14:textId="77777777" w:rsidR="000A7F8D" w:rsidRDefault="000A7F8D">
      <w:pPr>
        <w:adjustRightInd w:val="0"/>
        <w:snapToGrid w:val="0"/>
        <w:spacing w:line="360" w:lineRule="auto"/>
        <w:ind w:firstLine="480"/>
        <w:rPr>
          <w:rFonts w:ascii="宋体" w:hAnsi="宋体" w:cs="Arial"/>
          <w:sz w:val="24"/>
        </w:rPr>
      </w:pPr>
      <w:r>
        <w:rPr>
          <w:rFonts w:ascii="宋体" w:hAnsi="宋体" w:hint="eastAsia"/>
          <w:sz w:val="24"/>
        </w:rPr>
        <w:t>根据中国证券登记结算有限责任公司的规定，中国证券登记结算有限责任公司对结算参与人的最低结算备付金和证券结算保证金限额每月进行重新核算、调整。</w:t>
      </w:r>
      <w:r w:rsidR="00D0642F">
        <w:rPr>
          <w:rFonts w:ascii="宋体" w:hAnsi="宋体" w:hint="eastAsia"/>
          <w:sz w:val="24"/>
        </w:rPr>
        <w:t>基金</w:t>
      </w:r>
      <w:r>
        <w:rPr>
          <w:rFonts w:ascii="宋体" w:hAnsi="宋体" w:hint="eastAsia"/>
          <w:sz w:val="24"/>
        </w:rPr>
        <w:t>托管人于每月初第六个工作日调整本</w:t>
      </w:r>
      <w:r w:rsidR="00FE0D17">
        <w:rPr>
          <w:rFonts w:ascii="宋体" w:hAnsi="宋体" w:hint="eastAsia"/>
          <w:sz w:val="24"/>
        </w:rPr>
        <w:t>基金</w:t>
      </w:r>
      <w:r>
        <w:rPr>
          <w:rFonts w:ascii="宋体" w:hAnsi="宋体" w:hint="eastAsia"/>
          <w:sz w:val="24"/>
        </w:rPr>
        <w:t>的最低结算备付金，于每月初第二个工作日调整本</w:t>
      </w:r>
      <w:r w:rsidR="00FE0D17">
        <w:rPr>
          <w:rFonts w:ascii="宋体" w:hAnsi="宋体" w:hint="eastAsia"/>
          <w:sz w:val="24"/>
        </w:rPr>
        <w:t>基金</w:t>
      </w:r>
      <w:r>
        <w:rPr>
          <w:rFonts w:ascii="宋体" w:hAnsi="宋体" w:hint="eastAsia"/>
          <w:sz w:val="24"/>
        </w:rPr>
        <w:t>的证券结算保证金。</w:t>
      </w:r>
      <w:r w:rsidR="00D0642F">
        <w:rPr>
          <w:rFonts w:ascii="宋体" w:hAnsi="宋体" w:hint="eastAsia"/>
          <w:sz w:val="24"/>
        </w:rPr>
        <w:t>基金</w:t>
      </w:r>
      <w:r>
        <w:rPr>
          <w:rFonts w:ascii="宋体" w:hAnsi="宋体" w:hint="eastAsia"/>
          <w:sz w:val="24"/>
        </w:rPr>
        <w:t>管理人应预留最低备付金和证券结算保证金，并根据中国证券登记结算有限责任公司确定的实际最低备付金和证券结算保证金数据为依据安排资金运作，调整所需的现金头寸。结算备付金和证券结算保证金应从</w:t>
      </w:r>
      <w:r w:rsidR="00D0642F">
        <w:rPr>
          <w:rFonts w:ascii="宋体" w:hAnsi="宋体" w:hint="eastAsia"/>
          <w:sz w:val="24"/>
        </w:rPr>
        <w:t>基金</w:t>
      </w:r>
      <w:r>
        <w:rPr>
          <w:rFonts w:ascii="宋体" w:hAnsi="宋体" w:hint="eastAsia"/>
          <w:sz w:val="24"/>
        </w:rPr>
        <w:t>财产中支出。因</w:t>
      </w:r>
      <w:r w:rsidR="00D0642F">
        <w:rPr>
          <w:rFonts w:ascii="宋体" w:hAnsi="宋体" w:hint="eastAsia"/>
          <w:sz w:val="24"/>
        </w:rPr>
        <w:t>基金</w:t>
      </w:r>
      <w:r>
        <w:rPr>
          <w:rFonts w:ascii="宋体" w:hAnsi="宋体" w:hint="eastAsia"/>
          <w:sz w:val="24"/>
        </w:rPr>
        <w:t>管理人未预留或未及时预留最低备付金和证券结算保证金导致</w:t>
      </w:r>
      <w:r w:rsidR="00D0642F">
        <w:rPr>
          <w:rFonts w:ascii="宋体" w:hAnsi="宋体" w:hint="eastAsia"/>
          <w:sz w:val="24"/>
        </w:rPr>
        <w:t>基金</w:t>
      </w:r>
      <w:r>
        <w:rPr>
          <w:rFonts w:ascii="宋体" w:hAnsi="宋体" w:hint="eastAsia"/>
          <w:sz w:val="24"/>
        </w:rPr>
        <w:t>财产损失的，由</w:t>
      </w:r>
      <w:r w:rsidR="00D0642F">
        <w:rPr>
          <w:rFonts w:ascii="宋体" w:hAnsi="宋体" w:hint="eastAsia"/>
          <w:sz w:val="24"/>
        </w:rPr>
        <w:t>基金</w:t>
      </w:r>
      <w:r>
        <w:rPr>
          <w:rFonts w:ascii="宋体" w:hAnsi="宋体" w:hint="eastAsia"/>
          <w:sz w:val="24"/>
        </w:rPr>
        <w:t>管理人承担责任。</w:t>
      </w:r>
    </w:p>
    <w:p w14:paraId="567F807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基金托管人负责基金买卖证券的清算交收。场内资金结算由基金托管人根据中国证券登记结算有限责任公司结算数据办理；场外资金汇划由基金托管人根据基金管理人的交易划款指令具体办理。</w:t>
      </w:r>
    </w:p>
    <w:p w14:paraId="746F4524" w14:textId="1BC28BA8"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如果因为基金托管人自身原因在清算上造成基金财产的损失，应由基金托管人负责赔偿；如果因为基金管理人未事先通知基金托管人增加交易单元等事宜，致使基金托管人接收数据不完整，造成清算差错的责任由基金管理人承担；如果</w:t>
      </w:r>
      <w:r>
        <w:rPr>
          <w:rFonts w:ascii="宋体" w:hAnsi="宋体" w:cs="Arial" w:hint="eastAsia"/>
          <w:sz w:val="24"/>
        </w:rPr>
        <w:lastRenderedPageBreak/>
        <w:t>因为基金管理人未事先通知需要单独结算的交易，造成基金资产损失的由基金管理人承担；如果由于基金管理人违反市场操作规则的规定进行超买、超卖等原因造成基金投资清算困难和风险的，基金托管人发现后应立即通知基金管理人，由基金管理人负责解决，由此给基金托管人、本基金</w:t>
      </w:r>
      <w:r w:rsidR="00412DB9">
        <w:rPr>
          <w:rFonts w:ascii="宋体" w:hAnsi="宋体" w:cs="Arial" w:hint="eastAsia"/>
          <w:sz w:val="24"/>
        </w:rPr>
        <w:t>和基金托管人托管的其他资产</w:t>
      </w:r>
      <w:r>
        <w:rPr>
          <w:rFonts w:ascii="宋体" w:hAnsi="宋体" w:cs="Arial" w:hint="eastAsia"/>
          <w:sz w:val="24"/>
        </w:rPr>
        <w:t>造成的直接损失由基金管理人承担。</w:t>
      </w:r>
    </w:p>
    <w:p w14:paraId="6BBC6AF7" w14:textId="47F2BCE1" w:rsidR="000A7F8D" w:rsidRDefault="000A7F8D">
      <w:pPr>
        <w:adjustRightInd w:val="0"/>
        <w:snapToGrid w:val="0"/>
        <w:spacing w:line="360" w:lineRule="auto"/>
        <w:ind w:firstLine="480"/>
        <w:rPr>
          <w:rFonts w:ascii="宋体" w:hAnsi="宋体" w:cs="宋体"/>
          <w:kern w:val="0"/>
          <w:sz w:val="24"/>
        </w:rPr>
      </w:pPr>
      <w:r>
        <w:rPr>
          <w:rFonts w:ascii="宋体" w:hAnsi="宋体" w:cs="宋体" w:hint="eastAsia"/>
          <w:kern w:val="0"/>
          <w:sz w:val="24"/>
        </w:rPr>
        <w:t>基金管理人应采取合理、必要措施，确保T日日终有足够的资金头寸完成 T+1日的投资交易资金结算；如因基金管理</w:t>
      </w:r>
      <w:proofErr w:type="gramStart"/>
      <w:r>
        <w:rPr>
          <w:rFonts w:ascii="宋体" w:hAnsi="宋体" w:cs="宋体" w:hint="eastAsia"/>
          <w:kern w:val="0"/>
          <w:sz w:val="24"/>
        </w:rPr>
        <w:t>人原因</w:t>
      </w:r>
      <w:proofErr w:type="gramEnd"/>
      <w:r>
        <w:rPr>
          <w:rFonts w:ascii="宋体" w:hAnsi="宋体" w:cs="宋体" w:hint="eastAsia"/>
          <w:kern w:val="0"/>
          <w:sz w:val="24"/>
        </w:rPr>
        <w:t>导致资金头寸不足，基金管理人应在T+1日上午10：00前补足透支款项，确保资金清算。如果未遵循上述规定备足资金头寸，影响基金资产的清算交收及基金托管人与中国证券登记结算有限责任公司之间的一级清算，由此给基金托管人</w:t>
      </w:r>
      <w:r w:rsidR="00412DB9">
        <w:rPr>
          <w:rFonts w:ascii="宋体" w:hAnsi="宋体" w:cs="宋体" w:hint="eastAsia"/>
          <w:kern w:val="0"/>
          <w:sz w:val="24"/>
        </w:rPr>
        <w:t>及其</w:t>
      </w:r>
      <w:r w:rsidR="00412DB9">
        <w:rPr>
          <w:rFonts w:ascii="宋体" w:hAnsi="宋体" w:cs="Arial" w:hint="eastAsia"/>
          <w:sz w:val="24"/>
        </w:rPr>
        <w:t>托管的其他资产</w:t>
      </w:r>
      <w:r>
        <w:rPr>
          <w:rFonts w:ascii="宋体" w:hAnsi="宋体" w:cs="宋体" w:hint="eastAsia"/>
          <w:kern w:val="0"/>
          <w:sz w:val="24"/>
        </w:rPr>
        <w:t>、基金资产造成的直接损失由基金管理人负责。</w:t>
      </w:r>
    </w:p>
    <w:p w14:paraId="36606D5B" w14:textId="77777777" w:rsidR="000A7F8D" w:rsidRDefault="000A7F8D">
      <w:pPr>
        <w:adjustRightInd w:val="0"/>
        <w:snapToGrid w:val="0"/>
        <w:spacing w:line="360" w:lineRule="auto"/>
        <w:ind w:firstLine="480"/>
        <w:rPr>
          <w:rFonts w:ascii="宋体" w:hAnsi="宋体" w:cs="宋体"/>
          <w:kern w:val="0"/>
          <w:sz w:val="24"/>
        </w:rPr>
      </w:pPr>
      <w:r>
        <w:rPr>
          <w:rFonts w:ascii="宋体" w:hAnsi="宋体" w:cs="宋体" w:hint="eastAsia"/>
          <w:kern w:val="0"/>
          <w:sz w:val="24"/>
        </w:rPr>
        <w:t>本基金参与T+0交易所非担保交收债券交易的，基金管理人应确保有足额头寸用于上述交易，并必须于T+0日14:00之前出具有效划款指令（含不履约申报申请），并确保指令要素（包括但不限于交收金额、成交编号）与实际交</w:t>
      </w:r>
      <w:proofErr w:type="gramStart"/>
      <w:r>
        <w:rPr>
          <w:rFonts w:ascii="宋体" w:hAnsi="宋体" w:cs="宋体" w:hint="eastAsia"/>
          <w:kern w:val="0"/>
          <w:sz w:val="24"/>
        </w:rPr>
        <w:t>收信息</w:t>
      </w:r>
      <w:proofErr w:type="gramEnd"/>
      <w:r>
        <w:rPr>
          <w:rFonts w:ascii="宋体" w:hAnsi="宋体" w:cs="宋体" w:hint="eastAsia"/>
          <w:kern w:val="0"/>
          <w:sz w:val="24"/>
        </w:rPr>
        <w:t>一致。如由</w:t>
      </w:r>
      <w:proofErr w:type="gramStart"/>
      <w:r>
        <w:rPr>
          <w:rFonts w:ascii="宋体" w:hAnsi="宋体" w:cs="宋体" w:hint="eastAsia"/>
          <w:kern w:val="0"/>
          <w:sz w:val="24"/>
        </w:rPr>
        <w:t>非基金</w:t>
      </w:r>
      <w:proofErr w:type="gramEnd"/>
      <w:r>
        <w:rPr>
          <w:rFonts w:ascii="宋体" w:hAnsi="宋体" w:cs="宋体" w:hint="eastAsia"/>
          <w:kern w:val="0"/>
          <w:sz w:val="24"/>
        </w:rPr>
        <w:t>托管人的原因导致T+0非担保交收失败，给基金托管人造成损失的，基金管理人应承担赔偿责任。</w:t>
      </w:r>
    </w:p>
    <w:p w14:paraId="2C501DFE"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基金管理人应保证基金托管人在执行基金管理人发送的划款指令时，基金银行账户或资金交收账户(</w:t>
      </w:r>
      <w:proofErr w:type="gramStart"/>
      <w:r>
        <w:rPr>
          <w:rFonts w:ascii="宋体" w:hAnsi="宋体" w:cs="Arial" w:hint="eastAsia"/>
          <w:sz w:val="24"/>
        </w:rPr>
        <w:t>除登记公司收保或</w:t>
      </w:r>
      <w:proofErr w:type="gramEnd"/>
      <w:r>
        <w:rPr>
          <w:rFonts w:ascii="宋体" w:hAnsi="宋体" w:cs="Arial" w:hint="eastAsia"/>
          <w:sz w:val="24"/>
        </w:rPr>
        <w:t>冻结资金外)上有充足的资金。基金的资金头寸不足时，基金托管人有权拒绝执行基金管理人发送的划款指令并同时通知基金管理人，</w:t>
      </w:r>
      <w:r>
        <w:rPr>
          <w:rFonts w:hint="eastAsia"/>
          <w:bCs/>
          <w:sz w:val="24"/>
          <w:szCs w:val="20"/>
        </w:rPr>
        <w:t>并视账户余额充足时为指令送达时间</w:t>
      </w:r>
      <w:r>
        <w:rPr>
          <w:rFonts w:ascii="宋体" w:hAnsi="宋体" w:cs="Arial" w:hint="eastAsia"/>
          <w:sz w:val="24"/>
        </w:rPr>
        <w:t>。基金管理人在发送划款指令时应充分考虑基金托管人的划款处理时间，一般为2个工作小时。在基金资金头寸充足的情况下，基金托管人对基金管理人符合法律法规、基金合同、本协议的指令不得拖延或拒绝执行。</w:t>
      </w:r>
    </w:p>
    <w:p w14:paraId="189B5C43" w14:textId="77777777" w:rsidR="000A7F8D" w:rsidRDefault="000A7F8D">
      <w:pPr>
        <w:spacing w:line="360" w:lineRule="auto"/>
        <w:ind w:firstLineChars="200" w:firstLine="480"/>
        <w:rPr>
          <w:rFonts w:ascii="宋体" w:hAnsi="宋体"/>
          <w:sz w:val="24"/>
        </w:rPr>
      </w:pPr>
      <w:r>
        <w:rPr>
          <w:rFonts w:ascii="宋体" w:hAnsi="宋体" w:cs="Arial" w:hint="eastAsia"/>
          <w:sz w:val="24"/>
        </w:rPr>
        <w:t>2、</w:t>
      </w:r>
      <w:r>
        <w:rPr>
          <w:rFonts w:ascii="宋体" w:hAnsi="宋体" w:hint="eastAsia"/>
          <w:sz w:val="24"/>
        </w:rPr>
        <w:t>港股</w:t>
      </w:r>
      <w:proofErr w:type="gramStart"/>
      <w:r>
        <w:rPr>
          <w:rFonts w:ascii="宋体" w:hAnsi="宋体" w:hint="eastAsia"/>
          <w:sz w:val="24"/>
        </w:rPr>
        <w:t>通交易</w:t>
      </w:r>
      <w:proofErr w:type="gramEnd"/>
      <w:r>
        <w:rPr>
          <w:rFonts w:ascii="宋体" w:hAnsi="宋体" w:hint="eastAsia"/>
          <w:sz w:val="24"/>
        </w:rPr>
        <w:t>清算（如有）</w:t>
      </w:r>
    </w:p>
    <w:p w14:paraId="1B2F38A7" w14:textId="77777777" w:rsidR="000A7F8D" w:rsidRDefault="000A7F8D">
      <w:pPr>
        <w:spacing w:line="360" w:lineRule="auto"/>
        <w:ind w:firstLineChars="200" w:firstLine="480"/>
        <w:rPr>
          <w:rFonts w:ascii="宋体" w:hAnsi="宋体"/>
          <w:sz w:val="24"/>
        </w:rPr>
      </w:pPr>
      <w:r>
        <w:rPr>
          <w:rFonts w:ascii="宋体" w:hAnsi="宋体" w:hint="eastAsia"/>
          <w:sz w:val="24"/>
        </w:rPr>
        <w:t>基金份额持有人和基金管理人认可中国结算按照香港结算的业务规则，与香港结算完成港股</w:t>
      </w:r>
      <w:proofErr w:type="gramStart"/>
      <w:r>
        <w:rPr>
          <w:rFonts w:ascii="宋体" w:hAnsi="宋体" w:hint="eastAsia"/>
          <w:sz w:val="24"/>
        </w:rPr>
        <w:t>通交易</w:t>
      </w:r>
      <w:proofErr w:type="gramEnd"/>
      <w:r>
        <w:rPr>
          <w:rFonts w:ascii="宋体" w:hAnsi="宋体" w:hint="eastAsia"/>
          <w:sz w:val="24"/>
        </w:rPr>
        <w:t>的证券和资金的交收。港股</w:t>
      </w:r>
      <w:proofErr w:type="gramStart"/>
      <w:r>
        <w:rPr>
          <w:rFonts w:ascii="宋体" w:hAnsi="宋体" w:hint="eastAsia"/>
          <w:sz w:val="24"/>
        </w:rPr>
        <w:t>通交易</w:t>
      </w:r>
      <w:proofErr w:type="gramEnd"/>
      <w:r>
        <w:rPr>
          <w:rFonts w:ascii="宋体" w:hAnsi="宋体" w:hint="eastAsia"/>
          <w:sz w:val="24"/>
        </w:rPr>
        <w:t>的境内结算由基金托管人通过中国结算根据相关业务规则组织完成。香港</w:t>
      </w:r>
      <w:proofErr w:type="gramStart"/>
      <w:r>
        <w:rPr>
          <w:rFonts w:ascii="宋体" w:hAnsi="宋体" w:hint="eastAsia"/>
          <w:sz w:val="24"/>
        </w:rPr>
        <w:t>结算因</w:t>
      </w:r>
      <w:proofErr w:type="gramEnd"/>
      <w:r>
        <w:rPr>
          <w:rFonts w:ascii="宋体" w:hAnsi="宋体" w:hint="eastAsia"/>
          <w:sz w:val="24"/>
        </w:rPr>
        <w:t>无法交付证券对中国结算实施现金结算的，中国结算参照香港结算的处理原则进行相应业务处理；香港结算发生破产而导致其未全部履行对中国结算的交</w:t>
      </w:r>
      <w:proofErr w:type="gramStart"/>
      <w:r>
        <w:rPr>
          <w:rFonts w:ascii="宋体" w:hAnsi="宋体" w:hint="eastAsia"/>
          <w:sz w:val="24"/>
        </w:rPr>
        <w:t>收义务</w:t>
      </w:r>
      <w:proofErr w:type="gramEnd"/>
      <w:r>
        <w:rPr>
          <w:rFonts w:ascii="宋体" w:hAnsi="宋体" w:hint="eastAsia"/>
          <w:sz w:val="24"/>
        </w:rPr>
        <w:t>的，由中国结算协助向香港结算追索，中国结算和基金托管人不承担由此产生的相关损失。</w:t>
      </w:r>
    </w:p>
    <w:p w14:paraId="7D9D2EFD" w14:textId="77777777" w:rsidR="000A7F8D" w:rsidRDefault="000A7F8D">
      <w:pPr>
        <w:spacing w:line="360" w:lineRule="auto"/>
        <w:ind w:firstLineChars="200" w:firstLine="480"/>
        <w:rPr>
          <w:rFonts w:ascii="宋体" w:hAnsi="宋体"/>
          <w:sz w:val="24"/>
        </w:rPr>
      </w:pPr>
      <w:r>
        <w:rPr>
          <w:rFonts w:ascii="宋体" w:hAnsi="宋体" w:hint="eastAsia"/>
          <w:sz w:val="24"/>
        </w:rPr>
        <w:lastRenderedPageBreak/>
        <w:t>港股</w:t>
      </w:r>
      <w:proofErr w:type="gramStart"/>
      <w:r>
        <w:rPr>
          <w:rFonts w:ascii="宋体" w:hAnsi="宋体" w:hint="eastAsia"/>
          <w:sz w:val="24"/>
        </w:rPr>
        <w:t>通交易</w:t>
      </w:r>
      <w:proofErr w:type="gramEnd"/>
      <w:r>
        <w:rPr>
          <w:rFonts w:ascii="宋体" w:hAnsi="宋体" w:hint="eastAsia"/>
          <w:sz w:val="24"/>
        </w:rPr>
        <w:t>各项业务的收付款时点按如下约定：</w:t>
      </w:r>
    </w:p>
    <w:p w14:paraId="12209553" w14:textId="77777777" w:rsidR="000A7F8D" w:rsidRDefault="000A7F8D">
      <w:pPr>
        <w:spacing w:line="360" w:lineRule="auto"/>
        <w:ind w:firstLineChars="200" w:firstLine="480"/>
        <w:rPr>
          <w:rFonts w:ascii="宋体" w:hAnsi="宋体"/>
          <w:sz w:val="24"/>
        </w:rPr>
      </w:pPr>
      <w:r>
        <w:rPr>
          <w:rFonts w:ascii="宋体" w:hAnsi="宋体" w:hint="eastAsia"/>
          <w:sz w:val="24"/>
        </w:rPr>
        <w:t>（1）交易资金</w:t>
      </w:r>
    </w:p>
    <w:p w14:paraId="070D5CE9" w14:textId="77777777" w:rsidR="000A7F8D" w:rsidRDefault="000A7F8D">
      <w:pPr>
        <w:spacing w:line="360" w:lineRule="auto"/>
        <w:ind w:firstLineChars="200" w:firstLine="480"/>
        <w:rPr>
          <w:rFonts w:ascii="宋体" w:hAnsi="宋体"/>
          <w:sz w:val="24"/>
        </w:rPr>
      </w:pPr>
      <w:r>
        <w:rPr>
          <w:rFonts w:ascii="宋体" w:hAnsi="宋体" w:hint="eastAsia"/>
          <w:sz w:val="24"/>
        </w:rPr>
        <w:t>基金托管人于港股</w:t>
      </w:r>
      <w:proofErr w:type="gramStart"/>
      <w:r>
        <w:rPr>
          <w:rFonts w:ascii="宋体" w:hAnsi="宋体" w:hint="eastAsia"/>
          <w:sz w:val="24"/>
        </w:rPr>
        <w:t>通交易</w:t>
      </w:r>
      <w:proofErr w:type="gramEnd"/>
      <w:r>
        <w:rPr>
          <w:rFonts w:ascii="宋体" w:hAnsi="宋体" w:hint="eastAsia"/>
          <w:sz w:val="24"/>
        </w:rPr>
        <w:t>日（T日），根据中国结算计算的资金清算数据，分别用以计算托管资产的应收或应付净额，形成托管资产当日交易清算结果。基金管理人原则</w:t>
      </w:r>
      <w:r>
        <w:rPr>
          <w:rFonts w:ascii="宋体" w:hAnsi="宋体"/>
          <w:sz w:val="24"/>
        </w:rPr>
        <w:t>上</w:t>
      </w:r>
      <w:r>
        <w:rPr>
          <w:rFonts w:ascii="宋体" w:hAnsi="宋体" w:hint="eastAsia"/>
          <w:sz w:val="24"/>
        </w:rPr>
        <w:t>应保证在港股</w:t>
      </w:r>
      <w:proofErr w:type="gramStart"/>
      <w:r>
        <w:rPr>
          <w:rFonts w:ascii="宋体" w:hAnsi="宋体" w:hint="eastAsia"/>
          <w:sz w:val="24"/>
        </w:rPr>
        <w:t>通交易</w:t>
      </w:r>
      <w:proofErr w:type="gramEnd"/>
      <w:r>
        <w:rPr>
          <w:rFonts w:ascii="宋体" w:hAnsi="宋体" w:hint="eastAsia"/>
          <w:sz w:val="24"/>
        </w:rPr>
        <w:t>日( T日)下一工作日（T+1日）</w:t>
      </w:r>
      <w:r>
        <w:rPr>
          <w:rFonts w:ascii="宋体" w:hAnsi="宋体"/>
          <w:sz w:val="24"/>
        </w:rPr>
        <w:t>9</w:t>
      </w:r>
      <w:r>
        <w:rPr>
          <w:rFonts w:ascii="宋体" w:hAnsi="宋体" w:hint="eastAsia"/>
          <w:sz w:val="24"/>
        </w:rPr>
        <w:t>：00前托管账户有足够的资金用于交易所的证券交易资金清算。对于T日港股</w:t>
      </w:r>
      <w:proofErr w:type="gramStart"/>
      <w:r>
        <w:rPr>
          <w:rFonts w:ascii="宋体" w:hAnsi="宋体" w:hint="eastAsia"/>
          <w:sz w:val="24"/>
        </w:rPr>
        <w:t>通交易</w:t>
      </w:r>
      <w:proofErr w:type="gramEnd"/>
      <w:r>
        <w:rPr>
          <w:rFonts w:ascii="宋体" w:hAnsi="宋体" w:hint="eastAsia"/>
          <w:sz w:val="24"/>
        </w:rPr>
        <w:t>清算结果为净应付的，基金托管人于T+1日扣收应付资金。对于T日港股</w:t>
      </w:r>
      <w:proofErr w:type="gramStart"/>
      <w:r>
        <w:rPr>
          <w:rFonts w:ascii="宋体" w:hAnsi="宋体" w:hint="eastAsia"/>
          <w:sz w:val="24"/>
        </w:rPr>
        <w:t>通交易</w:t>
      </w:r>
      <w:proofErr w:type="gramEnd"/>
      <w:r>
        <w:rPr>
          <w:rFonts w:ascii="宋体" w:hAnsi="宋体" w:hint="eastAsia"/>
          <w:sz w:val="24"/>
        </w:rPr>
        <w:t>的清算结果为净应收的，基金托管人于T+3日返还应收资金。</w:t>
      </w:r>
    </w:p>
    <w:p w14:paraId="26B1FC43" w14:textId="77777777" w:rsidR="000A7F8D" w:rsidRDefault="000A7F8D">
      <w:pPr>
        <w:spacing w:line="360" w:lineRule="auto"/>
        <w:ind w:firstLineChars="200" w:firstLine="480"/>
        <w:rPr>
          <w:rFonts w:ascii="宋体" w:hAnsi="宋体"/>
          <w:sz w:val="24"/>
        </w:rPr>
      </w:pPr>
      <w:r>
        <w:rPr>
          <w:rFonts w:ascii="宋体" w:hAnsi="宋体" w:hint="eastAsia"/>
          <w:sz w:val="24"/>
        </w:rPr>
        <w:t>（2）风控、红利/公司收购、证券组合费</w:t>
      </w:r>
    </w:p>
    <w:p w14:paraId="152750DD" w14:textId="77777777" w:rsidR="000A7F8D" w:rsidRDefault="000A7F8D">
      <w:pPr>
        <w:spacing w:line="360" w:lineRule="auto"/>
        <w:ind w:firstLineChars="200" w:firstLine="480"/>
        <w:rPr>
          <w:rFonts w:ascii="宋体" w:hAnsi="宋体"/>
          <w:sz w:val="24"/>
        </w:rPr>
      </w:pPr>
      <w:r>
        <w:rPr>
          <w:rFonts w:ascii="宋体" w:hAnsi="宋体" w:hint="eastAsia"/>
          <w:sz w:val="24"/>
        </w:rPr>
        <w:t>基金管理人应保证在T+1日上午9:00前托管账户有足够的资金，基金托管人于T+1日上午9:00扣收委托人的净应付资金，1</w:t>
      </w:r>
      <w:r>
        <w:rPr>
          <w:rFonts w:ascii="宋体" w:hAnsi="宋体"/>
          <w:sz w:val="24"/>
        </w:rPr>
        <w:t>4</w:t>
      </w:r>
      <w:r>
        <w:rPr>
          <w:rFonts w:ascii="宋体" w:hAnsi="宋体" w:hint="eastAsia"/>
          <w:sz w:val="24"/>
        </w:rPr>
        <w:t>:00前返还基金管理人的净应收资金。</w:t>
      </w:r>
    </w:p>
    <w:p w14:paraId="2055DC71" w14:textId="77777777" w:rsidR="000A7F8D" w:rsidRDefault="000A7F8D">
      <w:pPr>
        <w:spacing w:line="360" w:lineRule="auto"/>
        <w:ind w:firstLineChars="200" w:firstLine="480"/>
        <w:rPr>
          <w:rFonts w:ascii="宋体" w:hAnsi="宋体"/>
          <w:sz w:val="24"/>
        </w:rPr>
      </w:pPr>
      <w:r>
        <w:rPr>
          <w:rFonts w:ascii="宋体" w:hAnsi="宋体" w:hint="eastAsia"/>
          <w:sz w:val="24"/>
        </w:rPr>
        <w:t>基金托管人负责差额缴款、按金等</w:t>
      </w:r>
      <w:proofErr w:type="gramStart"/>
      <w:r>
        <w:rPr>
          <w:rFonts w:ascii="宋体" w:hAnsi="宋体" w:hint="eastAsia"/>
          <w:sz w:val="24"/>
        </w:rPr>
        <w:t>风控资金</w:t>
      </w:r>
      <w:proofErr w:type="gramEnd"/>
      <w:r>
        <w:rPr>
          <w:rFonts w:ascii="宋体" w:hAnsi="宋体" w:hint="eastAsia"/>
          <w:sz w:val="24"/>
        </w:rPr>
        <w:t>的合并计算，基金管理人应按照托管人的计算结果按时</w:t>
      </w:r>
      <w:proofErr w:type="gramStart"/>
      <w:r>
        <w:rPr>
          <w:rFonts w:ascii="宋体" w:hAnsi="宋体" w:hint="eastAsia"/>
          <w:sz w:val="24"/>
        </w:rPr>
        <w:t>缴纳风控资金</w:t>
      </w:r>
      <w:proofErr w:type="gramEnd"/>
      <w:r>
        <w:rPr>
          <w:rFonts w:ascii="宋体" w:hAnsi="宋体" w:hint="eastAsia"/>
          <w:sz w:val="24"/>
        </w:rPr>
        <w:t>。</w:t>
      </w:r>
    </w:p>
    <w:p w14:paraId="18F6B0B2" w14:textId="77777777" w:rsidR="000A7F8D" w:rsidRDefault="000A7F8D">
      <w:pPr>
        <w:spacing w:line="360" w:lineRule="auto"/>
        <w:ind w:firstLineChars="200" w:firstLine="480"/>
        <w:rPr>
          <w:rFonts w:ascii="宋体" w:hAnsi="宋体"/>
          <w:sz w:val="24"/>
        </w:rPr>
      </w:pPr>
      <w:r>
        <w:rPr>
          <w:rFonts w:ascii="宋体" w:hAnsi="宋体" w:hint="eastAsia"/>
          <w:sz w:val="24"/>
        </w:rPr>
        <w:t>（3）延迟交收</w:t>
      </w:r>
    </w:p>
    <w:p w14:paraId="4AE567BE" w14:textId="77777777" w:rsidR="000A7F8D" w:rsidRDefault="000A7F8D">
      <w:pPr>
        <w:spacing w:line="360" w:lineRule="auto"/>
        <w:ind w:firstLineChars="200" w:firstLine="480"/>
        <w:rPr>
          <w:rFonts w:ascii="宋体" w:hAnsi="宋体"/>
          <w:sz w:val="24"/>
        </w:rPr>
      </w:pPr>
      <w:r>
        <w:rPr>
          <w:rFonts w:ascii="宋体" w:hAnsi="宋体" w:hint="eastAsia"/>
          <w:sz w:val="24"/>
        </w:rPr>
        <w:t>对于遇恶劣天气等原因导致延迟交收时，若托管资产为净应付的，则仍按前述约定的时间进行扣收；若托管资产为净应收的，则交收时间视中国结算向托管人的支付情况确定。基金管理人应做好头寸管理，避免因延迟交收而导致的透支。</w:t>
      </w:r>
    </w:p>
    <w:p w14:paraId="5DC9BE03" w14:textId="77777777" w:rsidR="000A7F8D" w:rsidRDefault="000A7F8D">
      <w:pPr>
        <w:spacing w:line="360" w:lineRule="auto"/>
        <w:ind w:firstLineChars="200" w:firstLine="480"/>
        <w:rPr>
          <w:rFonts w:ascii="宋体" w:hAnsi="宋体"/>
          <w:sz w:val="24"/>
        </w:rPr>
      </w:pPr>
      <w:r>
        <w:rPr>
          <w:rFonts w:ascii="宋体" w:hAnsi="宋体" w:hint="eastAsia"/>
          <w:sz w:val="24"/>
        </w:rPr>
        <w:t>（4）违约处置</w:t>
      </w:r>
    </w:p>
    <w:p w14:paraId="1F8B58B3" w14:textId="77777777" w:rsidR="000A7F8D" w:rsidRDefault="000A7F8D">
      <w:pPr>
        <w:spacing w:line="360" w:lineRule="auto"/>
        <w:ind w:firstLineChars="200" w:firstLine="480"/>
        <w:rPr>
          <w:rFonts w:ascii="宋体" w:hAnsi="宋体"/>
          <w:sz w:val="24"/>
        </w:rPr>
      </w:pPr>
      <w:r>
        <w:rPr>
          <w:rFonts w:ascii="宋体" w:hAnsi="宋体" w:hint="eastAsia"/>
          <w:sz w:val="24"/>
        </w:rPr>
        <w:t>由于基金管理人或基金托管</w:t>
      </w:r>
      <w:proofErr w:type="gramStart"/>
      <w:r>
        <w:rPr>
          <w:rFonts w:ascii="宋体" w:hAnsi="宋体" w:hint="eastAsia"/>
          <w:sz w:val="24"/>
        </w:rPr>
        <w:t>人原因</w:t>
      </w:r>
      <w:proofErr w:type="gramEnd"/>
      <w:r>
        <w:rPr>
          <w:rFonts w:ascii="宋体" w:hAnsi="宋体" w:hint="eastAsia"/>
          <w:sz w:val="24"/>
        </w:rPr>
        <w:t>导致基金资金透支、超买或超卖等情形的，由责任方承担相应的责任。基金管理人同意在发生以上情形时，基金托管人有权按照中国结算的有关规定办理。</w:t>
      </w:r>
    </w:p>
    <w:p w14:paraId="3FD69C2D" w14:textId="77777777" w:rsidR="000A7F8D" w:rsidRDefault="00254E29">
      <w:pPr>
        <w:spacing w:line="360" w:lineRule="auto"/>
        <w:ind w:firstLineChars="200" w:firstLine="480"/>
        <w:rPr>
          <w:rFonts w:ascii="宋体" w:hAnsi="宋体"/>
          <w:sz w:val="24"/>
        </w:rPr>
      </w:pPr>
      <w:r>
        <w:rPr>
          <w:rFonts w:ascii="宋体" w:hAnsi="宋体" w:hint="eastAsia"/>
          <w:sz w:val="24"/>
        </w:rPr>
        <w:t>如因</w:t>
      </w:r>
      <w:r w:rsidR="000A7F8D">
        <w:rPr>
          <w:rFonts w:ascii="宋体" w:hAnsi="宋体" w:hint="eastAsia"/>
          <w:sz w:val="24"/>
        </w:rPr>
        <w:t>基金管理</w:t>
      </w:r>
      <w:proofErr w:type="gramStart"/>
      <w:r w:rsidR="000A7F8D">
        <w:rPr>
          <w:rFonts w:ascii="宋体" w:hAnsi="宋体" w:hint="eastAsia"/>
          <w:sz w:val="24"/>
        </w:rPr>
        <w:t>人</w:t>
      </w:r>
      <w:r>
        <w:rPr>
          <w:rFonts w:ascii="宋体" w:hAnsi="宋体" w:hint="eastAsia"/>
          <w:sz w:val="24"/>
        </w:rPr>
        <w:t>原因</w:t>
      </w:r>
      <w:proofErr w:type="gramEnd"/>
      <w:r w:rsidR="00924359">
        <w:rPr>
          <w:rFonts w:ascii="宋体" w:hAnsi="宋体" w:hint="eastAsia"/>
          <w:sz w:val="24"/>
        </w:rPr>
        <w:t>导致</w:t>
      </w:r>
      <w:r w:rsidR="000A7F8D">
        <w:rPr>
          <w:rFonts w:ascii="宋体" w:hAnsi="宋体" w:hint="eastAsia"/>
          <w:sz w:val="24"/>
        </w:rPr>
        <w:t>出现资金交收违约并造成基金托管人对中国结算违约的，基金管理人应将相当于交收违约金额的应收证券指定为暂不交付证券并由中国</w:t>
      </w:r>
      <w:proofErr w:type="gramStart"/>
      <w:r w:rsidR="000A7F8D">
        <w:rPr>
          <w:rFonts w:ascii="宋体" w:hAnsi="宋体" w:hint="eastAsia"/>
          <w:sz w:val="24"/>
        </w:rPr>
        <w:t>结算按</w:t>
      </w:r>
      <w:proofErr w:type="gramEnd"/>
      <w:r w:rsidR="000A7F8D">
        <w:rPr>
          <w:rFonts w:ascii="宋体" w:hAnsi="宋体" w:hint="eastAsia"/>
          <w:sz w:val="24"/>
        </w:rPr>
        <w:t>其业务规则进行处理，基金管理人未指定或指定不足的，中国结算和基金托管人有权以违约金额为限自行扣划，由此造成的风险、损失和责任，由基金管理人承担。基金管理人出现证券交收违约的，中国结算和基金托管人有权将相当于证券交收违约金额的资金暂不划付给基金管理人。</w:t>
      </w:r>
    </w:p>
    <w:p w14:paraId="27323953" w14:textId="77777777" w:rsidR="000A7F8D" w:rsidRDefault="000A7F8D">
      <w:pPr>
        <w:spacing w:line="360" w:lineRule="auto"/>
        <w:ind w:firstLineChars="200" w:firstLine="480"/>
        <w:rPr>
          <w:rFonts w:ascii="宋体" w:hAnsi="宋体"/>
          <w:sz w:val="24"/>
        </w:rPr>
      </w:pPr>
      <w:r>
        <w:rPr>
          <w:rFonts w:ascii="宋体" w:hAnsi="宋体" w:hint="eastAsia"/>
          <w:sz w:val="24"/>
        </w:rPr>
        <w:t>基金管理人知晓并认可，出于降低全市场资金成本的原因，中国结算可以依</w:t>
      </w:r>
      <w:r>
        <w:rPr>
          <w:rFonts w:ascii="宋体" w:hAnsi="宋体" w:hint="eastAsia"/>
          <w:sz w:val="24"/>
        </w:rPr>
        <w:lastRenderedPageBreak/>
        <w:t>照香港结算相关业务规则，将每日净卖出证券向香港结算提交作为交收担保品。</w:t>
      </w:r>
    </w:p>
    <w:p w14:paraId="4CCDE9DC" w14:textId="77777777" w:rsidR="000A7F8D" w:rsidRDefault="000A7F8D">
      <w:pPr>
        <w:spacing w:line="360" w:lineRule="auto"/>
        <w:ind w:firstLineChars="200" w:firstLine="480"/>
        <w:rPr>
          <w:rFonts w:ascii="宋体" w:hAnsi="宋体"/>
          <w:sz w:val="24"/>
        </w:rPr>
      </w:pPr>
      <w:r>
        <w:rPr>
          <w:rFonts w:ascii="宋体" w:hAnsi="宋体" w:hint="eastAsia"/>
          <w:sz w:val="24"/>
        </w:rPr>
        <w:t>（5）风险管理</w:t>
      </w:r>
    </w:p>
    <w:p w14:paraId="12918C6B" w14:textId="77777777" w:rsidR="000A7F8D" w:rsidRDefault="000A7F8D">
      <w:pPr>
        <w:spacing w:line="360" w:lineRule="auto"/>
        <w:ind w:firstLineChars="200" w:firstLine="480"/>
        <w:rPr>
          <w:rFonts w:ascii="宋体" w:hAnsi="宋体"/>
          <w:sz w:val="24"/>
        </w:rPr>
      </w:pPr>
      <w:r>
        <w:rPr>
          <w:rFonts w:ascii="宋体" w:hAnsi="宋体" w:hint="eastAsia"/>
          <w:sz w:val="24"/>
        </w:rPr>
        <w:t>根据中国结算公司要求，港股通业务上线的首三个交易日，因证券尚未完成交收或处于交收冻结状态，不能作为担保证券减免相应</w:t>
      </w:r>
      <w:proofErr w:type="gramStart"/>
      <w:r>
        <w:rPr>
          <w:rFonts w:ascii="宋体" w:hAnsi="宋体" w:hint="eastAsia"/>
          <w:sz w:val="24"/>
        </w:rPr>
        <w:t>的风控资金</w:t>
      </w:r>
      <w:proofErr w:type="gramEnd"/>
      <w:r>
        <w:rPr>
          <w:rFonts w:ascii="宋体" w:hAnsi="宋体" w:hint="eastAsia"/>
          <w:sz w:val="24"/>
        </w:rPr>
        <w:t>，因此资产托管产品需缴纳的</w:t>
      </w:r>
      <w:proofErr w:type="gramStart"/>
      <w:r>
        <w:rPr>
          <w:rFonts w:ascii="宋体" w:hAnsi="宋体" w:hint="eastAsia"/>
          <w:sz w:val="24"/>
        </w:rPr>
        <w:t>风控资金</w:t>
      </w:r>
      <w:proofErr w:type="gramEnd"/>
      <w:r>
        <w:rPr>
          <w:rFonts w:ascii="宋体" w:hAnsi="宋体" w:hint="eastAsia"/>
          <w:sz w:val="24"/>
        </w:rPr>
        <w:t>金额可能较大。</w:t>
      </w:r>
      <w:proofErr w:type="gramStart"/>
      <w:r>
        <w:rPr>
          <w:rFonts w:ascii="宋体" w:hAnsi="宋体" w:hint="eastAsia"/>
          <w:sz w:val="24"/>
        </w:rPr>
        <w:t>请基金</w:t>
      </w:r>
      <w:proofErr w:type="gramEnd"/>
      <w:r>
        <w:rPr>
          <w:rFonts w:ascii="宋体" w:hAnsi="宋体" w:hint="eastAsia"/>
          <w:sz w:val="24"/>
        </w:rPr>
        <w:t>管理人做好资金头寸安排，确保按时完成资金交收义务。</w:t>
      </w:r>
    </w:p>
    <w:p w14:paraId="74C4A322" w14:textId="77777777" w:rsidR="000A7F8D" w:rsidRDefault="000A7F8D">
      <w:pPr>
        <w:adjustRightInd w:val="0"/>
        <w:snapToGrid w:val="0"/>
        <w:spacing w:line="360" w:lineRule="auto"/>
        <w:ind w:firstLine="480"/>
        <w:rPr>
          <w:rFonts w:ascii="宋体" w:hAnsi="宋体" w:cs="Arial"/>
          <w:sz w:val="24"/>
        </w:rPr>
      </w:pPr>
      <w:r>
        <w:rPr>
          <w:rFonts w:ascii="宋体" w:hAnsi="宋体" w:hint="eastAsia"/>
          <w:sz w:val="24"/>
        </w:rPr>
        <w:t>人民币对港币的汇率应当以交易所或中国结算公告的价格为准。</w:t>
      </w:r>
    </w:p>
    <w:p w14:paraId="36B34D62" w14:textId="77777777" w:rsidR="000A7F8D" w:rsidRDefault="000A7F8D">
      <w:pPr>
        <w:adjustRightInd w:val="0"/>
        <w:snapToGrid w:val="0"/>
        <w:spacing w:line="360" w:lineRule="auto"/>
        <w:ind w:left="480"/>
        <w:rPr>
          <w:rFonts w:ascii="宋体" w:hAnsi="宋体" w:cs="Arial"/>
          <w:sz w:val="24"/>
        </w:rPr>
      </w:pPr>
      <w:r>
        <w:rPr>
          <w:rFonts w:ascii="宋体" w:hAnsi="宋体" w:cs="Arial" w:hint="eastAsia"/>
          <w:sz w:val="24"/>
        </w:rPr>
        <w:t>3.交易记录、资金和证券账目核对的时间和方式</w:t>
      </w:r>
    </w:p>
    <w:p w14:paraId="17AC7029" w14:textId="77777777" w:rsidR="000A7F8D" w:rsidRDefault="000A7F8D">
      <w:pPr>
        <w:adjustRightInd w:val="0"/>
        <w:snapToGrid w:val="0"/>
        <w:spacing w:line="360" w:lineRule="auto"/>
        <w:ind w:left="480"/>
        <w:rPr>
          <w:rFonts w:ascii="宋体" w:hAnsi="宋体" w:cs="Arial"/>
          <w:sz w:val="24"/>
        </w:rPr>
      </w:pPr>
      <w:r>
        <w:rPr>
          <w:rFonts w:ascii="宋体" w:hAnsi="宋体" w:cs="Arial" w:hint="eastAsia"/>
          <w:sz w:val="24"/>
        </w:rPr>
        <w:t>（1）交易记录的核对</w:t>
      </w:r>
    </w:p>
    <w:p w14:paraId="4D579A47"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基金管理人和基金托管人按日进行交易记录的核对。对外披露</w:t>
      </w:r>
      <w:r>
        <w:rPr>
          <w:rFonts w:hint="eastAsia"/>
          <w:sz w:val="24"/>
        </w:rPr>
        <w:t>各类基金份额</w:t>
      </w:r>
      <w:r>
        <w:rPr>
          <w:rFonts w:ascii="宋体" w:hAnsi="宋体" w:cs="Arial" w:hint="eastAsia"/>
          <w:sz w:val="24"/>
        </w:rPr>
        <w:t>净值之前，必须保证当天所有实际交易记录与基金会计账簿上的交易记录完全一致。如果实际交易记录与会计账簿记录不一致，造成基金会计核算不完整或不真实，由此导致的损失由基金管理人承担。</w:t>
      </w:r>
    </w:p>
    <w:p w14:paraId="34C67747" w14:textId="77777777" w:rsidR="000A7F8D" w:rsidRDefault="000A7F8D">
      <w:pPr>
        <w:adjustRightInd w:val="0"/>
        <w:snapToGrid w:val="0"/>
        <w:spacing w:line="360" w:lineRule="auto"/>
        <w:ind w:left="480"/>
        <w:rPr>
          <w:rFonts w:ascii="宋体" w:hAnsi="宋体" w:cs="Arial"/>
          <w:sz w:val="24"/>
        </w:rPr>
      </w:pPr>
      <w:r>
        <w:rPr>
          <w:rFonts w:ascii="宋体" w:hAnsi="宋体" w:cs="Arial" w:hint="eastAsia"/>
          <w:sz w:val="24"/>
        </w:rPr>
        <w:t>（2）资金账目的核对</w:t>
      </w:r>
    </w:p>
    <w:p w14:paraId="3CDA9E55"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资金账目由基金管理人与基金托管人按日核实，账实相符。</w:t>
      </w:r>
    </w:p>
    <w:p w14:paraId="29F8FDEB" w14:textId="77777777" w:rsidR="000A7F8D" w:rsidRDefault="000A7F8D">
      <w:pPr>
        <w:adjustRightInd w:val="0"/>
        <w:snapToGrid w:val="0"/>
        <w:spacing w:line="360" w:lineRule="auto"/>
        <w:ind w:left="480"/>
        <w:rPr>
          <w:rFonts w:ascii="宋体" w:hAnsi="宋体" w:cs="Arial"/>
          <w:sz w:val="24"/>
        </w:rPr>
      </w:pPr>
      <w:r>
        <w:rPr>
          <w:rFonts w:ascii="宋体" w:hAnsi="宋体" w:cs="Arial" w:hint="eastAsia"/>
          <w:sz w:val="24"/>
        </w:rPr>
        <w:t>（3）证券账目的核对</w:t>
      </w:r>
    </w:p>
    <w:p w14:paraId="5031EE7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基金管理人和基金托管人每交易日结束后核对基金证券账目，确保双方账目相符。</w:t>
      </w:r>
    </w:p>
    <w:p w14:paraId="26956F98" w14:textId="77777777" w:rsidR="000A7F8D" w:rsidRDefault="000A7F8D">
      <w:pPr>
        <w:numPr>
          <w:ilvl w:val="0"/>
          <w:numId w:val="12"/>
        </w:numPr>
        <w:adjustRightInd w:val="0"/>
        <w:snapToGrid w:val="0"/>
        <w:spacing w:line="360" w:lineRule="auto"/>
        <w:ind w:left="480"/>
        <w:rPr>
          <w:rFonts w:ascii="宋体" w:hAnsi="宋体" w:cs="Arial"/>
          <w:sz w:val="24"/>
        </w:rPr>
      </w:pPr>
      <w:r>
        <w:rPr>
          <w:rFonts w:ascii="宋体" w:hAnsi="宋体" w:cs="Arial" w:hint="eastAsia"/>
          <w:sz w:val="24"/>
        </w:rPr>
        <w:t>基金管理人和基金托管人每月月末核对实物证券账目。</w:t>
      </w:r>
    </w:p>
    <w:p w14:paraId="4DE6EE70" w14:textId="77777777" w:rsidR="000A7F8D" w:rsidRDefault="000A7F8D">
      <w:pPr>
        <w:adjustRightInd w:val="0"/>
        <w:snapToGrid w:val="0"/>
        <w:spacing w:line="360" w:lineRule="auto"/>
        <w:ind w:left="480"/>
        <w:rPr>
          <w:rFonts w:ascii="宋体" w:hAnsi="宋体" w:cs="Arial"/>
          <w:sz w:val="24"/>
        </w:rPr>
      </w:pPr>
      <w:r>
        <w:rPr>
          <w:rFonts w:ascii="宋体" w:hAnsi="宋体" w:cs="Arial" w:hint="eastAsia"/>
          <w:sz w:val="24"/>
        </w:rPr>
        <w:t>4.交易日历</w:t>
      </w:r>
      <w:proofErr w:type="gramStart"/>
      <w:r>
        <w:rPr>
          <w:rFonts w:ascii="宋体" w:hAnsi="宋体" w:cs="Arial" w:hint="eastAsia"/>
          <w:sz w:val="24"/>
        </w:rPr>
        <w:t>优化日</w:t>
      </w:r>
      <w:proofErr w:type="gramEnd"/>
      <w:r>
        <w:rPr>
          <w:rFonts w:ascii="宋体" w:hAnsi="宋体" w:cs="Arial" w:hint="eastAsia"/>
          <w:sz w:val="24"/>
        </w:rPr>
        <w:t>交易</w:t>
      </w:r>
    </w:p>
    <w:p w14:paraId="2F561ED2" w14:textId="480271A4"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本基金参与交易所新增港股</w:t>
      </w:r>
      <w:proofErr w:type="gramStart"/>
      <w:r>
        <w:rPr>
          <w:rFonts w:ascii="宋体" w:hAnsi="宋体" w:cs="Arial" w:hint="eastAsia"/>
          <w:sz w:val="24"/>
        </w:rPr>
        <w:t>通交易</w:t>
      </w:r>
      <w:proofErr w:type="gramEnd"/>
      <w:r>
        <w:rPr>
          <w:rFonts w:ascii="宋体" w:hAnsi="宋体" w:cs="Arial" w:hint="eastAsia"/>
          <w:sz w:val="24"/>
        </w:rPr>
        <w:t>日交易，基金管理人应当自行计算并足额准备新增港股</w:t>
      </w:r>
      <w:proofErr w:type="gramStart"/>
      <w:r>
        <w:rPr>
          <w:rFonts w:ascii="宋体" w:hAnsi="宋体" w:cs="Arial" w:hint="eastAsia"/>
          <w:sz w:val="24"/>
        </w:rPr>
        <w:t>通交易</w:t>
      </w:r>
      <w:proofErr w:type="gramEnd"/>
      <w:r>
        <w:rPr>
          <w:rFonts w:ascii="宋体" w:hAnsi="宋体" w:cs="Arial" w:hint="eastAsia"/>
          <w:sz w:val="24"/>
        </w:rPr>
        <w:t>日的应提前到账资金，并于交易当日16:30前通过本协议约定方式将划款指令发送至基金托管人。如因基金管理</w:t>
      </w:r>
      <w:proofErr w:type="gramStart"/>
      <w:r>
        <w:rPr>
          <w:rFonts w:ascii="宋体" w:hAnsi="宋体" w:cs="Arial" w:hint="eastAsia"/>
          <w:sz w:val="24"/>
        </w:rPr>
        <w:t>人原因</w:t>
      </w:r>
      <w:proofErr w:type="gramEnd"/>
      <w:r>
        <w:rPr>
          <w:rFonts w:ascii="宋体" w:hAnsi="宋体" w:cs="Arial" w:hint="eastAsia"/>
          <w:sz w:val="24"/>
        </w:rPr>
        <w:t>导致基金托管人在新增港股</w:t>
      </w:r>
      <w:proofErr w:type="gramStart"/>
      <w:r>
        <w:rPr>
          <w:rFonts w:ascii="宋体" w:hAnsi="宋体" w:cs="Arial" w:hint="eastAsia"/>
          <w:sz w:val="24"/>
        </w:rPr>
        <w:t>通交易</w:t>
      </w:r>
      <w:proofErr w:type="gramEnd"/>
      <w:r>
        <w:rPr>
          <w:rFonts w:ascii="宋体" w:hAnsi="宋体" w:cs="Arial" w:hint="eastAsia"/>
          <w:sz w:val="24"/>
        </w:rPr>
        <w:t>日未完成资金提前到账，由此给基金托管人</w:t>
      </w:r>
      <w:r w:rsidR="00412DB9">
        <w:rPr>
          <w:rFonts w:ascii="宋体" w:hAnsi="宋体" w:cs="Arial" w:hint="eastAsia"/>
          <w:sz w:val="24"/>
        </w:rPr>
        <w:t>及其托管的其他资产</w:t>
      </w:r>
      <w:r>
        <w:rPr>
          <w:rFonts w:ascii="宋体" w:hAnsi="宋体" w:cs="Arial" w:hint="eastAsia"/>
          <w:sz w:val="24"/>
        </w:rPr>
        <w:t>、本基金财产造成的损失由基金管理人承担。</w:t>
      </w:r>
    </w:p>
    <w:p w14:paraId="15E939DB"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（三）基金申购和赎回业务处理的基本规定</w:t>
      </w:r>
    </w:p>
    <w:p w14:paraId="2F5D38B0"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基金份额申购、赎回的确认、清算由基金管理人或其委托的登记机构负责。</w:t>
      </w:r>
    </w:p>
    <w:p w14:paraId="26547F45"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基金管理人应将每个开放日的申购、赎回、转换开放式基金的数据传送给基金托管人。基金管理人应对传递的申购、赎回、转换开放式基金的数据真实</w:t>
      </w:r>
      <w:r>
        <w:rPr>
          <w:rFonts w:ascii="宋体" w:hAnsi="宋体" w:cs="Arial" w:hint="eastAsia"/>
          <w:sz w:val="24"/>
        </w:rPr>
        <w:lastRenderedPageBreak/>
        <w:t>性负责。基金托管人应及时查收申购及转入资金的到账情况并根据基金管理人指令及时划付赎回及转出款项。</w:t>
      </w:r>
    </w:p>
    <w:p w14:paraId="12A350E9"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基金管理人应保证本基金（或本基金管理人委托）的登记机构每个工作日15:00前向基金托管人发送前一开放</w:t>
      </w:r>
      <w:proofErr w:type="gramStart"/>
      <w:r>
        <w:rPr>
          <w:rFonts w:ascii="宋体" w:hAnsi="宋体" w:cs="Arial" w:hint="eastAsia"/>
          <w:sz w:val="24"/>
        </w:rPr>
        <w:t>日上述</w:t>
      </w:r>
      <w:proofErr w:type="gramEnd"/>
      <w:r>
        <w:rPr>
          <w:rFonts w:ascii="宋体" w:hAnsi="宋体" w:cs="Arial" w:hint="eastAsia"/>
          <w:sz w:val="24"/>
        </w:rPr>
        <w:t>有关数据，并保证相关数据的准确、完整。</w:t>
      </w:r>
    </w:p>
    <w:p w14:paraId="1E63C221"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登记机构应通过与基金托管人建立的加密系统发送有关数据，如因各种原因，该系统无法正常发送，双方可协商解决处理方式。基金管理人向基金托管人发送的数据，双方各自按有关规定保存。</w:t>
      </w:r>
    </w:p>
    <w:p w14:paraId="741B2A67"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如基金管理人委托其他机构办理本基金的登记业务，应保证上述相关事宜按时进行。否则，由基金管理人承担相应的责任。</w:t>
      </w:r>
    </w:p>
    <w:p w14:paraId="51369705"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关于清算专用账户的设立和管理</w:t>
      </w:r>
    </w:p>
    <w:p w14:paraId="364C8058"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为满足申购、赎回及分红资金汇划的需要，由基金管理人开立资金清算的专用账户，该账户由登记机构管理。</w:t>
      </w:r>
    </w:p>
    <w:p w14:paraId="2FE48E88"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对于基金申购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14:paraId="6E3CB3B9"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赎回和分红资金划拨规定</w:t>
      </w:r>
    </w:p>
    <w:p w14:paraId="29C7A284"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拨付</w:t>
      </w:r>
      <w:proofErr w:type="gramStart"/>
      <w:r>
        <w:rPr>
          <w:rFonts w:ascii="宋体" w:hAnsi="宋体" w:cs="Arial" w:hint="eastAsia"/>
          <w:sz w:val="24"/>
        </w:rPr>
        <w:t>赎回款</w:t>
      </w:r>
      <w:proofErr w:type="gramEnd"/>
      <w:r>
        <w:rPr>
          <w:rFonts w:ascii="宋体" w:hAnsi="宋体" w:cs="Arial" w:hint="eastAsia"/>
          <w:sz w:val="24"/>
        </w:rPr>
        <w:t>或进行基金分红时，如基金资金账户有足够的资金，基金托管人应按时拨付；因基金资金账户没有足够的资金，导致基金托管人不能按时拨付，如系</w:t>
      </w:r>
      <w:proofErr w:type="gramStart"/>
      <w:r>
        <w:rPr>
          <w:rFonts w:ascii="宋体" w:hAnsi="宋体" w:cs="Arial" w:hint="eastAsia"/>
          <w:sz w:val="24"/>
        </w:rPr>
        <w:t>非基金</w:t>
      </w:r>
      <w:proofErr w:type="gramEnd"/>
      <w:r>
        <w:rPr>
          <w:rFonts w:ascii="宋体" w:hAnsi="宋体" w:cs="Arial" w:hint="eastAsia"/>
          <w:sz w:val="24"/>
        </w:rPr>
        <w:t>托管人的原因造成，基金托管人不承担垫款义务。</w:t>
      </w:r>
    </w:p>
    <w:p w14:paraId="6AB2616A" w14:textId="77777777" w:rsidR="000A7F8D" w:rsidRDefault="000A7F8D">
      <w:pPr>
        <w:numPr>
          <w:ilvl w:val="0"/>
          <w:numId w:val="13"/>
        </w:numPr>
        <w:adjustRightInd w:val="0"/>
        <w:snapToGrid w:val="0"/>
        <w:spacing w:line="360" w:lineRule="auto"/>
        <w:ind w:left="0" w:firstLine="480"/>
        <w:rPr>
          <w:rFonts w:ascii="宋体" w:hAnsi="宋体" w:cs="Arial"/>
          <w:sz w:val="24"/>
        </w:rPr>
      </w:pPr>
      <w:r>
        <w:rPr>
          <w:rFonts w:ascii="宋体" w:hAnsi="宋体" w:cs="Arial" w:hint="eastAsia"/>
          <w:sz w:val="24"/>
        </w:rPr>
        <w:t>资金指令</w:t>
      </w:r>
    </w:p>
    <w:p w14:paraId="585019F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除申购款项到达基金资金账户需双方按约定方式对账外，回购到期付款和与投资有关的付款、赎回和分红资金划拨时，基金管理人需向基金托管人下达指令。</w:t>
      </w:r>
    </w:p>
    <w:p w14:paraId="140004C0"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资金指令的格式、内容、发送、接收和确认方式等与投资指令相同。</w:t>
      </w:r>
    </w:p>
    <w:p w14:paraId="5FC2F731"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（四）</w:t>
      </w:r>
      <w:proofErr w:type="gramStart"/>
      <w:r>
        <w:rPr>
          <w:rFonts w:ascii="宋体" w:hAnsi="宋体" w:cs="Arial" w:hint="eastAsia"/>
          <w:sz w:val="24"/>
        </w:rPr>
        <w:t>申赎净额</w:t>
      </w:r>
      <w:proofErr w:type="gramEnd"/>
      <w:r>
        <w:rPr>
          <w:rFonts w:ascii="宋体" w:hAnsi="宋体" w:cs="Arial" w:hint="eastAsia"/>
          <w:sz w:val="24"/>
        </w:rPr>
        <w:t>结算</w:t>
      </w:r>
    </w:p>
    <w:p w14:paraId="5591EA8A" w14:textId="77777777" w:rsidR="000A7F8D" w:rsidRDefault="000A7F8D">
      <w:pPr>
        <w:adjustRightInd w:val="0"/>
        <w:snapToGrid w:val="0"/>
        <w:spacing w:before="50" w:after="50" w:line="360" w:lineRule="auto"/>
        <w:ind w:firstLine="480"/>
        <w:rPr>
          <w:rFonts w:ascii="宋体" w:hAnsi="宋体" w:cs="Arial"/>
          <w:sz w:val="24"/>
        </w:rPr>
      </w:pPr>
      <w:r>
        <w:rPr>
          <w:rFonts w:ascii="宋体" w:hAnsi="宋体" w:hint="eastAsia"/>
          <w:sz w:val="24"/>
        </w:rPr>
        <w:t>基金申购、赎回等款项采用</w:t>
      </w:r>
      <w:proofErr w:type="gramStart"/>
      <w:r>
        <w:rPr>
          <w:rFonts w:ascii="宋体" w:hAnsi="宋体" w:hint="eastAsia"/>
          <w:sz w:val="24"/>
        </w:rPr>
        <w:t>轧差交收</w:t>
      </w:r>
      <w:proofErr w:type="gramEnd"/>
      <w:r>
        <w:rPr>
          <w:rFonts w:ascii="宋体" w:hAnsi="宋体" w:hint="eastAsia"/>
          <w:sz w:val="24"/>
        </w:rPr>
        <w:t>的结算方式，</w:t>
      </w:r>
      <w:r w:rsidR="003E73E0">
        <w:rPr>
          <w:rFonts w:ascii="宋体" w:hAnsi="宋体" w:hint="eastAsia"/>
          <w:sz w:val="24"/>
        </w:rPr>
        <w:t>在</w:t>
      </w:r>
      <w:r>
        <w:rPr>
          <w:rFonts w:ascii="宋体" w:hAnsi="宋体" w:cs="Arial" w:hint="eastAsia"/>
          <w:sz w:val="24"/>
        </w:rPr>
        <w:t>基金托管账户与“注册登记清算账户”间</w:t>
      </w:r>
      <w:r w:rsidR="00217AE6">
        <w:rPr>
          <w:rFonts w:ascii="宋体" w:hAnsi="宋体" w:cs="Arial" w:hint="eastAsia"/>
          <w:sz w:val="24"/>
        </w:rPr>
        <w:t>进行</w:t>
      </w:r>
      <w:r>
        <w:rPr>
          <w:rFonts w:ascii="宋体" w:hAnsi="宋体" w:cs="Arial" w:hint="eastAsia"/>
          <w:sz w:val="24"/>
        </w:rPr>
        <w:t>交收。</w:t>
      </w:r>
    </w:p>
    <w:p w14:paraId="59DFA4DF" w14:textId="41DFDAEB" w:rsidR="000A7F8D" w:rsidRDefault="000A7F8D">
      <w:pPr>
        <w:spacing w:line="360" w:lineRule="auto"/>
        <w:ind w:firstLineChars="200" w:firstLine="480"/>
        <w:rPr>
          <w:rFonts w:ascii="宋体" w:hAnsi="宋体"/>
          <w:sz w:val="24"/>
        </w:rPr>
      </w:pPr>
      <w:r>
        <w:rPr>
          <w:rFonts w:ascii="宋体" w:hAnsi="宋体" w:cs="Arial" w:hint="eastAsia"/>
          <w:sz w:val="24"/>
        </w:rPr>
        <w:t>基金托管账户与“注册登记清算账户”间的资金清算遵循“</w:t>
      </w:r>
      <w:r w:rsidR="00F61A2A">
        <w:rPr>
          <w:rFonts w:ascii="宋体" w:hAnsi="宋体" w:cs="Arial" w:hint="eastAsia"/>
          <w:sz w:val="24"/>
        </w:rPr>
        <w:t>全</w:t>
      </w:r>
      <w:r>
        <w:rPr>
          <w:rFonts w:ascii="宋体" w:hAnsi="宋体" w:cs="Arial" w:hint="eastAsia"/>
          <w:sz w:val="24"/>
        </w:rPr>
        <w:t>额清算、净额</w:t>
      </w:r>
      <w:r>
        <w:rPr>
          <w:rFonts w:ascii="宋体" w:hAnsi="宋体" w:cs="Arial" w:hint="eastAsia"/>
          <w:sz w:val="24"/>
        </w:rPr>
        <w:lastRenderedPageBreak/>
        <w:t>交收”的原则，即按照托管账户</w:t>
      </w:r>
      <w:r w:rsidR="0068793C">
        <w:rPr>
          <w:rFonts w:ascii="宋体" w:hAnsi="宋体" w:cs="Arial" w:hint="eastAsia"/>
          <w:sz w:val="24"/>
        </w:rPr>
        <w:t>交</w:t>
      </w:r>
      <w:proofErr w:type="gramStart"/>
      <w:r w:rsidR="0068793C">
        <w:rPr>
          <w:rFonts w:ascii="宋体" w:hAnsi="宋体" w:cs="Arial" w:hint="eastAsia"/>
          <w:sz w:val="24"/>
        </w:rPr>
        <w:t>收日</w:t>
      </w:r>
      <w:r>
        <w:rPr>
          <w:rFonts w:ascii="宋体" w:hAnsi="宋体" w:cs="Arial" w:hint="eastAsia"/>
          <w:sz w:val="24"/>
        </w:rPr>
        <w:t>应收</w:t>
      </w:r>
      <w:proofErr w:type="gramEnd"/>
      <w:r>
        <w:rPr>
          <w:rFonts w:ascii="宋体" w:hAnsi="宋体" w:cs="Arial" w:hint="eastAsia"/>
          <w:sz w:val="24"/>
        </w:rPr>
        <w:t>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w:t>
      </w:r>
      <w:proofErr w:type="gramStart"/>
      <w:r w:rsidR="005535E8">
        <w:rPr>
          <w:rFonts w:ascii="宋体" w:hAnsi="宋体" w:cs="Arial" w:hint="eastAsia"/>
          <w:sz w:val="24"/>
        </w:rPr>
        <w:t>交收</w:t>
      </w:r>
      <w:r>
        <w:rPr>
          <w:rFonts w:ascii="宋体" w:hAnsi="宋体" w:cs="Arial" w:hint="eastAsia"/>
          <w:sz w:val="24"/>
        </w:rPr>
        <w:t>日</w:t>
      </w:r>
      <w:r w:rsidR="00F61A2A">
        <w:rPr>
          <w:rFonts w:ascii="宋体" w:hAnsi="宋体" w:cs="Arial" w:hint="eastAsia"/>
          <w:sz w:val="24"/>
        </w:rPr>
        <w:t>及时</w:t>
      </w:r>
      <w:proofErr w:type="gramEnd"/>
      <w:r>
        <w:rPr>
          <w:rFonts w:ascii="宋体" w:hAnsi="宋体" w:cs="Arial" w:hint="eastAsia"/>
          <w:sz w:val="24"/>
        </w:rPr>
        <w:t>从“注册登记清算账户”划到基金托管账户，基金托管人在资金到账后应</w:t>
      </w:r>
      <w:r>
        <w:rPr>
          <w:rFonts w:ascii="宋体" w:hAnsi="宋体" w:cs="Arial"/>
          <w:sz w:val="24"/>
        </w:rPr>
        <w:t>立即</w:t>
      </w:r>
      <w:r>
        <w:rPr>
          <w:rFonts w:ascii="宋体" w:hAnsi="宋体" w:cs="Arial" w:hint="eastAsia"/>
          <w:sz w:val="24"/>
        </w:rPr>
        <w:t>通知基金管理人进行账务处理；当存在托管账户净应付额时，基金管理人应在</w:t>
      </w:r>
      <w:proofErr w:type="gramStart"/>
      <w:r w:rsidR="007B6319">
        <w:rPr>
          <w:rFonts w:ascii="宋体" w:hAnsi="宋体" w:cs="Arial" w:hint="eastAsia"/>
          <w:sz w:val="24"/>
        </w:rPr>
        <w:t>交收</w:t>
      </w:r>
      <w:r>
        <w:rPr>
          <w:rFonts w:ascii="宋体" w:hAnsi="宋体" w:cs="Arial" w:hint="eastAsia"/>
          <w:sz w:val="24"/>
        </w:rPr>
        <w:t>日</w:t>
      </w:r>
      <w:r w:rsidR="00F61A2A">
        <w:rPr>
          <w:rFonts w:ascii="宋体" w:hAnsi="宋体" w:cs="Arial" w:hint="eastAsia"/>
          <w:sz w:val="24"/>
        </w:rPr>
        <w:t>及时</w:t>
      </w:r>
      <w:proofErr w:type="gramEnd"/>
      <w:r>
        <w:rPr>
          <w:rFonts w:ascii="宋体" w:hAnsi="宋体" w:cs="Arial" w:hint="eastAsia"/>
          <w:sz w:val="24"/>
        </w:rPr>
        <w:t>将划款指令发送给基金托管人，基金托管行按管理人的划款指令将托管账户净应付额在</w:t>
      </w:r>
      <w:proofErr w:type="gramStart"/>
      <w:r w:rsidR="00B46DFD">
        <w:rPr>
          <w:rFonts w:ascii="宋体" w:hAnsi="宋体" w:cs="Arial" w:hint="eastAsia"/>
          <w:sz w:val="24"/>
        </w:rPr>
        <w:t>交收日</w:t>
      </w:r>
      <w:r w:rsidR="00F61A2A">
        <w:rPr>
          <w:rFonts w:ascii="宋体" w:hAnsi="宋体" w:cs="Arial" w:hint="eastAsia"/>
          <w:sz w:val="24"/>
        </w:rPr>
        <w:t>及时</w:t>
      </w:r>
      <w:proofErr w:type="gramEnd"/>
      <w:r>
        <w:rPr>
          <w:rFonts w:ascii="宋体" w:hAnsi="宋体" w:cs="Arial" w:hint="eastAsia"/>
          <w:sz w:val="24"/>
        </w:rPr>
        <w:t>前划往“注册登记清算账户”，基金托管人在资金划出后</w:t>
      </w:r>
      <w:r>
        <w:rPr>
          <w:rFonts w:ascii="宋体" w:hAnsi="宋体" w:cs="Arial"/>
          <w:sz w:val="24"/>
        </w:rPr>
        <w:t>立即</w:t>
      </w:r>
      <w:r>
        <w:rPr>
          <w:rFonts w:ascii="宋体" w:hAnsi="宋体" w:cs="Arial" w:hint="eastAsia"/>
          <w:sz w:val="24"/>
        </w:rPr>
        <w:t>通知基金管理人进行账务处理。</w:t>
      </w:r>
    </w:p>
    <w:p w14:paraId="73C4D8B3" w14:textId="77777777" w:rsidR="000A7F8D" w:rsidRDefault="000A7F8D">
      <w:pPr>
        <w:spacing w:line="360" w:lineRule="auto"/>
        <w:ind w:firstLineChars="200" w:firstLine="480"/>
        <w:rPr>
          <w:rFonts w:ascii="宋体" w:hAnsi="宋体"/>
          <w:sz w:val="24"/>
        </w:rPr>
      </w:pPr>
      <w:r>
        <w:rPr>
          <w:rFonts w:ascii="宋体" w:hAnsi="宋体" w:hint="eastAsia"/>
          <w:sz w:val="24"/>
        </w:rPr>
        <w:t>如果</w:t>
      </w:r>
      <w:proofErr w:type="gramStart"/>
      <w:r w:rsidR="00B46DFD">
        <w:rPr>
          <w:rFonts w:ascii="宋体" w:hAnsi="宋体" w:hint="eastAsia"/>
          <w:sz w:val="24"/>
        </w:rPr>
        <w:t>交收日</w:t>
      </w:r>
      <w:r>
        <w:rPr>
          <w:rFonts w:ascii="宋体" w:hAnsi="宋体" w:hint="eastAsia"/>
          <w:sz w:val="24"/>
        </w:rPr>
        <w:t>基金</w:t>
      </w:r>
      <w:proofErr w:type="gramEnd"/>
      <w:r>
        <w:rPr>
          <w:rFonts w:ascii="宋体" w:hAnsi="宋体" w:hint="eastAsia"/>
          <w:sz w:val="24"/>
        </w:rPr>
        <w:t>为净应收款，基金管理人可以通过基金托管人提供的电子渠道查询到账情况，对于因基金管理人的原因造成资金未准时到账的情况，由此产生的责任应由基金管理人承担。</w:t>
      </w:r>
    </w:p>
    <w:p w14:paraId="61BA3520" w14:textId="77777777" w:rsidR="000A7F8D" w:rsidRDefault="000A7F8D">
      <w:pPr>
        <w:spacing w:line="360" w:lineRule="auto"/>
        <w:ind w:firstLineChars="200" w:firstLine="480"/>
        <w:rPr>
          <w:rFonts w:ascii="宋体" w:hAnsi="宋体"/>
          <w:sz w:val="24"/>
        </w:rPr>
      </w:pPr>
      <w:r>
        <w:rPr>
          <w:rFonts w:ascii="宋体" w:hAnsi="宋体" w:hint="eastAsia"/>
          <w:sz w:val="24"/>
        </w:rPr>
        <w:t>如果</w:t>
      </w:r>
      <w:proofErr w:type="gramStart"/>
      <w:r w:rsidR="00B46DFD">
        <w:rPr>
          <w:rFonts w:ascii="宋体" w:hAnsi="宋体" w:hint="eastAsia"/>
          <w:sz w:val="24"/>
        </w:rPr>
        <w:t>交收日</w:t>
      </w:r>
      <w:r>
        <w:rPr>
          <w:rFonts w:ascii="宋体" w:hAnsi="宋体" w:hint="eastAsia"/>
          <w:sz w:val="24"/>
        </w:rPr>
        <w:t>基金</w:t>
      </w:r>
      <w:proofErr w:type="gramEnd"/>
      <w:r>
        <w:rPr>
          <w:rFonts w:ascii="宋体" w:hAnsi="宋体" w:hint="eastAsia"/>
          <w:sz w:val="24"/>
        </w:rPr>
        <w:t>为净应付款，基金托管人应根据基金管理人的指令及时进行划付。对于因基金托管人的原因未准时划付的资金，基金管理人应及时通知基金托管人划付，由此产生的责任应由基金托管人承担。</w:t>
      </w:r>
    </w:p>
    <w:p w14:paraId="3F94EE42"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（五）基金转换</w:t>
      </w:r>
    </w:p>
    <w:p w14:paraId="4F852774" w14:textId="77777777" w:rsidR="000A7F8D" w:rsidRDefault="000A7F8D">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在本基金与基金管理人管理的其它基金开展转换业务之前，基金管理人应函告基金托管人并就相关事宜进行协商。</w:t>
      </w:r>
    </w:p>
    <w:p w14:paraId="42475FF0" w14:textId="77777777" w:rsidR="000A7F8D" w:rsidRDefault="000A7F8D">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基金托管人将根据基金管理人传送的基金转换数据进行账务处理。</w:t>
      </w:r>
    </w:p>
    <w:p w14:paraId="47384903" w14:textId="77777777" w:rsidR="000A7F8D" w:rsidRDefault="000A7F8D">
      <w:pPr>
        <w:numPr>
          <w:ilvl w:val="0"/>
          <w:numId w:val="14"/>
        </w:numPr>
        <w:adjustRightInd w:val="0"/>
        <w:snapToGrid w:val="0"/>
        <w:spacing w:line="360" w:lineRule="auto"/>
        <w:ind w:left="0" w:firstLine="480"/>
        <w:rPr>
          <w:rFonts w:ascii="宋体" w:hAnsi="宋体" w:cs="Arial"/>
          <w:sz w:val="24"/>
        </w:rPr>
      </w:pPr>
      <w:r>
        <w:rPr>
          <w:rFonts w:ascii="宋体" w:hAnsi="宋体" w:cs="Arial" w:hint="eastAsia"/>
          <w:sz w:val="24"/>
        </w:rPr>
        <w:t>本基金开展基金转换业务应按相关法律法规规定及基金合同的约定进行公告。</w:t>
      </w:r>
    </w:p>
    <w:p w14:paraId="5555D53A"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（六）基金现金分红</w:t>
      </w:r>
    </w:p>
    <w:p w14:paraId="58E1E371" w14:textId="77777777" w:rsidR="000A7F8D" w:rsidRDefault="000A7F8D">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基金管理人确定分红方案通知基金托管人，双方核定后依照《信息披露办法》的有关规定在中国证监会</w:t>
      </w:r>
      <w:r w:rsidR="00175FD9">
        <w:rPr>
          <w:rFonts w:ascii="宋体" w:hAnsi="宋体" w:cs="Arial" w:hint="eastAsia"/>
          <w:sz w:val="24"/>
        </w:rPr>
        <w:t>规定媒介</w:t>
      </w:r>
      <w:r>
        <w:rPr>
          <w:rFonts w:ascii="宋体" w:hAnsi="宋体" w:cs="Arial" w:hint="eastAsia"/>
          <w:sz w:val="24"/>
        </w:rPr>
        <w:t>上公告。</w:t>
      </w:r>
    </w:p>
    <w:p w14:paraId="6CDF49EE" w14:textId="77777777" w:rsidR="000A7F8D" w:rsidRDefault="000A7F8D">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基金托管人和基金管理人对基金分红进行账务处理并核对后，基金管理人向基金托管人发送现金红利的划款指令，基金托管人应及时将资金划入专用账户。</w:t>
      </w:r>
    </w:p>
    <w:p w14:paraId="4D240E2B" w14:textId="77777777" w:rsidR="000A7F8D" w:rsidRDefault="000A7F8D">
      <w:pPr>
        <w:numPr>
          <w:ilvl w:val="0"/>
          <w:numId w:val="15"/>
        </w:numPr>
        <w:adjustRightInd w:val="0"/>
        <w:snapToGrid w:val="0"/>
        <w:spacing w:line="360" w:lineRule="auto"/>
        <w:ind w:left="0" w:firstLine="480"/>
        <w:rPr>
          <w:rFonts w:ascii="宋体" w:hAnsi="宋体" w:cs="Arial"/>
          <w:sz w:val="24"/>
        </w:rPr>
      </w:pPr>
      <w:r>
        <w:rPr>
          <w:rFonts w:ascii="宋体" w:hAnsi="宋体" w:cs="Arial" w:hint="eastAsia"/>
          <w:sz w:val="24"/>
        </w:rPr>
        <w:t>基金管理人在下达指令时，应给基金托管人留出必需的划款时间。</w:t>
      </w:r>
    </w:p>
    <w:p w14:paraId="7B40783C"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（七）期货交易及清算交收</w:t>
      </w:r>
    </w:p>
    <w:p w14:paraId="73519639"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基金管理人所选择的期货公司或负责办理基金资产的期货交易的清算交割；</w:t>
      </w:r>
      <w:r>
        <w:rPr>
          <w:rFonts w:ascii="宋体" w:hAnsi="宋体" w:cs="Arial" w:hint="eastAsia"/>
          <w:sz w:val="24"/>
        </w:rPr>
        <w:lastRenderedPageBreak/>
        <w:t>基金管理人应责成其选择的期货公司对发送的数据的准确性、完整性、真实性负责。基金管理人、基金托管人以及期货公司应另行签署《期货投资托管操作备忘录》，约定基金资产在期货投资运作中的职责及义务。</w:t>
      </w:r>
    </w:p>
    <w:p w14:paraId="1BFCEF70" w14:textId="77777777" w:rsidR="000A7F8D" w:rsidRDefault="000A7F8D">
      <w:pPr>
        <w:pStyle w:val="1"/>
        <w:numPr>
          <w:ilvl w:val="0"/>
          <w:numId w:val="1"/>
        </w:numPr>
        <w:spacing w:line="360" w:lineRule="auto"/>
        <w:jc w:val="center"/>
        <w:rPr>
          <w:rFonts w:ascii="宋体" w:hAnsi="宋体"/>
          <w:sz w:val="28"/>
          <w:szCs w:val="28"/>
        </w:rPr>
      </w:pPr>
      <w:bookmarkStart w:id="161" w:name="_Toc421108277"/>
      <w:bookmarkStart w:id="162" w:name="_Toc421108278"/>
      <w:bookmarkEnd w:id="161"/>
      <w:bookmarkEnd w:id="162"/>
      <w:r>
        <w:rPr>
          <w:rFonts w:ascii="宋体" w:hAnsi="宋体" w:cs="Arial"/>
          <w:sz w:val="24"/>
          <w:szCs w:val="24"/>
        </w:rPr>
        <w:br w:type="page"/>
      </w:r>
      <w:bookmarkStart w:id="163" w:name="_Toc295832951"/>
      <w:bookmarkStart w:id="164" w:name="_Toc295833011"/>
      <w:bookmarkStart w:id="165" w:name="_Toc295832644"/>
      <w:bookmarkStart w:id="166" w:name="_Toc295833682"/>
      <w:bookmarkStart w:id="167" w:name="_Toc124325892"/>
      <w:bookmarkStart w:id="168" w:name="_Toc270669859"/>
      <w:bookmarkStart w:id="169" w:name="_Toc450839474"/>
      <w:bookmarkEnd w:id="163"/>
      <w:bookmarkEnd w:id="164"/>
      <w:bookmarkEnd w:id="165"/>
      <w:bookmarkEnd w:id="166"/>
      <w:r>
        <w:rPr>
          <w:rFonts w:ascii="宋体" w:hAnsi="宋体" w:hint="eastAsia"/>
          <w:sz w:val="28"/>
          <w:szCs w:val="28"/>
        </w:rPr>
        <w:lastRenderedPageBreak/>
        <w:t>基金资产净值计算和会计核算</w:t>
      </w:r>
      <w:bookmarkEnd w:id="167"/>
      <w:bookmarkEnd w:id="168"/>
      <w:bookmarkEnd w:id="169"/>
    </w:p>
    <w:p w14:paraId="517A505D"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（一）基金资产净值的计算、复核与完成的时间及程序</w:t>
      </w:r>
    </w:p>
    <w:p w14:paraId="5C69CDDC" w14:textId="77777777" w:rsidR="000A7F8D" w:rsidRDefault="000A7F8D">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基金资产净值</w:t>
      </w:r>
    </w:p>
    <w:p w14:paraId="620B551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基金资产净值是指基金资产总值减去基金负债后的价值。</w:t>
      </w:r>
    </w:p>
    <w:p w14:paraId="67CC9AAA" w14:textId="77777777" w:rsidR="000A7F8D" w:rsidRDefault="000A7F8D">
      <w:pPr>
        <w:adjustRightInd w:val="0"/>
        <w:snapToGrid w:val="0"/>
        <w:spacing w:line="360" w:lineRule="auto"/>
        <w:ind w:firstLineChars="200" w:firstLine="480"/>
        <w:rPr>
          <w:rFonts w:ascii="宋体" w:hAnsi="宋体" w:cs="Arial"/>
          <w:sz w:val="24"/>
        </w:rPr>
      </w:pPr>
      <w:r>
        <w:rPr>
          <w:rFonts w:hint="eastAsia"/>
          <w:bCs/>
          <w:sz w:val="24"/>
        </w:rPr>
        <w:t>各类</w:t>
      </w:r>
      <w:r>
        <w:rPr>
          <w:bCs/>
          <w:sz w:val="24"/>
        </w:rPr>
        <w:t>基金份额净值是按照每个</w:t>
      </w:r>
      <w:r>
        <w:rPr>
          <w:rFonts w:hint="eastAsia"/>
          <w:bCs/>
          <w:sz w:val="24"/>
        </w:rPr>
        <w:t>估值</w:t>
      </w:r>
      <w:r>
        <w:rPr>
          <w:bCs/>
          <w:sz w:val="24"/>
        </w:rPr>
        <w:t>日闭市后，</w:t>
      </w:r>
      <w:r>
        <w:rPr>
          <w:rFonts w:hint="eastAsia"/>
          <w:bCs/>
          <w:sz w:val="24"/>
        </w:rPr>
        <w:t>该类</w:t>
      </w:r>
      <w:r>
        <w:rPr>
          <w:bCs/>
          <w:sz w:val="24"/>
        </w:rPr>
        <w:t>基金资产净值除以当日</w:t>
      </w:r>
      <w:r>
        <w:rPr>
          <w:rFonts w:hint="eastAsia"/>
          <w:bCs/>
          <w:sz w:val="24"/>
        </w:rPr>
        <w:t>该类</w:t>
      </w:r>
      <w:r>
        <w:rPr>
          <w:bCs/>
          <w:sz w:val="24"/>
        </w:rPr>
        <w:t>基金份额的余额数量计算，</w:t>
      </w:r>
      <w:r>
        <w:rPr>
          <w:rFonts w:hint="eastAsia"/>
          <w:bCs/>
          <w:sz w:val="24"/>
        </w:rPr>
        <w:t>各类</w:t>
      </w:r>
      <w:r>
        <w:rPr>
          <w:bCs/>
          <w:sz w:val="24"/>
        </w:rPr>
        <w:t>基金份额净值</w:t>
      </w:r>
      <w:r>
        <w:rPr>
          <w:rFonts w:hint="eastAsia"/>
          <w:bCs/>
          <w:sz w:val="24"/>
        </w:rPr>
        <w:t>均</w:t>
      </w:r>
      <w:r>
        <w:rPr>
          <w:bCs/>
          <w:sz w:val="24"/>
        </w:rPr>
        <w:t>精确到</w:t>
      </w:r>
      <w:r>
        <w:rPr>
          <w:rFonts w:hint="eastAsia"/>
          <w:bCs/>
          <w:sz w:val="24"/>
        </w:rPr>
        <w:t>0.0001</w:t>
      </w:r>
      <w:r>
        <w:rPr>
          <w:bCs/>
          <w:sz w:val="24"/>
        </w:rPr>
        <w:t>元，小数点后第</w:t>
      </w:r>
      <w:r>
        <w:rPr>
          <w:rFonts w:hint="eastAsia"/>
          <w:bCs/>
          <w:sz w:val="24"/>
        </w:rPr>
        <w:t>5</w:t>
      </w:r>
      <w:r>
        <w:rPr>
          <w:bCs/>
          <w:sz w:val="24"/>
        </w:rPr>
        <w:t>位四舍五入</w:t>
      </w:r>
      <w:r w:rsidR="00E46124" w:rsidRPr="00E46124">
        <w:rPr>
          <w:rFonts w:hint="eastAsia"/>
          <w:bCs/>
          <w:sz w:val="24"/>
        </w:rPr>
        <w:t>，由此产生的误差计入基金财产</w:t>
      </w:r>
      <w:r>
        <w:rPr>
          <w:bCs/>
          <w:sz w:val="24"/>
        </w:rPr>
        <w:t>。</w:t>
      </w:r>
      <w:r w:rsidR="00E46124" w:rsidRPr="00E46124">
        <w:rPr>
          <w:rFonts w:hint="eastAsia"/>
          <w:bCs/>
          <w:sz w:val="24"/>
        </w:rPr>
        <w:t>特殊情况下，基金管理人可与基金托管人、登记机构协商增加各类基金份额净值计算位数，以维护基金投资人利益。基金管理人可以设立大额赎回情形下的净值精度应急调整机制。</w:t>
      </w:r>
      <w:r>
        <w:rPr>
          <w:bCs/>
          <w:sz w:val="24"/>
        </w:rPr>
        <w:t>国家另有规定的，从其规定。</w:t>
      </w:r>
      <w:r>
        <w:rPr>
          <w:rFonts w:hint="eastAsia"/>
          <w:bCs/>
          <w:sz w:val="24"/>
        </w:rPr>
        <w:t>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w:t>
      </w:r>
    </w:p>
    <w:p w14:paraId="2F564BE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基金管理人每个</w:t>
      </w:r>
      <w:r>
        <w:rPr>
          <w:rFonts w:hint="eastAsia"/>
          <w:bCs/>
          <w:sz w:val="24"/>
        </w:rPr>
        <w:t>估值</w:t>
      </w:r>
      <w:r>
        <w:rPr>
          <w:bCs/>
          <w:sz w:val="24"/>
        </w:rPr>
        <w:t>日</w:t>
      </w:r>
      <w:r>
        <w:rPr>
          <w:rFonts w:ascii="宋体" w:hAnsi="宋体" w:cs="Arial" w:hint="eastAsia"/>
          <w:sz w:val="24"/>
        </w:rPr>
        <w:t>计算基金资产净值及各类基金份额净值，经基金托管人复核，并按规定公告。</w:t>
      </w:r>
    </w:p>
    <w:p w14:paraId="1CAA4565" w14:textId="77777777" w:rsidR="000A7F8D" w:rsidRDefault="000A7F8D">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复核程序</w:t>
      </w:r>
    </w:p>
    <w:p w14:paraId="4B34E5D1"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基金管理人每</w:t>
      </w:r>
      <w:r>
        <w:rPr>
          <w:rFonts w:hint="eastAsia"/>
          <w:bCs/>
          <w:sz w:val="24"/>
        </w:rPr>
        <w:t>估值</w:t>
      </w:r>
      <w:r>
        <w:rPr>
          <w:bCs/>
          <w:sz w:val="24"/>
        </w:rPr>
        <w:t>日</w:t>
      </w:r>
      <w:r>
        <w:rPr>
          <w:rFonts w:ascii="宋体" w:hAnsi="宋体" w:cs="Arial" w:hint="eastAsia"/>
          <w:sz w:val="24"/>
        </w:rPr>
        <w:t>对基金资产进行估值后，将各类基金份额净值结果以双方约定的方式提交给基金托管人，经基金托管人复核无误后，以约定的方式将复核结果提交给基金管理人，由基金管理人依据基金合同和有关法律法规对外公布。</w:t>
      </w:r>
    </w:p>
    <w:p w14:paraId="4761709F" w14:textId="77777777" w:rsidR="000A7F8D" w:rsidRDefault="000A7F8D">
      <w:pPr>
        <w:numPr>
          <w:ilvl w:val="0"/>
          <w:numId w:val="16"/>
        </w:numPr>
        <w:adjustRightInd w:val="0"/>
        <w:snapToGrid w:val="0"/>
        <w:spacing w:line="360" w:lineRule="auto"/>
        <w:ind w:left="0" w:firstLine="480"/>
        <w:rPr>
          <w:rFonts w:ascii="宋体" w:hAnsi="宋体" w:cs="Arial"/>
          <w:sz w:val="24"/>
        </w:rPr>
      </w:pPr>
      <w:r>
        <w:rPr>
          <w:rFonts w:ascii="宋体" w:hAnsi="宋体" w:cs="Arial" w:hint="eastAsia"/>
          <w:sz w:val="24"/>
        </w:rPr>
        <w:t>根据有关法律法规，基金资产净值计算和基金会计核算的义务由基金管理人承担。本基金的基金会计责任方由基金管理人担任，</w:t>
      </w:r>
      <w:r w:rsidR="00E46124" w:rsidRPr="00E46124">
        <w:rPr>
          <w:rFonts w:ascii="宋体" w:hAnsi="宋体" w:cs="Arial" w:hint="eastAsia"/>
          <w:bCs/>
          <w:sz w:val="24"/>
        </w:rPr>
        <w:t>基金托管人承担复核责任</w:t>
      </w:r>
      <w:r w:rsidR="00E46124">
        <w:rPr>
          <w:rFonts w:ascii="宋体" w:hAnsi="宋体" w:cs="Arial" w:hint="eastAsia"/>
          <w:bCs/>
          <w:sz w:val="24"/>
        </w:rPr>
        <w:t>，</w:t>
      </w:r>
      <w:r>
        <w:rPr>
          <w:rFonts w:ascii="宋体" w:hAnsi="宋体" w:cs="Arial" w:hint="eastAsia"/>
          <w:sz w:val="24"/>
        </w:rPr>
        <w:t>因此，就与本基金有关的会计问题，如经相关各方在平等基础上充分讨论后，仍无法达成一致意见的，按照基金管理人对基金净值的计算结果对外予以公布。</w:t>
      </w:r>
    </w:p>
    <w:p w14:paraId="002A5A9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（二）基金资产估值方法和特殊情形的处理</w:t>
      </w:r>
    </w:p>
    <w:p w14:paraId="73E2B3CA" w14:textId="77777777" w:rsidR="000A7F8D" w:rsidRDefault="000A7F8D">
      <w:pPr>
        <w:numPr>
          <w:ilvl w:val="0"/>
          <w:numId w:val="17"/>
        </w:numPr>
        <w:adjustRightInd w:val="0"/>
        <w:snapToGrid w:val="0"/>
        <w:spacing w:line="360" w:lineRule="auto"/>
        <w:rPr>
          <w:rFonts w:ascii="宋体" w:hAnsi="宋体" w:cs="Arial"/>
          <w:sz w:val="24"/>
        </w:rPr>
      </w:pPr>
      <w:r>
        <w:rPr>
          <w:rFonts w:ascii="宋体" w:hAnsi="宋体" w:cs="Arial" w:hint="eastAsia"/>
          <w:sz w:val="24"/>
        </w:rPr>
        <w:t>估值对象</w:t>
      </w:r>
    </w:p>
    <w:p w14:paraId="5B183129" w14:textId="77777777" w:rsidR="000A7F8D" w:rsidRDefault="007162CE">
      <w:pPr>
        <w:adjustRightInd w:val="0"/>
        <w:snapToGrid w:val="0"/>
        <w:spacing w:line="360" w:lineRule="auto"/>
        <w:ind w:firstLineChars="200" w:firstLine="480"/>
        <w:rPr>
          <w:rFonts w:ascii="宋体" w:hAnsi="宋体" w:cs="Arial"/>
          <w:sz w:val="24"/>
        </w:rPr>
      </w:pPr>
      <w:r w:rsidRPr="007162CE">
        <w:rPr>
          <w:rFonts w:hint="eastAsia"/>
          <w:bCs/>
          <w:sz w:val="24"/>
        </w:rPr>
        <w:t>基金所拥有的股票、存托凭证、国债期货合约、股指期货合约、股票期权合约、债券和银行存款本息、应收款项、信用衍生品、资产支持证券、同业存单、其它投资等资产及负债。</w:t>
      </w:r>
    </w:p>
    <w:p w14:paraId="4A22E5F5" w14:textId="191997D9" w:rsidR="000A7F8D" w:rsidRDefault="000A7F8D">
      <w:pPr>
        <w:numPr>
          <w:ilvl w:val="0"/>
          <w:numId w:val="17"/>
        </w:numPr>
        <w:adjustRightInd w:val="0"/>
        <w:snapToGrid w:val="0"/>
        <w:spacing w:line="360" w:lineRule="auto"/>
        <w:rPr>
          <w:rFonts w:ascii="宋体" w:hAnsi="宋体" w:cs="Arial"/>
          <w:sz w:val="24"/>
        </w:rPr>
      </w:pPr>
      <w:r>
        <w:rPr>
          <w:rFonts w:ascii="宋体" w:hAnsi="宋体" w:cs="Arial" w:hint="eastAsia"/>
          <w:sz w:val="24"/>
        </w:rPr>
        <w:t>估值方法</w:t>
      </w:r>
    </w:p>
    <w:p w14:paraId="37DCCFB5" w14:textId="77777777" w:rsidR="000A0FE8" w:rsidRPr="00F25824" w:rsidRDefault="000A0FE8" w:rsidP="002D40B3">
      <w:pPr>
        <w:spacing w:line="360" w:lineRule="auto"/>
        <w:ind w:left="480"/>
        <w:rPr>
          <w:bCs/>
          <w:sz w:val="24"/>
        </w:rPr>
      </w:pPr>
      <w:r w:rsidRPr="00F25824">
        <w:rPr>
          <w:bCs/>
          <w:sz w:val="24"/>
        </w:rPr>
        <w:t>1</w:t>
      </w:r>
      <w:r w:rsidRPr="00F25824">
        <w:rPr>
          <w:bCs/>
          <w:sz w:val="24"/>
        </w:rPr>
        <w:t>、证券交易所上市的有价证券的估值</w:t>
      </w:r>
    </w:p>
    <w:p w14:paraId="2D191537" w14:textId="77777777" w:rsidR="000A0FE8" w:rsidRPr="00F25824" w:rsidRDefault="000A0FE8" w:rsidP="002D40B3">
      <w:pPr>
        <w:spacing w:line="360" w:lineRule="auto"/>
        <w:ind w:left="480"/>
        <w:rPr>
          <w:bCs/>
          <w:sz w:val="24"/>
        </w:rPr>
      </w:pPr>
      <w:r w:rsidRPr="00F25824">
        <w:rPr>
          <w:bCs/>
          <w:sz w:val="24"/>
        </w:rPr>
        <w:t>（</w:t>
      </w:r>
      <w:r w:rsidRPr="00F25824">
        <w:rPr>
          <w:bCs/>
          <w:sz w:val="24"/>
        </w:rPr>
        <w:t>1</w:t>
      </w:r>
      <w:r w:rsidRPr="00F25824">
        <w:rPr>
          <w:bCs/>
          <w:sz w:val="24"/>
        </w:rPr>
        <w:t>）交易所上市的有价证券（包括股票等），以其估值日在证券交易所挂</w:t>
      </w:r>
      <w:r w:rsidRPr="00F25824">
        <w:rPr>
          <w:bCs/>
          <w:sz w:val="24"/>
        </w:rPr>
        <w:lastRenderedPageBreak/>
        <w:t>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64FBD3E" w14:textId="77777777" w:rsidR="000A0FE8" w:rsidRPr="00F25824" w:rsidRDefault="000A0FE8" w:rsidP="002D40B3">
      <w:pPr>
        <w:spacing w:line="360" w:lineRule="auto"/>
        <w:ind w:left="480"/>
        <w:rPr>
          <w:bCs/>
          <w:sz w:val="24"/>
        </w:rPr>
      </w:pPr>
      <w:r w:rsidRPr="00F25824">
        <w:rPr>
          <w:bCs/>
          <w:sz w:val="24"/>
        </w:rPr>
        <w:t>（</w:t>
      </w:r>
      <w:r w:rsidRPr="00F25824">
        <w:rPr>
          <w:bCs/>
          <w:sz w:val="24"/>
        </w:rPr>
        <w:t>2</w:t>
      </w:r>
      <w:r w:rsidRPr="00F25824">
        <w:rPr>
          <w:bCs/>
          <w:sz w:val="24"/>
        </w:rPr>
        <w:t>）交易所上市交易或挂牌转让的固定收益品种（基金合同另有规定的除外），选取估值日第三方估值机构提供的相应品种当日的估值净价进行估值，具体估值机构由基金管理人与基金托管人另行协商约定；</w:t>
      </w:r>
    </w:p>
    <w:p w14:paraId="2C1BBA55" w14:textId="77777777" w:rsidR="000A0FE8" w:rsidRPr="00F25824" w:rsidRDefault="000A0FE8" w:rsidP="002D40B3">
      <w:pPr>
        <w:spacing w:line="360" w:lineRule="auto"/>
        <w:ind w:left="480"/>
        <w:rPr>
          <w:bCs/>
          <w:sz w:val="24"/>
        </w:rPr>
      </w:pPr>
      <w:r w:rsidRPr="00F25824">
        <w:rPr>
          <w:bCs/>
          <w:sz w:val="24"/>
        </w:rPr>
        <w:t>（</w:t>
      </w:r>
      <w:r w:rsidRPr="00F25824">
        <w:rPr>
          <w:bCs/>
          <w:sz w:val="24"/>
        </w:rPr>
        <w:t>3</w:t>
      </w:r>
      <w:r w:rsidRPr="00F25824">
        <w:rPr>
          <w:bCs/>
          <w:sz w:val="24"/>
        </w:rPr>
        <w:t>）交易所上市交易的可转换债券以每日收盘价作为估值全价；</w:t>
      </w:r>
    </w:p>
    <w:p w14:paraId="3EC81B4E" w14:textId="77777777" w:rsidR="000A0FE8" w:rsidRPr="00F25824" w:rsidRDefault="000A0FE8" w:rsidP="002D40B3">
      <w:pPr>
        <w:spacing w:line="360" w:lineRule="auto"/>
        <w:ind w:left="480"/>
        <w:rPr>
          <w:bCs/>
          <w:sz w:val="24"/>
        </w:rPr>
      </w:pPr>
      <w:r w:rsidRPr="00F25824">
        <w:rPr>
          <w:bCs/>
          <w:sz w:val="24"/>
        </w:rPr>
        <w:t>（</w:t>
      </w:r>
      <w:r w:rsidRPr="00F25824">
        <w:rPr>
          <w:bCs/>
          <w:sz w:val="24"/>
        </w:rPr>
        <w:t>4</w:t>
      </w:r>
      <w:r w:rsidRPr="00F25824">
        <w:rPr>
          <w:bCs/>
          <w:sz w:val="24"/>
        </w:rPr>
        <w:t>）交易所上市不存在活跃市场的有价证券，采用估值技术确定公允价值。交易所上市的资产支持证券，选取第三方估值机构于估值日当日提供的估值净价进行估值；</w:t>
      </w:r>
    </w:p>
    <w:p w14:paraId="1DCC63AB" w14:textId="77777777" w:rsidR="000A0FE8" w:rsidRPr="00F25824" w:rsidRDefault="000A0FE8" w:rsidP="002D40B3">
      <w:pPr>
        <w:spacing w:line="360" w:lineRule="auto"/>
        <w:ind w:left="480"/>
        <w:rPr>
          <w:bCs/>
          <w:sz w:val="24"/>
        </w:rPr>
      </w:pPr>
      <w:r w:rsidRPr="00F25824">
        <w:rPr>
          <w:bCs/>
          <w:sz w:val="24"/>
        </w:rPr>
        <w:t>（</w:t>
      </w:r>
      <w:r w:rsidRPr="00F25824">
        <w:rPr>
          <w:bCs/>
          <w:sz w:val="24"/>
        </w:rPr>
        <w:t>5</w:t>
      </w:r>
      <w:r w:rsidRPr="00F25824">
        <w:rPr>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451852EA" w14:textId="77777777" w:rsidR="000A0FE8" w:rsidRPr="00F25824" w:rsidRDefault="000A0FE8" w:rsidP="002D40B3">
      <w:pPr>
        <w:spacing w:line="360" w:lineRule="auto"/>
        <w:ind w:left="480"/>
        <w:rPr>
          <w:bCs/>
          <w:sz w:val="24"/>
        </w:rPr>
      </w:pPr>
      <w:r w:rsidRPr="00F25824">
        <w:rPr>
          <w:bCs/>
          <w:sz w:val="24"/>
        </w:rPr>
        <w:t>2</w:t>
      </w:r>
      <w:r w:rsidRPr="00F25824">
        <w:rPr>
          <w:bCs/>
          <w:sz w:val="24"/>
        </w:rPr>
        <w:t>、处于未上市期间的有价证券应区分如下情况处理：</w:t>
      </w:r>
    </w:p>
    <w:p w14:paraId="5131B2E6" w14:textId="77777777" w:rsidR="000A0FE8" w:rsidRPr="00F25824" w:rsidRDefault="000A0FE8" w:rsidP="002D40B3">
      <w:pPr>
        <w:spacing w:line="360" w:lineRule="auto"/>
        <w:ind w:left="480"/>
        <w:rPr>
          <w:bCs/>
          <w:sz w:val="24"/>
        </w:rPr>
      </w:pPr>
      <w:r w:rsidRPr="00F25824">
        <w:rPr>
          <w:bCs/>
          <w:sz w:val="24"/>
        </w:rPr>
        <w:t>（</w:t>
      </w:r>
      <w:r w:rsidRPr="00F25824">
        <w:rPr>
          <w:bCs/>
          <w:sz w:val="24"/>
        </w:rPr>
        <w:t>1</w:t>
      </w:r>
      <w:r w:rsidRPr="00F25824">
        <w:rPr>
          <w:bCs/>
          <w:sz w:val="24"/>
        </w:rPr>
        <w:t>）送股、转增股、配股和公开增发的新股，按估值日在证券交易所挂牌的同一股票的估值方法估值；该日无交易的，以最近一日的市价（收盘价）估值；</w:t>
      </w:r>
    </w:p>
    <w:p w14:paraId="7AA8FDDD" w14:textId="7265DB02" w:rsidR="000A0FE8" w:rsidRPr="00F25824" w:rsidRDefault="000A0FE8" w:rsidP="002D40B3">
      <w:pPr>
        <w:spacing w:line="360" w:lineRule="auto"/>
        <w:ind w:left="480"/>
        <w:rPr>
          <w:bCs/>
          <w:sz w:val="24"/>
        </w:rPr>
      </w:pPr>
      <w:r w:rsidRPr="00F25824">
        <w:rPr>
          <w:bCs/>
          <w:sz w:val="24"/>
        </w:rPr>
        <w:t>（</w:t>
      </w:r>
      <w:r w:rsidRPr="00F25824">
        <w:rPr>
          <w:bCs/>
          <w:sz w:val="24"/>
        </w:rPr>
        <w:t>2</w:t>
      </w:r>
      <w:r w:rsidRPr="00F25824">
        <w:rPr>
          <w:bCs/>
          <w:sz w:val="24"/>
        </w:rPr>
        <w:t>）首次公开发行未上市的股票、债券，采用估值技术确定公允价值；</w:t>
      </w:r>
    </w:p>
    <w:p w14:paraId="401FFF19" w14:textId="77777777" w:rsidR="000A0FE8" w:rsidRPr="00F25824" w:rsidRDefault="000A0FE8" w:rsidP="002D40B3">
      <w:pPr>
        <w:spacing w:line="360" w:lineRule="auto"/>
        <w:ind w:left="480"/>
        <w:rPr>
          <w:bCs/>
          <w:sz w:val="24"/>
        </w:rPr>
      </w:pPr>
      <w:r w:rsidRPr="00F25824">
        <w:rPr>
          <w:bCs/>
          <w:sz w:val="24"/>
        </w:rPr>
        <w:t>（</w:t>
      </w:r>
      <w:r w:rsidRPr="00F25824">
        <w:rPr>
          <w:bCs/>
          <w:sz w:val="24"/>
        </w:rPr>
        <w:t>3</w:t>
      </w:r>
      <w:r w:rsidRPr="00F25824">
        <w:rPr>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F25824">
        <w:rPr>
          <w:bCs/>
          <w:sz w:val="24"/>
        </w:rPr>
        <w:t>券</w:t>
      </w:r>
      <w:proofErr w:type="gramEnd"/>
      <w:r w:rsidRPr="00F25824">
        <w:rPr>
          <w:bCs/>
          <w:sz w:val="24"/>
        </w:rPr>
        <w:t>等流通受限股票，按监管机构或行业协会有关规定确定公允价值。</w:t>
      </w:r>
    </w:p>
    <w:p w14:paraId="268A26A5" w14:textId="77777777" w:rsidR="000A0FE8" w:rsidRPr="00F25824" w:rsidRDefault="000A0FE8" w:rsidP="002D40B3">
      <w:pPr>
        <w:spacing w:line="360" w:lineRule="auto"/>
        <w:ind w:left="480"/>
        <w:rPr>
          <w:color w:val="000000"/>
          <w:sz w:val="24"/>
        </w:rPr>
      </w:pPr>
      <w:r w:rsidRPr="00F25824">
        <w:rPr>
          <w:bCs/>
          <w:sz w:val="24"/>
        </w:rPr>
        <w:t>3</w:t>
      </w:r>
      <w:r w:rsidRPr="00F25824">
        <w:rPr>
          <w:bCs/>
          <w:sz w:val="24"/>
        </w:rPr>
        <w:t>、全国银行间债券市场交易的债券、资产支持证券等固定收益品种，以第三方估值机构提供的估值净价估值；</w:t>
      </w:r>
      <w:r w:rsidRPr="00F25824">
        <w:rPr>
          <w:bCs/>
          <w:color w:val="000000"/>
          <w:sz w:val="24"/>
        </w:rPr>
        <w:t>对银行间市场未上市，且第三方估值机构未提供估值价格的债券、</w:t>
      </w:r>
      <w:r w:rsidRPr="00F25824">
        <w:rPr>
          <w:bCs/>
          <w:sz w:val="24"/>
        </w:rPr>
        <w:t>资产支持证券等固定收益品种</w:t>
      </w:r>
      <w:r w:rsidRPr="00F25824">
        <w:rPr>
          <w:color w:val="000000"/>
          <w:sz w:val="24"/>
        </w:rPr>
        <w:t>，按估值技术估值。</w:t>
      </w:r>
    </w:p>
    <w:p w14:paraId="1CF94323" w14:textId="77777777" w:rsidR="000A0FE8" w:rsidRPr="00F25824" w:rsidRDefault="000A0FE8" w:rsidP="002D40B3">
      <w:pPr>
        <w:spacing w:line="360" w:lineRule="auto"/>
        <w:ind w:left="480"/>
        <w:rPr>
          <w:bCs/>
          <w:sz w:val="24"/>
        </w:rPr>
      </w:pPr>
      <w:r w:rsidRPr="00F25824">
        <w:rPr>
          <w:bCs/>
          <w:sz w:val="24"/>
        </w:rPr>
        <w:lastRenderedPageBreak/>
        <w:t>4</w:t>
      </w:r>
      <w:r w:rsidRPr="00F25824">
        <w:rPr>
          <w:bCs/>
          <w:sz w:val="24"/>
        </w:rPr>
        <w:t>、同一债券或股票同时在两个或两个以上市场交易的，按债券或股票所处的市场分别估值。</w:t>
      </w:r>
    </w:p>
    <w:p w14:paraId="21915C39" w14:textId="77777777" w:rsidR="000A0FE8" w:rsidRPr="00F25824" w:rsidRDefault="000A0FE8" w:rsidP="002D40B3">
      <w:pPr>
        <w:spacing w:line="360" w:lineRule="auto"/>
        <w:ind w:left="480"/>
        <w:rPr>
          <w:bCs/>
          <w:sz w:val="24"/>
        </w:rPr>
      </w:pPr>
      <w:r w:rsidRPr="00F25824">
        <w:rPr>
          <w:bCs/>
          <w:sz w:val="24"/>
        </w:rPr>
        <w:t>5</w:t>
      </w:r>
      <w:r w:rsidRPr="00F25824">
        <w:rPr>
          <w:bCs/>
          <w:sz w:val="24"/>
        </w:rPr>
        <w:t>、本基金持有的股指期货、国债期货、股票期权合约，一般以估值当日的结算价估值。估值当日无结算价的，且最近交易日后经济环境未发生重大变化的，采用最近交易日结算价估值。</w:t>
      </w:r>
    </w:p>
    <w:p w14:paraId="608BCD9F" w14:textId="77777777" w:rsidR="000A0FE8" w:rsidRPr="00F25824" w:rsidRDefault="000A0FE8" w:rsidP="002D40B3">
      <w:pPr>
        <w:spacing w:line="360" w:lineRule="auto"/>
        <w:ind w:left="480"/>
        <w:rPr>
          <w:bCs/>
          <w:sz w:val="24"/>
        </w:rPr>
      </w:pPr>
      <w:r w:rsidRPr="00F25824">
        <w:rPr>
          <w:bCs/>
          <w:sz w:val="24"/>
        </w:rPr>
        <w:t>6</w:t>
      </w:r>
      <w:r w:rsidRPr="00F25824">
        <w:rPr>
          <w:bCs/>
          <w:sz w:val="24"/>
        </w:rPr>
        <w:t>、持有的银行定期存款或通知存款以本金列示，按相应利率逐日计提利息。</w:t>
      </w:r>
    </w:p>
    <w:p w14:paraId="6E5C4193" w14:textId="77777777" w:rsidR="000A0FE8" w:rsidRPr="00F25824" w:rsidRDefault="000A0FE8" w:rsidP="002D40B3">
      <w:pPr>
        <w:spacing w:line="360" w:lineRule="auto"/>
        <w:ind w:left="480"/>
        <w:rPr>
          <w:bCs/>
          <w:sz w:val="24"/>
        </w:rPr>
      </w:pPr>
      <w:r w:rsidRPr="00F25824">
        <w:rPr>
          <w:bCs/>
          <w:sz w:val="24"/>
        </w:rPr>
        <w:t>7</w:t>
      </w:r>
      <w:r w:rsidRPr="00F25824">
        <w:rPr>
          <w:bCs/>
          <w:sz w:val="24"/>
        </w:rPr>
        <w:t>、估值计算中涉及港币对人民币汇率的，应当以基金估值日中国人民银行或其授权机构公布的人民币汇率中间价为准。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644C850F" w14:textId="77777777" w:rsidR="000A0FE8" w:rsidRDefault="000A0FE8" w:rsidP="002D40B3">
      <w:pPr>
        <w:spacing w:line="360" w:lineRule="auto"/>
        <w:ind w:left="480"/>
        <w:rPr>
          <w:bCs/>
          <w:sz w:val="24"/>
        </w:rPr>
      </w:pPr>
      <w:r w:rsidRPr="00575B39">
        <w:rPr>
          <w:rFonts w:hint="eastAsia"/>
          <w:bCs/>
          <w:sz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66997693" w14:textId="77777777" w:rsidR="000A0FE8" w:rsidRPr="00F25824" w:rsidRDefault="000A0FE8" w:rsidP="002D40B3">
      <w:pPr>
        <w:spacing w:line="360" w:lineRule="auto"/>
        <w:ind w:left="480"/>
        <w:rPr>
          <w:bCs/>
          <w:sz w:val="24"/>
        </w:rPr>
      </w:pPr>
      <w:r w:rsidRPr="00F25824">
        <w:rPr>
          <w:bCs/>
          <w:sz w:val="24"/>
        </w:rPr>
        <w:t>8</w:t>
      </w:r>
      <w:r w:rsidRPr="00F25824">
        <w:rPr>
          <w:bCs/>
          <w:sz w:val="24"/>
        </w:rPr>
        <w:t>、信用衍生品按第三方估值机构提供的当日估值价格进行估值，但基金管理人依法应当承担的估值责任不因委托而免除；选定的第三方估值机构未提供估值价格的，依照有关法律法规及《企业会计准则》要求采用合理估值技术确定公允价值。</w:t>
      </w:r>
    </w:p>
    <w:p w14:paraId="2866D559" w14:textId="77777777" w:rsidR="000A0FE8" w:rsidRPr="00F25824" w:rsidRDefault="000A0FE8" w:rsidP="002D40B3">
      <w:pPr>
        <w:spacing w:line="360" w:lineRule="auto"/>
        <w:ind w:left="480"/>
        <w:rPr>
          <w:bCs/>
          <w:sz w:val="24"/>
        </w:rPr>
      </w:pPr>
      <w:r w:rsidRPr="00F25824">
        <w:rPr>
          <w:bCs/>
          <w:sz w:val="24"/>
        </w:rPr>
        <w:t>9</w:t>
      </w:r>
      <w:r w:rsidRPr="00F25824">
        <w:rPr>
          <w:bCs/>
          <w:sz w:val="24"/>
        </w:rPr>
        <w:t>、本基金投资存托凭证的估值核算，依照内地上市交易的股票执行。</w:t>
      </w:r>
    </w:p>
    <w:p w14:paraId="0C13790C" w14:textId="77777777" w:rsidR="000A0FE8" w:rsidRPr="00F25824" w:rsidRDefault="000A0FE8" w:rsidP="002D40B3">
      <w:pPr>
        <w:spacing w:line="360" w:lineRule="auto"/>
        <w:ind w:left="480"/>
        <w:rPr>
          <w:bCs/>
          <w:sz w:val="24"/>
        </w:rPr>
      </w:pPr>
      <w:r w:rsidRPr="00F25824">
        <w:rPr>
          <w:bCs/>
          <w:sz w:val="24"/>
        </w:rPr>
        <w:t>10</w:t>
      </w:r>
      <w:r w:rsidRPr="00F25824">
        <w:rPr>
          <w:bCs/>
          <w:sz w:val="24"/>
        </w:rPr>
        <w:t>、同业存单按估值日第三方估值机构提供的估值净价估值；选定的第三方估值机构未提供估值价格的，按估值技术估值。</w:t>
      </w:r>
    </w:p>
    <w:p w14:paraId="6217804C" w14:textId="77777777" w:rsidR="007162CE" w:rsidRPr="007162CE" w:rsidRDefault="00BC3093" w:rsidP="007162CE">
      <w:pPr>
        <w:spacing w:line="360" w:lineRule="auto"/>
        <w:ind w:firstLineChars="200" w:firstLine="480"/>
        <w:rPr>
          <w:bCs/>
          <w:sz w:val="24"/>
        </w:rPr>
      </w:pPr>
      <w:r w:rsidRPr="00F25824">
        <w:rPr>
          <w:bCs/>
          <w:sz w:val="24"/>
        </w:rPr>
        <w:t>11</w:t>
      </w:r>
      <w:r w:rsidRPr="00F25824">
        <w:rPr>
          <w:bCs/>
          <w:sz w:val="24"/>
        </w:rPr>
        <w:t>、</w:t>
      </w:r>
      <w:r w:rsidR="007162CE" w:rsidRPr="007162CE">
        <w:rPr>
          <w:rFonts w:hint="eastAsia"/>
          <w:bCs/>
          <w:sz w:val="24"/>
        </w:rPr>
        <w:t>本基金参与融资业务的，按照相关法律法规、监管部门和行业协会的相关规定进行估值。</w:t>
      </w:r>
    </w:p>
    <w:p w14:paraId="3AA1D3A1" w14:textId="77777777" w:rsidR="000A0FE8" w:rsidRPr="00F25824" w:rsidRDefault="007162CE" w:rsidP="000A0FE8">
      <w:pPr>
        <w:spacing w:line="360" w:lineRule="auto"/>
        <w:ind w:firstLineChars="200" w:firstLine="480"/>
        <w:rPr>
          <w:bCs/>
          <w:sz w:val="24"/>
        </w:rPr>
      </w:pPr>
      <w:r w:rsidRPr="007162CE">
        <w:rPr>
          <w:rFonts w:hint="eastAsia"/>
          <w:bCs/>
          <w:sz w:val="24"/>
        </w:rPr>
        <w:t>12</w:t>
      </w:r>
      <w:r w:rsidRPr="007162CE">
        <w:rPr>
          <w:rFonts w:hint="eastAsia"/>
          <w:bCs/>
          <w:sz w:val="24"/>
        </w:rPr>
        <w:t>、</w:t>
      </w:r>
      <w:r w:rsidR="000A0FE8" w:rsidRPr="00F25824">
        <w:rPr>
          <w:bCs/>
          <w:sz w:val="24"/>
        </w:rPr>
        <w:t>如有确凿证据表明按上述方法进行估值不能客观反映其公允价值的，基金管理人可根据具体情况与基金托管人商定后，按最能反映公允价值的价格估值。</w:t>
      </w:r>
    </w:p>
    <w:p w14:paraId="60E7A2CD" w14:textId="77777777" w:rsidR="00BC3093" w:rsidRPr="00F25824" w:rsidRDefault="007162CE" w:rsidP="00BC3093">
      <w:pPr>
        <w:spacing w:line="360" w:lineRule="auto"/>
        <w:ind w:firstLineChars="200" w:firstLine="480"/>
        <w:rPr>
          <w:bCs/>
        </w:rPr>
      </w:pPr>
      <w:r>
        <w:rPr>
          <w:bCs/>
          <w:sz w:val="24"/>
        </w:rPr>
        <w:t>13</w:t>
      </w:r>
      <w:r w:rsidR="00BC3093" w:rsidRPr="00F25824">
        <w:rPr>
          <w:bCs/>
          <w:sz w:val="24"/>
        </w:rPr>
        <w:t>、</w:t>
      </w:r>
      <w:r w:rsidR="000A0FE8" w:rsidRPr="00F25824">
        <w:rPr>
          <w:bCs/>
          <w:sz w:val="24"/>
        </w:rPr>
        <w:t>当发生大额申购或赎回情形时，基金管理人可以采用摆动定价机制，以确保基金估值的公平性。</w:t>
      </w:r>
    </w:p>
    <w:p w14:paraId="315D82F1" w14:textId="77777777" w:rsidR="00BC3093" w:rsidRPr="00F25824" w:rsidRDefault="007162CE" w:rsidP="00BC3093">
      <w:pPr>
        <w:spacing w:line="360" w:lineRule="auto"/>
        <w:ind w:firstLineChars="200" w:firstLine="480"/>
        <w:rPr>
          <w:bCs/>
          <w:sz w:val="24"/>
        </w:rPr>
      </w:pPr>
      <w:r>
        <w:rPr>
          <w:bCs/>
          <w:sz w:val="24"/>
        </w:rPr>
        <w:lastRenderedPageBreak/>
        <w:t>14</w:t>
      </w:r>
      <w:r w:rsidR="00BC3093" w:rsidRPr="00F25824">
        <w:rPr>
          <w:bCs/>
          <w:sz w:val="24"/>
        </w:rPr>
        <w:t>、</w:t>
      </w:r>
      <w:r w:rsidR="000A0FE8" w:rsidRPr="00F25824">
        <w:rPr>
          <w:bCs/>
          <w:sz w:val="24"/>
        </w:rPr>
        <w:t>相关法律法规以及监管部门有强制规定的，从其规定。如有新增事项，按国家最新规定估值。</w:t>
      </w:r>
    </w:p>
    <w:p w14:paraId="6B7523AD" w14:textId="77777777" w:rsidR="00BC3093" w:rsidRPr="00F25824" w:rsidRDefault="00BC3093" w:rsidP="00BC3093">
      <w:pPr>
        <w:spacing w:line="360" w:lineRule="auto"/>
        <w:ind w:firstLineChars="200" w:firstLine="480"/>
        <w:rPr>
          <w:rStyle w:val="read"/>
          <w:bCs/>
          <w:sz w:val="24"/>
        </w:rPr>
      </w:pPr>
      <w:r w:rsidRPr="00F25824">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07E692AC" w14:textId="77777777" w:rsidR="00BC3093" w:rsidRPr="00BC3093" w:rsidRDefault="00BC3093" w:rsidP="00BC3093">
      <w:pPr>
        <w:spacing w:line="360" w:lineRule="auto"/>
        <w:ind w:firstLine="480"/>
        <w:rPr>
          <w:bCs/>
          <w:sz w:val="24"/>
        </w:rPr>
      </w:pPr>
      <w:r w:rsidRPr="00F25824">
        <w:rPr>
          <w:rFonts w:hint="eastAsia"/>
          <w:bCs/>
          <w:sz w:val="24"/>
        </w:rPr>
        <w:t>根据有关法律法规，基金资产净值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p w14:paraId="33957679" w14:textId="77777777" w:rsidR="000A7F8D" w:rsidRDefault="000A7F8D">
      <w:pPr>
        <w:numPr>
          <w:ilvl w:val="0"/>
          <w:numId w:val="17"/>
        </w:numPr>
        <w:adjustRightInd w:val="0"/>
        <w:snapToGrid w:val="0"/>
        <w:spacing w:line="360" w:lineRule="auto"/>
      </w:pPr>
      <w:r>
        <w:rPr>
          <w:rFonts w:ascii="宋体" w:hAnsi="宋体" w:cs="Arial" w:hint="eastAsia"/>
          <w:sz w:val="24"/>
        </w:rPr>
        <w:t>特殊情形的处理</w:t>
      </w:r>
    </w:p>
    <w:p w14:paraId="07EEDD52" w14:textId="77777777" w:rsidR="000A7F8D" w:rsidRDefault="000A7F8D">
      <w:pPr>
        <w:adjustRightInd w:val="0"/>
        <w:snapToGrid w:val="0"/>
        <w:spacing w:line="360" w:lineRule="auto"/>
        <w:ind w:firstLineChars="200" w:firstLine="480"/>
        <w:rPr>
          <w:rStyle w:val="read"/>
          <w:rFonts w:ascii="宋体" w:hAnsi="宋体"/>
          <w:sz w:val="24"/>
        </w:rPr>
      </w:pPr>
      <w:r>
        <w:rPr>
          <w:rStyle w:val="read"/>
          <w:rFonts w:ascii="宋体" w:hAnsi="宋体" w:cs="Arial" w:hint="eastAsia"/>
          <w:sz w:val="24"/>
        </w:rPr>
        <w:t>基金管理人、基金托管人按估值方法的第</w:t>
      </w:r>
      <w:r w:rsidR="006D717B">
        <w:rPr>
          <w:rStyle w:val="read"/>
          <w:rFonts w:ascii="宋体" w:hAnsi="宋体" w:cs="Arial"/>
          <w:sz w:val="24"/>
        </w:rPr>
        <w:t>12</w:t>
      </w:r>
      <w:r>
        <w:rPr>
          <w:rStyle w:val="read"/>
          <w:rFonts w:ascii="宋体" w:hAnsi="宋体" w:cs="Arial" w:hint="eastAsia"/>
          <w:sz w:val="24"/>
        </w:rPr>
        <w:t>项进行估值时，所造成的误差不作为基金资产估值</w:t>
      </w:r>
      <w:r>
        <w:rPr>
          <w:rStyle w:val="read"/>
          <w:rFonts w:ascii="宋体" w:hAnsi="宋体" w:hint="eastAsia"/>
          <w:sz w:val="24"/>
        </w:rPr>
        <w:t>错误处理。</w:t>
      </w:r>
    </w:p>
    <w:p w14:paraId="71AD52B3" w14:textId="77777777" w:rsidR="000A7F8D" w:rsidRDefault="00877B38">
      <w:pPr>
        <w:adjustRightInd w:val="0"/>
        <w:snapToGrid w:val="0"/>
        <w:spacing w:line="360" w:lineRule="auto"/>
        <w:ind w:firstLineChars="200" w:firstLine="480"/>
        <w:rPr>
          <w:rStyle w:val="read"/>
          <w:rFonts w:ascii="宋体" w:hAnsi="宋体"/>
          <w:sz w:val="24"/>
        </w:rPr>
      </w:pPr>
      <w:r w:rsidRPr="00877B38">
        <w:rPr>
          <w:rFonts w:hint="eastAsia"/>
          <w:bCs/>
          <w:sz w:val="24"/>
        </w:rPr>
        <w:t>由于不可抗力原因，或证券、期货交易所或银行间债券交易市场、登记结算公司、第三方估值机构、证券经纪机构、期货经纪机构、存款银行等第三方机构发送的数据错误、遗漏，或国家会计政策变更、市场规则变更等</w:t>
      </w:r>
      <w:proofErr w:type="gramStart"/>
      <w:r w:rsidRPr="00877B38">
        <w:rPr>
          <w:rFonts w:hint="eastAsia"/>
          <w:bCs/>
          <w:sz w:val="24"/>
        </w:rPr>
        <w:t>非基金</w:t>
      </w:r>
      <w:proofErr w:type="gramEnd"/>
      <w:r w:rsidRPr="00877B38">
        <w:rPr>
          <w:rFonts w:hint="eastAsia"/>
          <w:bCs/>
          <w:sz w:val="24"/>
        </w:rPr>
        <w:t>管理人和基金托管人原因，基金管理人和基金托管人虽然已经采取必要、适当、合理的措施进行检查，但是未能发现该错误而造成的基金资产估值错误或即使发现错误但因前述原因无法及时更正的，基金管理人、基金托管人免除赔偿责任。但基金管理人和基金托管人应当积极采取必要的措施消除或减轻由此造成的影响。</w:t>
      </w:r>
    </w:p>
    <w:p w14:paraId="214A9AE9" w14:textId="77777777" w:rsidR="000A7F8D" w:rsidRDefault="000A7F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（三）基金份额净值错误的处理方式</w:t>
      </w:r>
    </w:p>
    <w:p w14:paraId="4625961D" w14:textId="77777777" w:rsidR="000A7F8D" w:rsidRDefault="000A7F8D">
      <w:pPr>
        <w:adjustRightInd w:val="0"/>
        <w:snapToGrid w:val="0"/>
        <w:spacing w:line="360" w:lineRule="auto"/>
        <w:ind w:firstLine="480"/>
        <w:rPr>
          <w:rStyle w:val="read"/>
          <w:rFonts w:ascii="宋体" w:hAnsi="宋体" w:cs="Arial"/>
          <w:sz w:val="24"/>
        </w:rPr>
      </w:pPr>
      <w:r>
        <w:rPr>
          <w:rStyle w:val="read"/>
          <w:rFonts w:ascii="宋体" w:hAnsi="宋体" w:cs="Arial" w:hint="eastAsia"/>
          <w:sz w:val="24"/>
        </w:rPr>
        <w:t>基金管理人和基金托管人将采取必要、适当、合理的措施确保基金资产估值的准确性、及时性。当</w:t>
      </w:r>
      <w:r w:rsidR="00877B38" w:rsidRPr="00877B38">
        <w:rPr>
          <w:rStyle w:val="read"/>
          <w:rFonts w:ascii="宋体" w:hAnsi="宋体" w:cs="Arial" w:hint="eastAsia"/>
          <w:sz w:val="24"/>
        </w:rPr>
        <w:t>基金份额净值（含各类基金份额的基金份额净值，下同）</w:t>
      </w:r>
      <w:r>
        <w:rPr>
          <w:rStyle w:val="read"/>
          <w:rFonts w:ascii="宋体" w:hAnsi="宋体" w:cs="Arial" w:hint="eastAsia"/>
          <w:sz w:val="24"/>
        </w:rPr>
        <w:t>小数点后4位以内（含第4位）发生估值错误时，视为</w:t>
      </w:r>
      <w:r w:rsidR="00877B38">
        <w:rPr>
          <w:rStyle w:val="read"/>
          <w:rFonts w:ascii="宋体" w:hAnsi="宋体" w:cs="Arial" w:hint="eastAsia"/>
          <w:sz w:val="24"/>
        </w:rPr>
        <w:t>该类</w:t>
      </w:r>
      <w:r>
        <w:rPr>
          <w:rStyle w:val="read"/>
          <w:rFonts w:ascii="宋体" w:hAnsi="宋体" w:cs="Arial" w:hint="eastAsia"/>
          <w:sz w:val="24"/>
        </w:rPr>
        <w:t>基金份额净值错误。</w:t>
      </w:r>
    </w:p>
    <w:p w14:paraId="2AFCBC97" w14:textId="77777777" w:rsidR="000A7F8D" w:rsidRDefault="000A7F8D">
      <w:pPr>
        <w:adjustRightInd w:val="0"/>
        <w:snapToGrid w:val="0"/>
        <w:spacing w:line="360" w:lineRule="auto"/>
        <w:ind w:firstLine="480"/>
        <w:rPr>
          <w:rStyle w:val="read"/>
          <w:rFonts w:ascii="宋体" w:hAnsi="宋体" w:cs="Arial"/>
          <w:sz w:val="24"/>
        </w:rPr>
      </w:pPr>
      <w:r>
        <w:rPr>
          <w:rStyle w:val="read"/>
          <w:rFonts w:ascii="宋体" w:hAnsi="宋体" w:cs="Arial" w:hint="eastAsia"/>
          <w:sz w:val="24"/>
        </w:rPr>
        <w:t>基金合同的当事人应按照以下约定处理：</w:t>
      </w:r>
    </w:p>
    <w:p w14:paraId="3CDBAF78" w14:textId="77777777" w:rsidR="00BC3093" w:rsidRDefault="00BC3093" w:rsidP="00BC3093">
      <w:pPr>
        <w:spacing w:line="360" w:lineRule="auto"/>
        <w:ind w:firstLine="480"/>
        <w:rPr>
          <w:bCs/>
          <w:sz w:val="24"/>
        </w:rPr>
      </w:pPr>
      <w:r>
        <w:rPr>
          <w:rFonts w:hint="eastAsia"/>
          <w:bCs/>
          <w:sz w:val="24"/>
        </w:rPr>
        <w:t>1</w:t>
      </w:r>
      <w:r>
        <w:rPr>
          <w:rFonts w:hint="eastAsia"/>
          <w:bCs/>
          <w:sz w:val="24"/>
        </w:rPr>
        <w:t>、估值错误类型</w:t>
      </w:r>
    </w:p>
    <w:p w14:paraId="52E7546D" w14:textId="77777777" w:rsidR="00BC3093" w:rsidRDefault="00BC3093" w:rsidP="00BC3093">
      <w:pPr>
        <w:spacing w:line="360" w:lineRule="auto"/>
        <w:ind w:firstLine="480"/>
        <w:rPr>
          <w:bCs/>
          <w:sz w:val="24"/>
        </w:rPr>
      </w:pPr>
      <w:r>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0F9EBE88" w14:textId="77777777" w:rsidR="00BC3093" w:rsidRDefault="00BC3093" w:rsidP="00BC3093">
      <w:pPr>
        <w:spacing w:line="360" w:lineRule="auto"/>
        <w:ind w:firstLine="480"/>
        <w:rPr>
          <w:bCs/>
          <w:sz w:val="24"/>
        </w:rPr>
      </w:pPr>
      <w:r>
        <w:rPr>
          <w:rFonts w:hint="eastAsia"/>
          <w:bCs/>
          <w:sz w:val="24"/>
        </w:rPr>
        <w:t>上述估值错误的主要类型包括但不限于：资料申报差错、数据传输差错、数</w:t>
      </w:r>
      <w:r>
        <w:rPr>
          <w:rFonts w:hint="eastAsia"/>
          <w:bCs/>
          <w:sz w:val="24"/>
        </w:rPr>
        <w:lastRenderedPageBreak/>
        <w:t>据计算差错、系统故障差错、下达指令差错等。</w:t>
      </w:r>
    </w:p>
    <w:p w14:paraId="58000E38" w14:textId="77777777" w:rsidR="00BC3093" w:rsidRDefault="00BC3093" w:rsidP="00BC3093">
      <w:pPr>
        <w:spacing w:line="360" w:lineRule="auto"/>
        <w:ind w:firstLine="480"/>
        <w:rPr>
          <w:bCs/>
          <w:sz w:val="24"/>
        </w:rPr>
      </w:pPr>
      <w:r>
        <w:rPr>
          <w:rFonts w:hint="eastAsia"/>
          <w:bCs/>
          <w:sz w:val="24"/>
        </w:rPr>
        <w:t>2</w:t>
      </w:r>
      <w:r>
        <w:rPr>
          <w:rFonts w:hint="eastAsia"/>
          <w:bCs/>
          <w:sz w:val="24"/>
        </w:rPr>
        <w:t>、估值错误处理原则</w:t>
      </w:r>
    </w:p>
    <w:p w14:paraId="152E57A2" w14:textId="77777777" w:rsidR="00BC3093" w:rsidRDefault="00BC3093" w:rsidP="00BC3093">
      <w:pPr>
        <w:spacing w:line="360" w:lineRule="auto"/>
        <w:ind w:firstLine="480"/>
        <w:rPr>
          <w:bCs/>
          <w:sz w:val="24"/>
        </w:rPr>
      </w:pPr>
      <w:r>
        <w:rPr>
          <w:rFonts w:hint="eastAsia"/>
          <w:bCs/>
          <w:sz w:val="24"/>
        </w:rPr>
        <w:t>（</w:t>
      </w:r>
      <w:r>
        <w:rPr>
          <w:rFonts w:hint="eastAsia"/>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DE49ACC" w14:textId="77777777" w:rsidR="00BC3093" w:rsidRDefault="00BC3093" w:rsidP="00BC3093">
      <w:pPr>
        <w:spacing w:line="360" w:lineRule="auto"/>
        <w:ind w:firstLine="480"/>
        <w:rPr>
          <w:bCs/>
          <w:sz w:val="24"/>
        </w:rPr>
      </w:pPr>
      <w:r>
        <w:rPr>
          <w:rFonts w:hint="eastAsia"/>
          <w:bCs/>
          <w:sz w:val="24"/>
        </w:rPr>
        <w:t>（</w:t>
      </w:r>
      <w:r>
        <w:rPr>
          <w:rFonts w:hint="eastAsia"/>
          <w:bCs/>
          <w:sz w:val="24"/>
        </w:rPr>
        <w:t>2</w:t>
      </w:r>
      <w:r>
        <w:rPr>
          <w:rFonts w:hint="eastAsia"/>
          <w:bCs/>
          <w:sz w:val="24"/>
        </w:rPr>
        <w:t>）估值错误的责任方对有关当事人的直接损失负责，不对间接损失负责，并且仅对估值错误的有关直接当事人负责，不对第三方负责。</w:t>
      </w:r>
    </w:p>
    <w:p w14:paraId="36135FBF" w14:textId="77777777" w:rsidR="00BC3093" w:rsidRDefault="00BC3093" w:rsidP="00BC3093">
      <w:pPr>
        <w:spacing w:line="360" w:lineRule="auto"/>
        <w:ind w:firstLine="480"/>
        <w:rPr>
          <w:bCs/>
          <w:sz w:val="24"/>
        </w:rPr>
      </w:pPr>
      <w:r>
        <w:rPr>
          <w:rFonts w:hint="eastAsia"/>
          <w:bCs/>
          <w:sz w:val="24"/>
        </w:rPr>
        <w:t>（</w:t>
      </w:r>
      <w:r>
        <w:rPr>
          <w:rFonts w:hint="eastAsia"/>
          <w:bCs/>
          <w:sz w:val="24"/>
        </w:rPr>
        <w:t>3</w:t>
      </w:r>
      <w:r>
        <w:rPr>
          <w:rFonts w:hint="eastAsia"/>
          <w:bCs/>
          <w:sz w:val="24"/>
        </w:rPr>
        <w:t>）因估值错误而获得不当得利的当事人负有及时返还不当得利的义务。但估值错误责任方仍应对估值错误负责。如果由于获得不当得利的当事人</w:t>
      </w:r>
      <w:proofErr w:type="gramStart"/>
      <w:r>
        <w:rPr>
          <w:rFonts w:hint="eastAsia"/>
          <w:bCs/>
          <w:sz w:val="24"/>
        </w:rPr>
        <w:t>不</w:t>
      </w:r>
      <w:proofErr w:type="gramEnd"/>
      <w:r>
        <w:rPr>
          <w:rFonts w:hint="eastAsia"/>
          <w:bCs/>
          <w:sz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04D01D9" w14:textId="77777777" w:rsidR="00BC3093" w:rsidRDefault="00BC3093" w:rsidP="00BC3093">
      <w:pPr>
        <w:spacing w:line="360" w:lineRule="auto"/>
        <w:ind w:firstLine="480"/>
        <w:rPr>
          <w:bCs/>
          <w:sz w:val="24"/>
        </w:rPr>
      </w:pPr>
      <w:r>
        <w:rPr>
          <w:rFonts w:hint="eastAsia"/>
          <w:bCs/>
          <w:sz w:val="24"/>
        </w:rPr>
        <w:t>（</w:t>
      </w:r>
      <w:r>
        <w:rPr>
          <w:rFonts w:hint="eastAsia"/>
          <w:bCs/>
          <w:sz w:val="24"/>
        </w:rPr>
        <w:t>4</w:t>
      </w:r>
      <w:r>
        <w:rPr>
          <w:rFonts w:hint="eastAsia"/>
          <w:bCs/>
          <w:sz w:val="24"/>
        </w:rPr>
        <w:t>）估值错误调整采用尽量恢复至假设未发生估值错误的正确情形的方式。</w:t>
      </w:r>
    </w:p>
    <w:p w14:paraId="454CA50B" w14:textId="77777777" w:rsidR="00BC3093" w:rsidRDefault="00BC3093" w:rsidP="00BC3093">
      <w:pPr>
        <w:spacing w:line="360" w:lineRule="auto"/>
        <w:ind w:firstLine="480"/>
        <w:rPr>
          <w:bCs/>
          <w:sz w:val="24"/>
        </w:rPr>
      </w:pPr>
      <w:r>
        <w:rPr>
          <w:rFonts w:hint="eastAsia"/>
          <w:bCs/>
          <w:sz w:val="24"/>
        </w:rPr>
        <w:t>3</w:t>
      </w:r>
      <w:r>
        <w:rPr>
          <w:rFonts w:hint="eastAsia"/>
          <w:bCs/>
          <w:sz w:val="24"/>
        </w:rPr>
        <w:t>、估值错误处理程序</w:t>
      </w:r>
    </w:p>
    <w:p w14:paraId="28646E37" w14:textId="77777777" w:rsidR="00BC3093" w:rsidRDefault="00BC3093" w:rsidP="00BC3093">
      <w:pPr>
        <w:spacing w:line="360" w:lineRule="auto"/>
        <w:ind w:firstLine="480"/>
        <w:rPr>
          <w:bCs/>
          <w:sz w:val="24"/>
        </w:rPr>
      </w:pPr>
      <w:r>
        <w:rPr>
          <w:rFonts w:hint="eastAsia"/>
          <w:bCs/>
          <w:sz w:val="24"/>
        </w:rPr>
        <w:t>估值错误被发现后，有关的当事人应当及时进行处理，处理的程序如下：</w:t>
      </w:r>
    </w:p>
    <w:p w14:paraId="2FE4F7F1" w14:textId="77777777" w:rsidR="00BC3093" w:rsidRDefault="00BC3093" w:rsidP="00BC3093">
      <w:pPr>
        <w:spacing w:line="360" w:lineRule="auto"/>
        <w:ind w:firstLine="480"/>
        <w:rPr>
          <w:bCs/>
          <w:sz w:val="24"/>
        </w:rPr>
      </w:pPr>
      <w:r>
        <w:rPr>
          <w:rFonts w:hint="eastAsia"/>
          <w:bCs/>
          <w:sz w:val="24"/>
        </w:rPr>
        <w:t>（</w:t>
      </w:r>
      <w:r>
        <w:rPr>
          <w:rFonts w:hint="eastAsia"/>
          <w:bCs/>
          <w:sz w:val="24"/>
        </w:rPr>
        <w:t>1</w:t>
      </w:r>
      <w:r>
        <w:rPr>
          <w:rFonts w:hint="eastAsia"/>
          <w:bCs/>
          <w:sz w:val="24"/>
        </w:rPr>
        <w:t>）查明估值错误发生的原因，列明所有的当事人，并根据估值错误发生的原因确定估值错误的责任方；</w:t>
      </w:r>
    </w:p>
    <w:p w14:paraId="7E08A8B8" w14:textId="77777777" w:rsidR="00BC3093" w:rsidRDefault="00BC3093" w:rsidP="00BC3093">
      <w:pPr>
        <w:spacing w:line="360" w:lineRule="auto"/>
        <w:ind w:firstLine="480"/>
        <w:rPr>
          <w:bCs/>
          <w:sz w:val="24"/>
        </w:rPr>
      </w:pPr>
      <w:r>
        <w:rPr>
          <w:rFonts w:hint="eastAsia"/>
          <w:bCs/>
          <w:sz w:val="24"/>
        </w:rPr>
        <w:t>（</w:t>
      </w:r>
      <w:r>
        <w:rPr>
          <w:rFonts w:hint="eastAsia"/>
          <w:bCs/>
          <w:sz w:val="24"/>
        </w:rPr>
        <w:t>2</w:t>
      </w:r>
      <w:r>
        <w:rPr>
          <w:rFonts w:hint="eastAsia"/>
          <w:bCs/>
          <w:sz w:val="24"/>
        </w:rPr>
        <w:t>）根据估值错误处理原则或当事人协商的方法对因估值错误造成的损失进行评估；</w:t>
      </w:r>
    </w:p>
    <w:p w14:paraId="2D3DA8AF" w14:textId="77777777" w:rsidR="00BC3093" w:rsidRDefault="00BC3093" w:rsidP="00BC3093">
      <w:pPr>
        <w:spacing w:line="360" w:lineRule="auto"/>
        <w:ind w:firstLine="480"/>
        <w:rPr>
          <w:bCs/>
          <w:sz w:val="24"/>
        </w:rPr>
      </w:pPr>
      <w:r>
        <w:rPr>
          <w:rFonts w:hint="eastAsia"/>
          <w:bCs/>
          <w:sz w:val="24"/>
        </w:rPr>
        <w:t>（</w:t>
      </w:r>
      <w:r>
        <w:rPr>
          <w:rFonts w:hint="eastAsia"/>
          <w:bCs/>
          <w:sz w:val="24"/>
        </w:rPr>
        <w:t>3</w:t>
      </w:r>
      <w:r>
        <w:rPr>
          <w:rFonts w:hint="eastAsia"/>
          <w:bCs/>
          <w:sz w:val="24"/>
        </w:rPr>
        <w:t>）根据估值错误处理原则或当事人协商的方法由估值错误的责任方进行更正和赔偿损失；</w:t>
      </w:r>
    </w:p>
    <w:p w14:paraId="317D1592" w14:textId="77777777" w:rsidR="00BC3093" w:rsidRDefault="00BC3093" w:rsidP="00BC3093">
      <w:pPr>
        <w:spacing w:line="360" w:lineRule="auto"/>
        <w:ind w:firstLine="480"/>
        <w:rPr>
          <w:bCs/>
          <w:sz w:val="24"/>
        </w:rPr>
      </w:pPr>
      <w:r>
        <w:rPr>
          <w:rFonts w:hint="eastAsia"/>
          <w:bCs/>
          <w:sz w:val="24"/>
        </w:rPr>
        <w:t>（</w:t>
      </w:r>
      <w:r>
        <w:rPr>
          <w:rFonts w:hint="eastAsia"/>
          <w:bCs/>
          <w:sz w:val="24"/>
        </w:rPr>
        <w:t>4</w:t>
      </w:r>
      <w:r>
        <w:rPr>
          <w:rFonts w:hint="eastAsia"/>
          <w:bCs/>
          <w:sz w:val="24"/>
        </w:rPr>
        <w:t>）根据估值错误处理的方法，需要修改基金登记机构交易数据的，由基金登记机构进行更正，并就估值错误的更正向有关当事人进行确认。</w:t>
      </w:r>
    </w:p>
    <w:p w14:paraId="26B14D45" w14:textId="77777777" w:rsidR="00BC3093" w:rsidRDefault="00BC3093" w:rsidP="00BC3093">
      <w:pPr>
        <w:spacing w:line="360" w:lineRule="auto"/>
        <w:ind w:firstLine="480"/>
        <w:rPr>
          <w:bCs/>
          <w:sz w:val="24"/>
        </w:rPr>
      </w:pPr>
      <w:r>
        <w:rPr>
          <w:rFonts w:hint="eastAsia"/>
          <w:bCs/>
          <w:sz w:val="24"/>
        </w:rPr>
        <w:lastRenderedPageBreak/>
        <w:t>4</w:t>
      </w:r>
      <w:r>
        <w:rPr>
          <w:rFonts w:hint="eastAsia"/>
          <w:bCs/>
          <w:sz w:val="24"/>
        </w:rPr>
        <w:t>、基金份额净值估值错误处理的方法如下：</w:t>
      </w:r>
    </w:p>
    <w:p w14:paraId="7AEE11A0" w14:textId="77777777" w:rsidR="00BC3093" w:rsidRDefault="00BC3093" w:rsidP="00BC3093">
      <w:pPr>
        <w:spacing w:line="360" w:lineRule="auto"/>
        <w:ind w:firstLine="480"/>
        <w:rPr>
          <w:bCs/>
          <w:sz w:val="24"/>
        </w:rPr>
      </w:pPr>
      <w:r>
        <w:rPr>
          <w:rFonts w:hint="eastAsia"/>
          <w:bCs/>
          <w:sz w:val="24"/>
        </w:rPr>
        <w:t>（</w:t>
      </w:r>
      <w:r>
        <w:rPr>
          <w:rFonts w:hint="eastAsia"/>
          <w:bCs/>
          <w:sz w:val="24"/>
        </w:rPr>
        <w:t>1</w:t>
      </w:r>
      <w:r>
        <w:rPr>
          <w:rFonts w:hint="eastAsia"/>
          <w:bCs/>
          <w:sz w:val="24"/>
        </w:rPr>
        <w:t>）基金份额净值计算出现错误时，基金管理人应当立即予以纠正，通报基金托管人，并采取合理的措施防止损失进一步扩大。</w:t>
      </w:r>
    </w:p>
    <w:p w14:paraId="1A2724DB" w14:textId="77777777" w:rsidR="00BC3093" w:rsidRDefault="00BC3093" w:rsidP="00BC3093">
      <w:pPr>
        <w:spacing w:line="360" w:lineRule="auto"/>
        <w:ind w:firstLine="480"/>
        <w:rPr>
          <w:bCs/>
          <w:sz w:val="24"/>
        </w:rPr>
      </w:pPr>
      <w:r>
        <w:rPr>
          <w:rFonts w:hint="eastAsia"/>
          <w:bCs/>
          <w:sz w:val="24"/>
        </w:rPr>
        <w:t>（</w:t>
      </w:r>
      <w:r>
        <w:rPr>
          <w:rFonts w:hint="eastAsia"/>
          <w:bCs/>
          <w:sz w:val="24"/>
        </w:rPr>
        <w:t>2</w:t>
      </w:r>
      <w:r>
        <w:rPr>
          <w:rFonts w:hint="eastAsia"/>
          <w:bCs/>
          <w:sz w:val="24"/>
        </w:rPr>
        <w:t>）错误偏差达到基金份额净值的</w:t>
      </w:r>
      <w:r>
        <w:rPr>
          <w:rFonts w:hint="eastAsia"/>
          <w:bCs/>
          <w:sz w:val="24"/>
        </w:rPr>
        <w:t>0.25%</w:t>
      </w:r>
      <w:r>
        <w:rPr>
          <w:rFonts w:hint="eastAsia"/>
          <w:bCs/>
          <w:sz w:val="24"/>
        </w:rPr>
        <w:t>时，基金管理人应当通报基金托管人并报中国证监会备案；错误偏差达到基金份额净值的</w:t>
      </w:r>
      <w:r>
        <w:rPr>
          <w:rFonts w:hint="eastAsia"/>
          <w:bCs/>
          <w:sz w:val="24"/>
        </w:rPr>
        <w:t>0.5%</w:t>
      </w:r>
      <w:r>
        <w:rPr>
          <w:rFonts w:hint="eastAsia"/>
          <w:bCs/>
          <w:sz w:val="24"/>
        </w:rPr>
        <w:t>时，基金管理人应当公告，通报基金托管人并报中国证监会备案。</w:t>
      </w:r>
    </w:p>
    <w:p w14:paraId="6ABDB79A" w14:textId="77777777" w:rsidR="000A7F8D" w:rsidRPr="00BC3093" w:rsidRDefault="00BC3093" w:rsidP="00BC3093">
      <w:pPr>
        <w:spacing w:line="360" w:lineRule="auto"/>
        <w:ind w:firstLine="480"/>
        <w:rPr>
          <w:rStyle w:val="read"/>
          <w:bCs/>
          <w:sz w:val="24"/>
        </w:rPr>
      </w:pPr>
      <w:r>
        <w:rPr>
          <w:rFonts w:hint="eastAsia"/>
          <w:bCs/>
          <w:sz w:val="24"/>
        </w:rPr>
        <w:t>（</w:t>
      </w:r>
      <w:r>
        <w:rPr>
          <w:bCs/>
          <w:sz w:val="24"/>
        </w:rPr>
        <w:t>3</w:t>
      </w:r>
      <w:r>
        <w:rPr>
          <w:rFonts w:hint="eastAsia"/>
          <w:bCs/>
          <w:sz w:val="24"/>
        </w:rPr>
        <w:t>）前述内容如法律法规或监管机关另有规定的，从其规定处理。如果行业有通行做法，在不违反法律法规且不损害投资者利益的前提下，基金管理人和基金托管人应本着平等和保护基金份额持有人利益的原则重新协商确定处理原则。</w:t>
      </w:r>
    </w:p>
    <w:p w14:paraId="0B398B2E"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（四）暂停估值的情形</w:t>
      </w:r>
    </w:p>
    <w:p w14:paraId="399D1D55" w14:textId="77777777" w:rsidR="00BC3093" w:rsidRDefault="00BC3093" w:rsidP="00BC3093">
      <w:pPr>
        <w:spacing w:line="360" w:lineRule="auto"/>
        <w:ind w:firstLine="480"/>
        <w:rPr>
          <w:bCs/>
          <w:sz w:val="24"/>
        </w:rPr>
      </w:pPr>
      <w:r>
        <w:rPr>
          <w:rFonts w:hint="eastAsia"/>
          <w:bCs/>
          <w:sz w:val="24"/>
        </w:rPr>
        <w:t>1</w:t>
      </w:r>
      <w:r>
        <w:rPr>
          <w:rFonts w:hint="eastAsia"/>
          <w:bCs/>
          <w:sz w:val="24"/>
        </w:rPr>
        <w:t>、基金投资所涉及的证券</w:t>
      </w:r>
      <w:r>
        <w:rPr>
          <w:rFonts w:hint="eastAsia"/>
          <w:bCs/>
          <w:sz w:val="24"/>
        </w:rPr>
        <w:t>/</w:t>
      </w:r>
      <w:r>
        <w:rPr>
          <w:rFonts w:hint="eastAsia"/>
          <w:bCs/>
          <w:sz w:val="24"/>
        </w:rPr>
        <w:t>期货交易市场</w:t>
      </w:r>
      <w:bookmarkStart w:id="170" w:name="_Hlk175317251"/>
      <w:r>
        <w:rPr>
          <w:rFonts w:hint="eastAsia"/>
          <w:bCs/>
          <w:sz w:val="24"/>
        </w:rPr>
        <w:t>或外汇市场</w:t>
      </w:r>
      <w:bookmarkEnd w:id="170"/>
      <w:r>
        <w:rPr>
          <w:rFonts w:hint="eastAsia"/>
          <w:bCs/>
          <w:sz w:val="24"/>
        </w:rPr>
        <w:t>遇法定节假日或因其他原因暂停营业</w:t>
      </w:r>
      <w:bookmarkStart w:id="171" w:name="_Hlk175317257"/>
      <w:r>
        <w:rPr>
          <w:rFonts w:hint="eastAsia"/>
          <w:bCs/>
          <w:sz w:val="24"/>
        </w:rPr>
        <w:t>或者基金参与港股</w:t>
      </w:r>
      <w:proofErr w:type="gramStart"/>
      <w:r>
        <w:rPr>
          <w:rFonts w:hint="eastAsia"/>
          <w:bCs/>
          <w:sz w:val="24"/>
        </w:rPr>
        <w:t>通交易且港股通临时</w:t>
      </w:r>
      <w:proofErr w:type="gramEnd"/>
      <w:r>
        <w:rPr>
          <w:rFonts w:hint="eastAsia"/>
          <w:bCs/>
          <w:sz w:val="24"/>
        </w:rPr>
        <w:t>停市</w:t>
      </w:r>
      <w:bookmarkEnd w:id="171"/>
      <w:r>
        <w:rPr>
          <w:rFonts w:hint="eastAsia"/>
          <w:bCs/>
          <w:sz w:val="24"/>
        </w:rPr>
        <w:t>时；</w:t>
      </w:r>
    </w:p>
    <w:p w14:paraId="5B7B1381" w14:textId="77777777" w:rsidR="00BC3093" w:rsidRDefault="00BC3093" w:rsidP="00BC3093">
      <w:pPr>
        <w:spacing w:line="360" w:lineRule="auto"/>
        <w:ind w:firstLine="480"/>
        <w:rPr>
          <w:bCs/>
          <w:sz w:val="24"/>
        </w:rPr>
      </w:pPr>
      <w:r>
        <w:rPr>
          <w:rFonts w:hint="eastAsia"/>
          <w:bCs/>
          <w:sz w:val="24"/>
        </w:rPr>
        <w:t>2</w:t>
      </w:r>
      <w:r>
        <w:rPr>
          <w:rFonts w:hint="eastAsia"/>
          <w:bCs/>
          <w:sz w:val="24"/>
        </w:rPr>
        <w:t>、因不可抗力或其他情形致使基金管理人、基金托管人无法准确评估基金资产价值时；</w:t>
      </w:r>
    </w:p>
    <w:p w14:paraId="1BA81C99" w14:textId="77777777" w:rsidR="00BC3093" w:rsidRDefault="00BC3093" w:rsidP="00BC3093">
      <w:pPr>
        <w:spacing w:line="360" w:lineRule="auto"/>
        <w:ind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1B5DE02B" w14:textId="77777777" w:rsidR="000A7F8D" w:rsidRPr="00BC3093" w:rsidRDefault="00BC3093" w:rsidP="00BC3093">
      <w:pPr>
        <w:spacing w:line="360" w:lineRule="auto"/>
        <w:ind w:firstLine="480"/>
        <w:rPr>
          <w:rStyle w:val="read"/>
          <w:bCs/>
          <w:sz w:val="24"/>
        </w:rPr>
      </w:pPr>
      <w:r>
        <w:rPr>
          <w:rFonts w:hint="eastAsia"/>
          <w:bCs/>
          <w:sz w:val="24"/>
        </w:rPr>
        <w:t>4</w:t>
      </w:r>
      <w:r>
        <w:rPr>
          <w:rFonts w:hint="eastAsia"/>
          <w:bCs/>
          <w:sz w:val="24"/>
        </w:rPr>
        <w:t>、法律法规规定、中国证监会和基金合同认定的其它情形。</w:t>
      </w:r>
    </w:p>
    <w:p w14:paraId="7B6D8924"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（五）基金会计制度</w:t>
      </w:r>
    </w:p>
    <w:p w14:paraId="34331AC5"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按国家有关部门规定的会计制度执行。</w:t>
      </w:r>
    </w:p>
    <w:p w14:paraId="2796D89A"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（六）基金账册的建立</w:t>
      </w:r>
    </w:p>
    <w:p w14:paraId="61004809"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基金管理人进行基金会计核算并编制基金财务会计报告。基金管理人、基金托管人分别独立地设置、记录和保管本基金的全套账册。基金托管人按规定制作相关账册并与基金管理人核对。</w:t>
      </w:r>
      <w:proofErr w:type="gramStart"/>
      <w:r>
        <w:rPr>
          <w:rFonts w:ascii="宋体" w:hAnsi="宋体" w:cs="Arial" w:hint="eastAsia"/>
          <w:sz w:val="24"/>
        </w:rPr>
        <w:t>若基金</w:t>
      </w:r>
      <w:proofErr w:type="gramEnd"/>
      <w:r>
        <w:rPr>
          <w:rFonts w:ascii="宋体" w:hAnsi="宋体" w:cs="Arial" w:hint="eastAsia"/>
          <w:sz w:val="24"/>
        </w:rPr>
        <w:t>管理人和基金托管人对会计处理方法存在分歧，应以基金管理人的处理方法为准。若当日核对不符，暂时无法查找到错账的原因而影响到基金净值的计算和公告的，以基金管理人的账册为准。</w:t>
      </w:r>
    </w:p>
    <w:p w14:paraId="62D87508"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（七）基金财务报表与报告的编制和复核</w:t>
      </w:r>
    </w:p>
    <w:p w14:paraId="250EA619" w14:textId="77777777" w:rsidR="000A7F8D" w:rsidRDefault="000A7F8D">
      <w:pPr>
        <w:numPr>
          <w:ilvl w:val="0"/>
          <w:numId w:val="18"/>
        </w:numPr>
        <w:adjustRightInd w:val="0"/>
        <w:snapToGrid w:val="0"/>
        <w:spacing w:line="360" w:lineRule="auto"/>
        <w:ind w:left="0" w:firstLine="480"/>
        <w:rPr>
          <w:rStyle w:val="read"/>
          <w:rFonts w:ascii="宋体" w:hAnsi="宋体"/>
          <w:sz w:val="24"/>
        </w:rPr>
      </w:pPr>
      <w:r>
        <w:rPr>
          <w:rStyle w:val="read"/>
          <w:rFonts w:ascii="宋体" w:hAnsi="宋体" w:hint="eastAsia"/>
          <w:sz w:val="24"/>
        </w:rPr>
        <w:t>财务报表的编制</w:t>
      </w:r>
    </w:p>
    <w:p w14:paraId="3E06E00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基金财务报表由基金管理人编制，基金托管人复核。</w:t>
      </w:r>
    </w:p>
    <w:p w14:paraId="28CD494E" w14:textId="77777777" w:rsidR="000A7F8D" w:rsidRDefault="000A7F8D">
      <w:pPr>
        <w:numPr>
          <w:ilvl w:val="0"/>
          <w:numId w:val="18"/>
        </w:numPr>
        <w:adjustRightInd w:val="0"/>
        <w:snapToGrid w:val="0"/>
        <w:spacing w:line="360" w:lineRule="auto"/>
        <w:ind w:left="0" w:firstLine="480"/>
        <w:rPr>
          <w:rStyle w:val="read"/>
          <w:rFonts w:ascii="宋体" w:hAnsi="宋体"/>
          <w:sz w:val="24"/>
        </w:rPr>
      </w:pPr>
      <w:r>
        <w:rPr>
          <w:rStyle w:val="read"/>
          <w:rFonts w:ascii="宋体" w:hAnsi="宋体" w:hint="eastAsia"/>
          <w:sz w:val="24"/>
        </w:rPr>
        <w:t>报表复核</w:t>
      </w:r>
    </w:p>
    <w:p w14:paraId="66820A3A" w14:textId="77777777" w:rsidR="000A7F8D" w:rsidRDefault="000A7F8D">
      <w:pPr>
        <w:adjustRightInd w:val="0"/>
        <w:snapToGrid w:val="0"/>
        <w:spacing w:line="360" w:lineRule="auto"/>
        <w:ind w:firstLineChars="200" w:firstLine="480"/>
        <w:rPr>
          <w:rStyle w:val="read"/>
          <w:rFonts w:ascii="宋体" w:hAnsi="宋体"/>
          <w:sz w:val="24"/>
        </w:rPr>
      </w:pPr>
      <w:r>
        <w:rPr>
          <w:rFonts w:ascii="宋体" w:hAnsi="宋体" w:cs="Arial" w:hint="eastAsia"/>
          <w:sz w:val="24"/>
        </w:rPr>
        <w:lastRenderedPageBreak/>
        <w:t>基金托管人应当按照相关法律、行政法规、中国证监会的规定和基金合同的约定，对基金管理人编制的基金资产净值、</w:t>
      </w:r>
      <w:r w:rsidR="001D2223" w:rsidRPr="001D2223">
        <w:rPr>
          <w:rFonts w:ascii="宋体" w:hAnsi="宋体" w:cs="Arial" w:hint="eastAsia"/>
          <w:bCs/>
          <w:sz w:val="24"/>
        </w:rPr>
        <w:t>各类基金份额的</w:t>
      </w:r>
      <w:r>
        <w:rPr>
          <w:rFonts w:ascii="宋体" w:hAnsi="宋体" w:cs="Arial" w:hint="eastAsia"/>
          <w:sz w:val="24"/>
        </w:rPr>
        <w:t>基金份额净值、基金份额申购赎回价格、基金定期报告、更新的招募说明书、基金产品资料概要、基金清算报告等公开披露的相关基金信息进行复核、审查，并向基金管理人进行书面或电子确认。</w:t>
      </w:r>
    </w:p>
    <w:p w14:paraId="25CF4B8F" w14:textId="77777777" w:rsidR="000A7F8D" w:rsidRDefault="000A7F8D">
      <w:pPr>
        <w:numPr>
          <w:ilvl w:val="0"/>
          <w:numId w:val="18"/>
        </w:numPr>
        <w:adjustRightInd w:val="0"/>
        <w:snapToGrid w:val="0"/>
        <w:spacing w:line="360" w:lineRule="auto"/>
        <w:ind w:left="0" w:firstLine="480"/>
        <w:rPr>
          <w:rStyle w:val="read"/>
          <w:rFonts w:ascii="宋体" w:hAnsi="宋体"/>
          <w:sz w:val="24"/>
        </w:rPr>
      </w:pPr>
      <w:r>
        <w:rPr>
          <w:rStyle w:val="read"/>
          <w:rFonts w:ascii="宋体" w:hAnsi="宋体" w:hint="eastAsia"/>
          <w:sz w:val="24"/>
        </w:rPr>
        <w:t>财务报表的编制与复核时间安排</w:t>
      </w:r>
    </w:p>
    <w:p w14:paraId="1C92636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基金管理人应当在每月结束后3个工作日内完成月度报表的编制，并将月度报表以双方认可方式发送给基金托管人，基金托管人2个工作日内完成月度报告的复核；</w:t>
      </w:r>
      <w:r w:rsidR="00510D51">
        <w:rPr>
          <w:rFonts w:ascii="宋体" w:hAnsi="宋体" w:cs="Arial" w:hint="eastAsia"/>
          <w:sz w:val="24"/>
        </w:rPr>
        <w:t>季度</w:t>
      </w:r>
      <w:r w:rsidR="00510D51" w:rsidRPr="00510D51">
        <w:rPr>
          <w:rFonts w:ascii="宋体" w:hAnsi="宋体" w:cs="Arial" w:hint="eastAsia"/>
          <w:sz w:val="24"/>
        </w:rPr>
        <w:t>报告在季度结束之日起15个工作日内予以公告，</w:t>
      </w:r>
      <w:r w:rsidR="00AF155B">
        <w:rPr>
          <w:rFonts w:ascii="宋体" w:hAnsi="宋体" w:cs="Arial" w:hint="eastAsia"/>
          <w:sz w:val="24"/>
        </w:rPr>
        <w:t>基金管理人</w:t>
      </w:r>
      <w:r>
        <w:rPr>
          <w:rFonts w:ascii="宋体" w:hAnsi="宋体" w:cs="Arial" w:hint="eastAsia"/>
          <w:sz w:val="24"/>
        </w:rPr>
        <w:t>在季度结束之日起8个工作日内完成基金季度报告的编制，并将季度报表以双方认可方式发送给基金托管人，基金托管人7个工作日内完成季度报告财务部分的复核；</w:t>
      </w:r>
      <w:r>
        <w:rPr>
          <w:rFonts w:ascii="宋体" w:hAnsi="宋体" w:cs="Arial" w:hint="eastAsia"/>
          <w:bCs/>
          <w:sz w:val="24"/>
        </w:rPr>
        <w:t>基金招募说明书、</w:t>
      </w:r>
      <w:r>
        <w:rPr>
          <w:rFonts w:ascii="宋体" w:hAnsi="宋体" w:cs="Arial"/>
          <w:bCs/>
          <w:sz w:val="24"/>
        </w:rPr>
        <w:t>产品资料概要</w:t>
      </w:r>
      <w:r>
        <w:rPr>
          <w:rFonts w:ascii="宋体" w:hAnsi="宋体" w:cs="Arial" w:hint="eastAsia"/>
          <w:bCs/>
          <w:sz w:val="24"/>
        </w:rPr>
        <w:t>的信息发生重大变更的，基金管理人应当在三个工作日内，更新基金招募说明书、</w:t>
      </w:r>
      <w:r>
        <w:rPr>
          <w:rFonts w:ascii="宋体" w:hAnsi="宋体" w:cs="Arial"/>
          <w:bCs/>
          <w:sz w:val="24"/>
        </w:rPr>
        <w:t>产品资料概要</w:t>
      </w:r>
      <w:r>
        <w:rPr>
          <w:rFonts w:ascii="宋体" w:hAnsi="宋体" w:cs="Arial" w:hint="eastAsia"/>
          <w:bCs/>
          <w:sz w:val="24"/>
        </w:rPr>
        <w:t>并登载在</w:t>
      </w:r>
      <w:r w:rsidR="00175FD9">
        <w:rPr>
          <w:rFonts w:ascii="宋体" w:hAnsi="宋体" w:cs="Arial" w:hint="eastAsia"/>
          <w:bCs/>
          <w:sz w:val="24"/>
        </w:rPr>
        <w:t>规定网站</w:t>
      </w:r>
      <w:r>
        <w:rPr>
          <w:rFonts w:ascii="宋体" w:hAnsi="宋体" w:cs="Arial" w:hint="eastAsia"/>
          <w:bCs/>
          <w:sz w:val="24"/>
        </w:rPr>
        <w:t>上；基金招募说明书、</w:t>
      </w:r>
      <w:r>
        <w:rPr>
          <w:rFonts w:ascii="宋体" w:hAnsi="宋体" w:cs="Arial"/>
          <w:bCs/>
          <w:sz w:val="24"/>
        </w:rPr>
        <w:t>产品资料概要</w:t>
      </w:r>
      <w:r>
        <w:rPr>
          <w:rFonts w:ascii="宋体" w:hAnsi="宋体" w:cs="Arial" w:hint="eastAsia"/>
          <w:bCs/>
          <w:sz w:val="24"/>
        </w:rPr>
        <w:t>其他信息发生变更的，基金管理人至少每年更新一次，基金管理人应至少给基金托管人留出两个工作日复核。基金终止运作的，基金管理人不再更新基金招募说明书、</w:t>
      </w:r>
      <w:r>
        <w:rPr>
          <w:rFonts w:ascii="宋体" w:hAnsi="宋体" w:cs="Arial"/>
          <w:bCs/>
          <w:sz w:val="24"/>
        </w:rPr>
        <w:t>产品资料概要</w:t>
      </w:r>
      <w:r>
        <w:rPr>
          <w:rFonts w:ascii="宋体" w:hAnsi="宋体" w:cs="Arial" w:hint="eastAsia"/>
          <w:bCs/>
          <w:sz w:val="24"/>
        </w:rPr>
        <w:t>。</w:t>
      </w:r>
      <w:r>
        <w:rPr>
          <w:rFonts w:ascii="宋体" w:hAnsi="宋体" w:cs="Arial"/>
          <w:sz w:val="24"/>
        </w:rPr>
        <w:t>中期报告在</w:t>
      </w:r>
      <w:r>
        <w:rPr>
          <w:rFonts w:ascii="宋体" w:hAnsi="宋体" w:cs="Arial"/>
          <w:bCs/>
          <w:sz w:val="24"/>
        </w:rPr>
        <w:t>上半年结束之日起</w:t>
      </w:r>
      <w:r>
        <w:rPr>
          <w:rFonts w:ascii="宋体" w:hAnsi="宋体" w:cs="Arial" w:hint="eastAsia"/>
          <w:sz w:val="24"/>
        </w:rPr>
        <w:t>两个月内予以公告，基金管理人应当</w:t>
      </w:r>
      <w:r>
        <w:rPr>
          <w:rFonts w:ascii="宋体" w:hAnsi="宋体" w:cs="Arial"/>
          <w:sz w:val="24"/>
        </w:rPr>
        <w:t>在</w:t>
      </w:r>
      <w:r>
        <w:rPr>
          <w:rFonts w:ascii="宋体" w:hAnsi="宋体" w:cs="Arial"/>
          <w:bCs/>
          <w:sz w:val="24"/>
        </w:rPr>
        <w:t>上半年结束之日起</w:t>
      </w:r>
      <w:r>
        <w:rPr>
          <w:rFonts w:ascii="宋体" w:hAnsi="宋体" w:cs="Arial" w:hint="eastAsia"/>
          <w:bCs/>
          <w:sz w:val="24"/>
        </w:rPr>
        <w:t>一个月内将中期报告的财务数据发送给基金托管人，</w:t>
      </w:r>
      <w:r>
        <w:rPr>
          <w:rFonts w:ascii="宋体" w:hAnsi="宋体" w:cs="Arial" w:hint="eastAsia"/>
          <w:sz w:val="24"/>
        </w:rPr>
        <w:t>基金托管人在1个月内完成中期报告财务部分的复核</w:t>
      </w:r>
      <w:r>
        <w:rPr>
          <w:rFonts w:ascii="宋体" w:hAnsi="宋体" w:cs="Arial"/>
          <w:sz w:val="24"/>
        </w:rPr>
        <w:t>；年度报告在</w:t>
      </w:r>
      <w:r>
        <w:rPr>
          <w:rFonts w:ascii="宋体" w:hAnsi="宋体" w:cs="Arial"/>
          <w:bCs/>
          <w:sz w:val="24"/>
        </w:rPr>
        <w:t>在每年结束之日起</w:t>
      </w:r>
      <w:r>
        <w:rPr>
          <w:rFonts w:ascii="宋体" w:hAnsi="宋体" w:cs="Arial" w:hint="eastAsia"/>
          <w:sz w:val="24"/>
        </w:rPr>
        <w:t>三个月</w:t>
      </w:r>
      <w:r>
        <w:rPr>
          <w:rFonts w:ascii="宋体" w:hAnsi="宋体" w:cs="Arial"/>
          <w:sz w:val="24"/>
        </w:rPr>
        <w:t>内公告</w:t>
      </w:r>
      <w:r>
        <w:rPr>
          <w:rFonts w:ascii="宋体" w:hAnsi="宋体" w:cs="Arial" w:hint="eastAsia"/>
          <w:sz w:val="24"/>
        </w:rPr>
        <w:t>，基金管理人应当</w:t>
      </w:r>
      <w:r>
        <w:rPr>
          <w:rFonts w:ascii="宋体" w:hAnsi="宋体" w:cs="Arial"/>
          <w:sz w:val="24"/>
        </w:rPr>
        <w:t>在</w:t>
      </w:r>
      <w:r>
        <w:rPr>
          <w:rFonts w:ascii="宋体" w:hAnsi="宋体" w:cs="Arial" w:hint="eastAsia"/>
          <w:bCs/>
          <w:sz w:val="24"/>
        </w:rPr>
        <w:t>每</w:t>
      </w:r>
      <w:r>
        <w:rPr>
          <w:rFonts w:ascii="宋体" w:hAnsi="宋体" w:cs="Arial"/>
          <w:bCs/>
          <w:sz w:val="24"/>
        </w:rPr>
        <w:t>年结束之日起</w:t>
      </w:r>
      <w:r>
        <w:rPr>
          <w:rFonts w:ascii="宋体" w:hAnsi="宋体" w:cs="Arial" w:hint="eastAsia"/>
          <w:bCs/>
          <w:sz w:val="24"/>
        </w:rPr>
        <w:t>2个月内将年度报告的财务数据发送给基金托管人，</w:t>
      </w:r>
      <w:r>
        <w:rPr>
          <w:rFonts w:ascii="宋体" w:hAnsi="宋体" w:cs="Arial" w:hint="eastAsia"/>
          <w:sz w:val="24"/>
        </w:rPr>
        <w:t>基金托管人在1个月内完成</w:t>
      </w:r>
      <w:r>
        <w:rPr>
          <w:rFonts w:ascii="宋体" w:hAnsi="宋体" w:cs="Arial" w:hint="eastAsia"/>
          <w:bCs/>
          <w:sz w:val="24"/>
        </w:rPr>
        <w:t>年度报告</w:t>
      </w:r>
      <w:r>
        <w:rPr>
          <w:rFonts w:ascii="宋体" w:hAnsi="宋体" w:cs="Arial" w:hint="eastAsia"/>
          <w:sz w:val="24"/>
        </w:rPr>
        <w:t>财务部分的复核</w:t>
      </w:r>
      <w:r>
        <w:rPr>
          <w:rFonts w:ascii="宋体" w:hAnsi="宋体" w:cs="Arial"/>
          <w:sz w:val="24"/>
        </w:rPr>
        <w:t>。《基金合同》生效不足两个月的，可以不编制当期季度报告、中期报告或者年度报告。</w:t>
      </w:r>
    </w:p>
    <w:p w14:paraId="36FD0219" w14:textId="77777777" w:rsidR="000A7F8D" w:rsidRDefault="000A7F8D">
      <w:pPr>
        <w:pStyle w:val="17"/>
        <w:adjustRightInd w:val="0"/>
        <w:snapToGrid w:val="0"/>
        <w:spacing w:line="360" w:lineRule="auto"/>
        <w:rPr>
          <w:rFonts w:ascii="宋体" w:hAnsi="宋体" w:cs="Arial"/>
          <w:sz w:val="24"/>
          <w:szCs w:val="24"/>
        </w:rPr>
      </w:pPr>
      <w:r>
        <w:rPr>
          <w:rFonts w:ascii="宋体" w:hAnsi="宋体" w:cs="Arial" w:hint="eastAsia"/>
          <w:sz w:val="24"/>
          <w:szCs w:val="24"/>
        </w:rPr>
        <w:t>基金管理人应留足充分的时间，便于基金托管人复核相关报表及报告。</w:t>
      </w:r>
    </w:p>
    <w:p w14:paraId="23464716" w14:textId="77777777" w:rsidR="000A7F8D" w:rsidRDefault="000A7F8D">
      <w:pPr>
        <w:pStyle w:val="17"/>
        <w:numPr>
          <w:ilvl w:val="0"/>
          <w:numId w:val="19"/>
        </w:numPr>
        <w:adjustRightInd w:val="0"/>
        <w:snapToGrid w:val="0"/>
        <w:spacing w:line="360" w:lineRule="auto"/>
        <w:rPr>
          <w:rFonts w:ascii="宋体" w:hAnsi="宋体" w:cs="Arial"/>
          <w:sz w:val="24"/>
          <w:szCs w:val="24"/>
        </w:rPr>
      </w:pPr>
      <w:r>
        <w:rPr>
          <w:rFonts w:ascii="宋体" w:hAnsi="宋体" w:cs="Arial" w:hint="eastAsia"/>
          <w:sz w:val="24"/>
          <w:szCs w:val="24"/>
        </w:rPr>
        <w:t>基金管理人应在编制季度报告、中期报告或者年度报告之前及时向基金托管人提供基金业绩比较基准的基础数据和编制结果。</w:t>
      </w:r>
    </w:p>
    <w:p w14:paraId="5A21CDD7" w14:textId="77777777" w:rsidR="000A7F8D" w:rsidRDefault="000A7F8D">
      <w:pPr>
        <w:pStyle w:val="17"/>
        <w:numPr>
          <w:ilvl w:val="0"/>
          <w:numId w:val="19"/>
        </w:numPr>
        <w:adjustRightInd w:val="0"/>
        <w:snapToGrid w:val="0"/>
        <w:spacing w:line="360" w:lineRule="auto"/>
        <w:rPr>
          <w:rFonts w:ascii="宋体" w:hAnsi="宋体" w:cs="Arial"/>
          <w:sz w:val="24"/>
          <w:szCs w:val="24"/>
        </w:rPr>
      </w:pPr>
      <w:r>
        <w:rPr>
          <w:rFonts w:ascii="宋体" w:hAnsi="宋体" w:cs="Arial" w:hint="eastAsia"/>
          <w:sz w:val="24"/>
          <w:szCs w:val="24"/>
        </w:rPr>
        <w:t>本基金实施</w:t>
      </w:r>
      <w:proofErr w:type="gramStart"/>
      <w:r>
        <w:rPr>
          <w:rFonts w:ascii="宋体" w:hAnsi="宋体" w:cs="Arial" w:hint="eastAsia"/>
          <w:sz w:val="24"/>
          <w:szCs w:val="24"/>
        </w:rPr>
        <w:t>侧袋机制</w:t>
      </w:r>
      <w:proofErr w:type="gramEnd"/>
      <w:r>
        <w:rPr>
          <w:rFonts w:ascii="宋体" w:hAnsi="宋体" w:cs="Arial" w:hint="eastAsia"/>
          <w:sz w:val="24"/>
          <w:szCs w:val="24"/>
        </w:rPr>
        <w:t>的，应根据本部分的约定</w:t>
      </w:r>
      <w:proofErr w:type="gramStart"/>
      <w:r>
        <w:rPr>
          <w:rFonts w:ascii="宋体" w:hAnsi="宋体" w:cs="Arial" w:hint="eastAsia"/>
          <w:sz w:val="24"/>
          <w:szCs w:val="24"/>
        </w:rPr>
        <w:t>对主袋账户</w:t>
      </w:r>
      <w:proofErr w:type="gramEnd"/>
      <w:r>
        <w:rPr>
          <w:rFonts w:ascii="宋体" w:hAnsi="宋体" w:cs="Arial" w:hint="eastAsia"/>
          <w:sz w:val="24"/>
          <w:szCs w:val="24"/>
        </w:rPr>
        <w:t>资产进行估值并</w:t>
      </w:r>
      <w:proofErr w:type="gramStart"/>
      <w:r>
        <w:rPr>
          <w:rFonts w:ascii="宋体" w:hAnsi="宋体" w:cs="Arial" w:hint="eastAsia"/>
          <w:sz w:val="24"/>
          <w:szCs w:val="24"/>
        </w:rPr>
        <w:t>披露主袋账户</w:t>
      </w:r>
      <w:proofErr w:type="gramEnd"/>
      <w:r>
        <w:rPr>
          <w:rFonts w:ascii="宋体" w:hAnsi="宋体" w:cs="Arial" w:hint="eastAsia"/>
          <w:sz w:val="24"/>
          <w:szCs w:val="24"/>
        </w:rPr>
        <w:t>的基金净值</w:t>
      </w:r>
      <w:r w:rsidR="00DC0F86">
        <w:rPr>
          <w:rFonts w:ascii="宋体" w:hAnsi="宋体" w:cs="Arial" w:hint="eastAsia"/>
          <w:sz w:val="24"/>
          <w:szCs w:val="24"/>
        </w:rPr>
        <w:t>信息</w:t>
      </w:r>
      <w:r>
        <w:rPr>
          <w:rFonts w:ascii="宋体" w:hAnsi="宋体" w:cs="Arial" w:hint="eastAsia"/>
          <w:sz w:val="24"/>
          <w:szCs w:val="24"/>
        </w:rPr>
        <w:t>，暂停</w:t>
      </w:r>
      <w:proofErr w:type="gramStart"/>
      <w:r>
        <w:rPr>
          <w:rFonts w:ascii="宋体" w:hAnsi="宋体" w:cs="Arial" w:hint="eastAsia"/>
          <w:sz w:val="24"/>
          <w:szCs w:val="24"/>
        </w:rPr>
        <w:t>披露侧袋账户</w:t>
      </w:r>
      <w:proofErr w:type="gramEnd"/>
      <w:r w:rsidR="00DC0F86" w:rsidRPr="00DC0F86">
        <w:rPr>
          <w:rFonts w:ascii="宋体" w:hAnsi="宋体" w:cs="Arial" w:hint="eastAsia"/>
          <w:sz w:val="24"/>
          <w:szCs w:val="24"/>
        </w:rPr>
        <w:t>的基金净值信息</w:t>
      </w:r>
      <w:r>
        <w:rPr>
          <w:rFonts w:ascii="宋体" w:hAnsi="宋体" w:cs="Arial" w:hint="eastAsia"/>
          <w:sz w:val="24"/>
          <w:szCs w:val="24"/>
        </w:rPr>
        <w:t>。</w:t>
      </w:r>
    </w:p>
    <w:p w14:paraId="5DE28972" w14:textId="77777777" w:rsidR="000A7F8D" w:rsidRDefault="000A7F8D">
      <w:pPr>
        <w:pStyle w:val="1"/>
        <w:numPr>
          <w:ilvl w:val="0"/>
          <w:numId w:val="1"/>
        </w:numPr>
        <w:spacing w:line="360" w:lineRule="auto"/>
        <w:jc w:val="center"/>
        <w:rPr>
          <w:rFonts w:ascii="宋体" w:hAnsi="宋体"/>
          <w:sz w:val="28"/>
          <w:szCs w:val="28"/>
        </w:rPr>
      </w:pPr>
      <w:bookmarkStart w:id="172" w:name="_Toc295832647"/>
      <w:bookmarkStart w:id="173" w:name="_Toc295833684"/>
      <w:bookmarkStart w:id="174" w:name="_Toc295833685"/>
      <w:bookmarkStart w:id="175" w:name="_Toc295833013"/>
      <w:bookmarkStart w:id="176" w:name="_Toc295832953"/>
      <w:bookmarkStart w:id="177" w:name="_Toc295832954"/>
      <w:bookmarkStart w:id="178" w:name="_Toc295832646"/>
      <w:bookmarkStart w:id="179" w:name="_Toc295833014"/>
      <w:bookmarkEnd w:id="172"/>
      <w:bookmarkEnd w:id="173"/>
      <w:bookmarkEnd w:id="174"/>
      <w:bookmarkEnd w:id="175"/>
      <w:bookmarkEnd w:id="176"/>
      <w:bookmarkEnd w:id="177"/>
      <w:bookmarkEnd w:id="178"/>
      <w:bookmarkEnd w:id="179"/>
      <w:r>
        <w:rPr>
          <w:rFonts w:ascii="宋体" w:hAnsi="宋体" w:cs="Arial"/>
          <w:sz w:val="24"/>
          <w:szCs w:val="24"/>
        </w:rPr>
        <w:br w:type="page"/>
      </w:r>
      <w:bookmarkStart w:id="180" w:name="_Toc295833015"/>
      <w:bookmarkStart w:id="181" w:name="_Toc295832955"/>
      <w:bookmarkStart w:id="182" w:name="_Toc295833686"/>
      <w:bookmarkStart w:id="183" w:name="_Toc295832648"/>
      <w:bookmarkStart w:id="184" w:name="_Toc450839475"/>
      <w:bookmarkStart w:id="185" w:name="_Toc270669860"/>
      <w:bookmarkStart w:id="186" w:name="_Toc124325893"/>
      <w:bookmarkEnd w:id="180"/>
      <w:bookmarkEnd w:id="181"/>
      <w:bookmarkEnd w:id="182"/>
      <w:bookmarkEnd w:id="183"/>
      <w:r>
        <w:rPr>
          <w:rFonts w:ascii="宋体" w:hAnsi="宋体" w:hint="eastAsia"/>
          <w:sz w:val="28"/>
          <w:szCs w:val="28"/>
        </w:rPr>
        <w:lastRenderedPageBreak/>
        <w:t>基金收益分配</w:t>
      </w:r>
      <w:bookmarkEnd w:id="184"/>
      <w:bookmarkEnd w:id="185"/>
      <w:bookmarkEnd w:id="186"/>
    </w:p>
    <w:p w14:paraId="56BFBA2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基金收益分配是指按规定将基金的可分配收益按基金份额进行比例分配。</w:t>
      </w:r>
    </w:p>
    <w:p w14:paraId="14560912"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（一）基金收益分配的原则</w:t>
      </w:r>
    </w:p>
    <w:p w14:paraId="43A6BE45"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基金收益分配应遵循下列原则：</w:t>
      </w:r>
    </w:p>
    <w:p w14:paraId="0929D08C" w14:textId="304C4736" w:rsidR="00D357E3" w:rsidRDefault="002D40B3" w:rsidP="002D40B3">
      <w:pPr>
        <w:spacing w:line="360" w:lineRule="auto"/>
        <w:ind w:firstLine="540"/>
        <w:rPr>
          <w:bCs/>
          <w:sz w:val="24"/>
        </w:rPr>
      </w:pPr>
      <w:bookmarkStart w:id="187" w:name="_Hlk206684964"/>
      <w:r>
        <w:rPr>
          <w:rFonts w:hint="eastAsia"/>
          <w:bCs/>
          <w:sz w:val="24"/>
        </w:rPr>
        <w:t>1</w:t>
      </w:r>
      <w:r>
        <w:rPr>
          <w:rFonts w:hint="eastAsia"/>
          <w:bCs/>
          <w:sz w:val="24"/>
        </w:rPr>
        <w:t>、</w:t>
      </w:r>
      <w:r w:rsidRPr="00E57417">
        <w:rPr>
          <w:bCs/>
          <w:sz w:val="24"/>
        </w:rPr>
        <w:t>在符合有关基金分红条件的前提下，本基金</w:t>
      </w:r>
      <w:r w:rsidR="00D357E3" w:rsidRPr="009B316C">
        <w:rPr>
          <w:rFonts w:hint="eastAsia"/>
          <w:bCs/>
          <w:sz w:val="24"/>
        </w:rPr>
        <w:t>于每</w:t>
      </w:r>
      <w:r w:rsidR="00D357E3">
        <w:rPr>
          <w:rFonts w:hint="eastAsia"/>
          <w:bCs/>
          <w:sz w:val="24"/>
        </w:rPr>
        <w:t>季度</w:t>
      </w:r>
      <w:r w:rsidR="00D357E3" w:rsidRPr="009B316C">
        <w:rPr>
          <w:rFonts w:hint="eastAsia"/>
          <w:bCs/>
          <w:sz w:val="24"/>
        </w:rPr>
        <w:t>最后一个交易日（以下简称“评价日”）对基金的可供分配利润进行评价，</w:t>
      </w:r>
      <w:proofErr w:type="gramStart"/>
      <w:r w:rsidR="00D357E3" w:rsidRPr="009B316C">
        <w:rPr>
          <w:rFonts w:hint="eastAsia"/>
          <w:bCs/>
          <w:sz w:val="24"/>
        </w:rPr>
        <w:t>评价日核定</w:t>
      </w:r>
      <w:proofErr w:type="gramEnd"/>
      <w:r w:rsidR="00D357E3" w:rsidRPr="009B316C">
        <w:rPr>
          <w:rFonts w:hint="eastAsia"/>
          <w:bCs/>
          <w:sz w:val="24"/>
        </w:rPr>
        <w:t>的每份基金份额可供分配利润高于</w:t>
      </w:r>
      <w:r w:rsidR="00D357E3" w:rsidRPr="009B316C">
        <w:rPr>
          <w:rFonts w:hint="eastAsia"/>
          <w:bCs/>
          <w:sz w:val="24"/>
        </w:rPr>
        <w:t>0.01</w:t>
      </w:r>
      <w:r w:rsidR="00D357E3" w:rsidRPr="009B316C">
        <w:rPr>
          <w:rFonts w:hint="eastAsia"/>
          <w:bCs/>
          <w:sz w:val="24"/>
        </w:rPr>
        <w:t>元（含）时，</w:t>
      </w:r>
      <w:r w:rsidR="00D357E3" w:rsidRPr="002E626A">
        <w:rPr>
          <w:rFonts w:hint="eastAsia"/>
          <w:bCs/>
          <w:sz w:val="24"/>
        </w:rPr>
        <w:t>基金管理人将进行收益分配。</w:t>
      </w:r>
      <w:r w:rsidR="00D357E3" w:rsidRPr="009B316C">
        <w:rPr>
          <w:rFonts w:hint="eastAsia"/>
          <w:bCs/>
          <w:sz w:val="24"/>
        </w:rPr>
        <w:t>具体分配方案以公告为准，</w:t>
      </w:r>
      <w:r w:rsidRPr="00E57417">
        <w:rPr>
          <w:bCs/>
          <w:sz w:val="24"/>
        </w:rPr>
        <w:t>若《基金合同》生效不满</w:t>
      </w:r>
      <w:r w:rsidRPr="00E57417">
        <w:rPr>
          <w:bCs/>
          <w:sz w:val="24"/>
        </w:rPr>
        <w:t>3</w:t>
      </w:r>
      <w:r w:rsidRPr="00E57417">
        <w:rPr>
          <w:bCs/>
          <w:sz w:val="24"/>
        </w:rPr>
        <w:t>个月可不进行收益分配；</w:t>
      </w:r>
    </w:p>
    <w:p w14:paraId="6EDE48E3" w14:textId="347ECC51" w:rsidR="002D40B3" w:rsidRDefault="00D357E3" w:rsidP="002D40B3">
      <w:pPr>
        <w:spacing w:line="360" w:lineRule="auto"/>
        <w:ind w:firstLine="540"/>
        <w:rPr>
          <w:bCs/>
          <w:sz w:val="24"/>
        </w:rPr>
      </w:pPr>
      <w:r>
        <w:rPr>
          <w:rFonts w:hint="eastAsia"/>
          <w:bCs/>
          <w:sz w:val="24"/>
        </w:rPr>
        <w:t>2</w:t>
      </w:r>
      <w:r>
        <w:rPr>
          <w:rFonts w:hint="eastAsia"/>
          <w:bCs/>
          <w:sz w:val="24"/>
        </w:rPr>
        <w:t>、</w:t>
      </w:r>
      <w:r w:rsidR="002D40B3" w:rsidRPr="00E57417">
        <w:rPr>
          <w:bCs/>
          <w:sz w:val="24"/>
        </w:rPr>
        <w:t>本基金收益分配方式为现金分红方式，不支持红利再投资方式；</w:t>
      </w:r>
    </w:p>
    <w:p w14:paraId="609F14EA" w14:textId="7954A334" w:rsidR="002D40B3" w:rsidRDefault="00D357E3" w:rsidP="002D40B3">
      <w:pPr>
        <w:spacing w:line="360" w:lineRule="auto"/>
        <w:ind w:firstLine="540"/>
        <w:rPr>
          <w:bCs/>
          <w:sz w:val="24"/>
        </w:rPr>
      </w:pPr>
      <w:r>
        <w:rPr>
          <w:bCs/>
          <w:sz w:val="24"/>
        </w:rPr>
        <w:t>3</w:t>
      </w:r>
      <w:r w:rsidR="002D40B3">
        <w:rPr>
          <w:rFonts w:hint="eastAsia"/>
          <w:bCs/>
          <w:sz w:val="24"/>
        </w:rPr>
        <w:t>、基金收益分配后各类基金份额净值不能低于面值，即基金收益分配基准日的各类基金份额净值减去每单位该类基金份额收益分配金额后不能低于面值；</w:t>
      </w:r>
    </w:p>
    <w:p w14:paraId="51F236F0" w14:textId="3F05F1C2" w:rsidR="002D40B3" w:rsidRDefault="00D357E3" w:rsidP="002D40B3">
      <w:pPr>
        <w:spacing w:line="360" w:lineRule="auto"/>
        <w:ind w:firstLine="540"/>
        <w:rPr>
          <w:bCs/>
          <w:sz w:val="24"/>
        </w:rPr>
      </w:pPr>
      <w:r>
        <w:rPr>
          <w:bCs/>
          <w:sz w:val="24"/>
        </w:rPr>
        <w:t>4</w:t>
      </w:r>
      <w:r w:rsidR="002D40B3">
        <w:rPr>
          <w:rFonts w:hint="eastAsia"/>
          <w:bCs/>
          <w:sz w:val="24"/>
        </w:rPr>
        <w:t>、由于本基金</w:t>
      </w:r>
      <w:r w:rsidR="002D40B3">
        <w:rPr>
          <w:rFonts w:hint="eastAsia"/>
          <w:bCs/>
          <w:sz w:val="24"/>
        </w:rPr>
        <w:t>A</w:t>
      </w:r>
      <w:r w:rsidR="002D40B3">
        <w:rPr>
          <w:rFonts w:hint="eastAsia"/>
          <w:bCs/>
          <w:sz w:val="24"/>
        </w:rPr>
        <w:t>类基金份额不收取销售服务费，而</w:t>
      </w:r>
      <w:r w:rsidR="002D40B3">
        <w:rPr>
          <w:rFonts w:hint="eastAsia"/>
          <w:bCs/>
          <w:sz w:val="24"/>
        </w:rPr>
        <w:t>C</w:t>
      </w:r>
      <w:r w:rsidR="002D40B3">
        <w:rPr>
          <w:rFonts w:hint="eastAsia"/>
          <w:bCs/>
          <w:sz w:val="24"/>
        </w:rPr>
        <w:t>类基金份额收取销售服务费，各基金份额类别对应的可供分配利润将有所不同。同一类别的每一基金份额享有同等分配权；</w:t>
      </w:r>
    </w:p>
    <w:p w14:paraId="54327E89" w14:textId="621880A8" w:rsidR="002D40B3" w:rsidRDefault="00D357E3" w:rsidP="002D40B3">
      <w:pPr>
        <w:spacing w:line="360" w:lineRule="auto"/>
        <w:ind w:firstLine="540"/>
        <w:rPr>
          <w:bCs/>
          <w:sz w:val="24"/>
        </w:rPr>
      </w:pPr>
      <w:r>
        <w:rPr>
          <w:bCs/>
          <w:sz w:val="24"/>
        </w:rPr>
        <w:t>5</w:t>
      </w:r>
      <w:r w:rsidR="002D40B3">
        <w:rPr>
          <w:rFonts w:hint="eastAsia"/>
          <w:bCs/>
          <w:sz w:val="24"/>
        </w:rPr>
        <w:t>、法律法规或监管机关另有规定的，从其规定。</w:t>
      </w:r>
    </w:p>
    <w:p w14:paraId="302D3672" w14:textId="77777777" w:rsidR="002D40B3" w:rsidRDefault="002D40B3" w:rsidP="002D40B3">
      <w:pPr>
        <w:spacing w:line="360" w:lineRule="auto"/>
        <w:ind w:firstLine="540"/>
        <w:rPr>
          <w:bCs/>
          <w:sz w:val="24"/>
        </w:rPr>
      </w:pPr>
      <w:r>
        <w:rPr>
          <w:rFonts w:hint="eastAsia"/>
          <w:bCs/>
          <w:sz w:val="24"/>
        </w:rPr>
        <w:t>在不违反法律法规且对基金份额持有人利益无实质性不利影响的前提下，基金管理人与基金托管人协商一致并</w:t>
      </w:r>
      <w:r w:rsidRPr="00C17F37">
        <w:rPr>
          <w:rFonts w:hint="eastAsia"/>
          <w:bCs/>
          <w:sz w:val="24"/>
        </w:rPr>
        <w:t>按照监管部门要求履行适当程序</w:t>
      </w:r>
      <w:r>
        <w:rPr>
          <w:rFonts w:hint="eastAsia"/>
          <w:bCs/>
          <w:sz w:val="24"/>
        </w:rPr>
        <w:t>后，可对基金收益分配原则进行调整。</w:t>
      </w:r>
    </w:p>
    <w:bookmarkEnd w:id="187"/>
    <w:p w14:paraId="26834510"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（二）基金收益分配的时间和程序</w:t>
      </w:r>
    </w:p>
    <w:p w14:paraId="14FD4FFB" w14:textId="77777777" w:rsidR="000A7F8D" w:rsidRDefault="000A7F8D">
      <w:pPr>
        <w:numPr>
          <w:ilvl w:val="0"/>
          <w:numId w:val="20"/>
        </w:numPr>
        <w:adjustRightInd w:val="0"/>
        <w:snapToGrid w:val="0"/>
        <w:spacing w:line="360" w:lineRule="auto"/>
        <w:ind w:left="0" w:firstLine="426"/>
        <w:rPr>
          <w:rStyle w:val="read"/>
          <w:rFonts w:ascii="宋体" w:hAnsi="宋体"/>
          <w:sz w:val="24"/>
        </w:rPr>
      </w:pPr>
      <w:r>
        <w:rPr>
          <w:rFonts w:ascii="宋体" w:hAnsi="宋体" w:hint="eastAsia"/>
          <w:bCs/>
          <w:sz w:val="24"/>
        </w:rPr>
        <w:t>本基金收益分配方案由基金管理人拟定，并由基金托管人复核</w:t>
      </w:r>
      <w:r>
        <w:rPr>
          <w:rFonts w:ascii="宋体" w:hAnsi="宋体" w:hint="eastAsia"/>
          <w:bCs/>
        </w:rPr>
        <w:t>后确定</w:t>
      </w:r>
      <w:r>
        <w:rPr>
          <w:rFonts w:ascii="宋体" w:hAnsi="宋体" w:hint="eastAsia"/>
          <w:bCs/>
          <w:sz w:val="24"/>
        </w:rPr>
        <w:t>，</w:t>
      </w:r>
      <w:r w:rsidR="009378D7" w:rsidRPr="009378D7">
        <w:rPr>
          <w:rFonts w:ascii="宋体" w:hAnsi="宋体" w:hint="eastAsia"/>
          <w:bCs/>
          <w:sz w:val="24"/>
        </w:rPr>
        <w:t>照《信息披露办法》的有关</w:t>
      </w:r>
      <w:r>
        <w:rPr>
          <w:rFonts w:ascii="宋体" w:hAnsi="宋体" w:hint="eastAsia"/>
          <w:bCs/>
          <w:sz w:val="24"/>
        </w:rPr>
        <w:t>规定在</w:t>
      </w:r>
      <w:r w:rsidR="00175FD9">
        <w:rPr>
          <w:rFonts w:ascii="宋体" w:hAnsi="宋体" w:hint="eastAsia"/>
          <w:bCs/>
          <w:sz w:val="24"/>
        </w:rPr>
        <w:t>规定媒介</w:t>
      </w:r>
      <w:r>
        <w:rPr>
          <w:rFonts w:ascii="宋体" w:hAnsi="宋体" w:hint="eastAsia"/>
          <w:bCs/>
          <w:sz w:val="24"/>
        </w:rPr>
        <w:t>公告。</w:t>
      </w:r>
    </w:p>
    <w:p w14:paraId="54F20981" w14:textId="77777777" w:rsidR="000A7F8D" w:rsidRDefault="000A7F8D">
      <w:pPr>
        <w:numPr>
          <w:ilvl w:val="0"/>
          <w:numId w:val="20"/>
        </w:numPr>
        <w:adjustRightInd w:val="0"/>
        <w:snapToGrid w:val="0"/>
        <w:spacing w:line="360" w:lineRule="auto"/>
        <w:ind w:left="0" w:firstLine="426"/>
        <w:rPr>
          <w:rStyle w:val="read"/>
          <w:rFonts w:ascii="宋体" w:hAnsi="宋体"/>
          <w:sz w:val="24"/>
        </w:rPr>
      </w:pPr>
      <w:r>
        <w:rPr>
          <w:rStyle w:val="read"/>
          <w:rFonts w:ascii="宋体" w:hAnsi="宋体" w:hint="eastAsia"/>
          <w:sz w:val="24"/>
        </w:rPr>
        <w:t>法律法规或监管机关另有规定的，从其规定。</w:t>
      </w:r>
    </w:p>
    <w:p w14:paraId="646371FA" w14:textId="77777777" w:rsidR="000A7F8D" w:rsidRDefault="000A7F8D">
      <w:pPr>
        <w:spacing w:line="360" w:lineRule="auto"/>
        <w:ind w:firstLineChars="200" w:firstLine="480"/>
        <w:rPr>
          <w:rFonts w:ascii="宋体" w:hAnsi="宋体"/>
          <w:bCs/>
          <w:sz w:val="24"/>
        </w:rPr>
      </w:pPr>
      <w:r>
        <w:rPr>
          <w:rFonts w:ascii="宋体" w:hAnsi="宋体" w:hint="eastAsia"/>
          <w:bCs/>
          <w:sz w:val="24"/>
        </w:rPr>
        <w:t>（三）</w:t>
      </w:r>
      <w:r>
        <w:rPr>
          <w:rFonts w:ascii="宋体" w:hAnsi="宋体"/>
          <w:bCs/>
          <w:sz w:val="24"/>
        </w:rPr>
        <w:t>基金收益分配中发生的费用</w:t>
      </w:r>
    </w:p>
    <w:p w14:paraId="56187509" w14:textId="21D04B18" w:rsidR="000A7F8D" w:rsidRDefault="000A7F8D">
      <w:pPr>
        <w:spacing w:line="360" w:lineRule="auto"/>
        <w:ind w:firstLineChars="200" w:firstLine="480"/>
        <w:rPr>
          <w:rFonts w:ascii="宋体" w:hAnsi="宋体"/>
          <w:bCs/>
          <w:sz w:val="24"/>
        </w:rPr>
      </w:pPr>
      <w:r>
        <w:rPr>
          <w:rFonts w:ascii="宋体" w:hAnsi="宋体"/>
          <w:bCs/>
          <w:sz w:val="24"/>
        </w:rPr>
        <w:t>基金收益分配时所发生的银行转账或其他手续费用由投资者自行承担。</w:t>
      </w:r>
      <w:r>
        <w:rPr>
          <w:rFonts w:ascii="宋体" w:hAnsi="宋体" w:hint="eastAsia"/>
          <w:bCs/>
          <w:sz w:val="24"/>
        </w:rPr>
        <w:t>基金管理人出具划款指令时应扣除投资者应承担的转账或其他手续费用。</w:t>
      </w:r>
    </w:p>
    <w:p w14:paraId="034EC5B9" w14:textId="77777777" w:rsidR="000A7F8D" w:rsidRDefault="000A7F8D">
      <w:pPr>
        <w:adjustRightInd w:val="0"/>
        <w:snapToGrid w:val="0"/>
        <w:spacing w:line="360" w:lineRule="auto"/>
        <w:ind w:left="426"/>
        <w:rPr>
          <w:rStyle w:val="read"/>
          <w:rFonts w:ascii="宋体" w:hAnsi="宋体"/>
          <w:sz w:val="24"/>
        </w:rPr>
      </w:pPr>
      <w:r>
        <w:rPr>
          <w:rStyle w:val="read"/>
          <w:rFonts w:ascii="宋体" w:hAnsi="宋体" w:hint="eastAsia"/>
          <w:sz w:val="24"/>
        </w:rPr>
        <w:t>（四）实施</w:t>
      </w:r>
      <w:proofErr w:type="gramStart"/>
      <w:r>
        <w:rPr>
          <w:rStyle w:val="read"/>
          <w:rFonts w:ascii="宋体" w:hAnsi="宋体" w:hint="eastAsia"/>
          <w:sz w:val="24"/>
        </w:rPr>
        <w:t>侧袋机制</w:t>
      </w:r>
      <w:proofErr w:type="gramEnd"/>
      <w:r>
        <w:rPr>
          <w:rStyle w:val="read"/>
          <w:rFonts w:ascii="宋体" w:hAnsi="宋体" w:hint="eastAsia"/>
          <w:sz w:val="24"/>
        </w:rPr>
        <w:t>期间的收益分配</w:t>
      </w:r>
    </w:p>
    <w:p w14:paraId="0003E975" w14:textId="77777777" w:rsidR="000A7F8D" w:rsidRDefault="000A7F8D">
      <w:pPr>
        <w:adjustRightInd w:val="0"/>
        <w:snapToGrid w:val="0"/>
        <w:spacing w:line="360" w:lineRule="auto"/>
        <w:ind w:left="426"/>
        <w:rPr>
          <w:rStyle w:val="read"/>
          <w:rFonts w:ascii="宋体" w:hAnsi="宋体"/>
          <w:sz w:val="24"/>
        </w:rPr>
      </w:pPr>
      <w:r>
        <w:rPr>
          <w:rStyle w:val="read"/>
          <w:rFonts w:ascii="宋体" w:hAnsi="宋体" w:hint="eastAsia"/>
          <w:sz w:val="24"/>
        </w:rPr>
        <w:t>本基金实施</w:t>
      </w:r>
      <w:proofErr w:type="gramStart"/>
      <w:r>
        <w:rPr>
          <w:rStyle w:val="read"/>
          <w:rFonts w:ascii="宋体" w:hAnsi="宋体" w:hint="eastAsia"/>
          <w:sz w:val="24"/>
        </w:rPr>
        <w:t>侧袋机制</w:t>
      </w:r>
      <w:proofErr w:type="gramEnd"/>
      <w:r>
        <w:rPr>
          <w:rStyle w:val="read"/>
          <w:rFonts w:ascii="宋体" w:hAnsi="宋体" w:hint="eastAsia"/>
          <w:sz w:val="24"/>
        </w:rPr>
        <w:t>的，</w:t>
      </w:r>
      <w:proofErr w:type="gramStart"/>
      <w:r>
        <w:rPr>
          <w:rStyle w:val="read"/>
          <w:rFonts w:ascii="宋体" w:hAnsi="宋体" w:hint="eastAsia"/>
          <w:sz w:val="24"/>
        </w:rPr>
        <w:t>侧袋账户</w:t>
      </w:r>
      <w:proofErr w:type="gramEnd"/>
      <w:r>
        <w:rPr>
          <w:rStyle w:val="read"/>
          <w:rFonts w:ascii="宋体" w:hAnsi="宋体" w:hint="eastAsia"/>
          <w:sz w:val="24"/>
        </w:rPr>
        <w:t>不进行收益分配，详见招募说明书的规定。</w:t>
      </w:r>
    </w:p>
    <w:p w14:paraId="311FD72B"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188" w:name="_Toc295832957"/>
      <w:bookmarkStart w:id="189" w:name="_Toc295833688"/>
      <w:bookmarkStart w:id="190" w:name="_Toc295832650"/>
      <w:bookmarkStart w:id="191" w:name="_Toc295833017"/>
      <w:bookmarkStart w:id="192" w:name="_Toc450839476"/>
      <w:bookmarkStart w:id="193" w:name="_Toc124325894"/>
      <w:bookmarkStart w:id="194" w:name="_Toc270669861"/>
      <w:bookmarkEnd w:id="188"/>
      <w:bookmarkEnd w:id="189"/>
      <w:bookmarkEnd w:id="190"/>
      <w:bookmarkEnd w:id="191"/>
      <w:r>
        <w:rPr>
          <w:rFonts w:ascii="宋体" w:hAnsi="宋体" w:hint="eastAsia"/>
          <w:sz w:val="28"/>
          <w:szCs w:val="28"/>
        </w:rPr>
        <w:lastRenderedPageBreak/>
        <w:t>基金信息披露</w:t>
      </w:r>
      <w:bookmarkEnd w:id="192"/>
      <w:bookmarkEnd w:id="193"/>
      <w:bookmarkEnd w:id="194"/>
    </w:p>
    <w:p w14:paraId="2D8E56CC" w14:textId="77777777" w:rsidR="000A7F8D" w:rsidRDefault="000A7F8D">
      <w:pPr>
        <w:adjustRightInd w:val="0"/>
        <w:snapToGrid w:val="0"/>
        <w:spacing w:line="360" w:lineRule="auto"/>
        <w:ind w:firstLine="480"/>
        <w:rPr>
          <w:rFonts w:ascii="宋体" w:hAnsi="宋体" w:cs="Arial"/>
          <w:sz w:val="24"/>
        </w:rPr>
      </w:pPr>
      <w:r>
        <w:rPr>
          <w:rFonts w:ascii="宋体" w:hAnsi="宋体" w:cs="Arial" w:hint="eastAsia"/>
          <w:sz w:val="24"/>
        </w:rPr>
        <w:t>（一）保密义务</w:t>
      </w:r>
    </w:p>
    <w:p w14:paraId="48A4926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基金托管人和基金管理人应按法律法规、基金合同的有关规定进行信息披露，拟公开披露的信息在公开披露之前应予保密。除按《基金法》、基金合同、《信息披露办法》、</w:t>
      </w:r>
      <w:r>
        <w:rPr>
          <w:rFonts w:ascii="宋体" w:hAnsi="宋体" w:cs="Arial"/>
          <w:sz w:val="24"/>
        </w:rPr>
        <w:t>《</w:t>
      </w:r>
      <w:r>
        <w:rPr>
          <w:rFonts w:ascii="宋体" w:hAnsi="宋体" w:cs="Arial" w:hint="eastAsia"/>
          <w:sz w:val="24"/>
        </w:rPr>
        <w:t>流动性</w:t>
      </w:r>
      <w:r>
        <w:rPr>
          <w:rFonts w:ascii="宋体" w:hAnsi="宋体" w:cs="Arial"/>
          <w:sz w:val="24"/>
        </w:rPr>
        <w:t>风险管理规定》</w:t>
      </w:r>
      <w:r>
        <w:rPr>
          <w:rFonts w:ascii="宋体" w:hAnsi="宋体" w:cs="Arial" w:hint="eastAsia"/>
          <w:sz w:val="24"/>
        </w:rPr>
        <w:t>及其他有关规定进行信息披露外，基金管理人和基金托管人对基金运作中产生的信息以及从对方获得的业务信息应予保密。但是，如下情况不应视为基金管理人或基金托管人违反保密义务：</w:t>
      </w:r>
    </w:p>
    <w:p w14:paraId="6C92098E" w14:textId="77777777" w:rsidR="000A7F8D" w:rsidRDefault="000A7F8D">
      <w:pPr>
        <w:numPr>
          <w:ilvl w:val="0"/>
          <w:numId w:val="21"/>
        </w:numPr>
        <w:adjustRightInd w:val="0"/>
        <w:snapToGrid w:val="0"/>
        <w:spacing w:line="360" w:lineRule="auto"/>
        <w:ind w:left="0" w:firstLine="480"/>
        <w:rPr>
          <w:rStyle w:val="read"/>
          <w:rFonts w:ascii="宋体" w:hAnsi="宋体"/>
          <w:sz w:val="24"/>
        </w:rPr>
      </w:pPr>
      <w:r>
        <w:rPr>
          <w:rStyle w:val="read"/>
          <w:rFonts w:ascii="宋体" w:hAnsi="宋体" w:hint="eastAsia"/>
          <w:sz w:val="24"/>
        </w:rPr>
        <w:t>非因基金管理人和基金托管人的原因导致保密信息被披露、泄露或公开；</w:t>
      </w:r>
    </w:p>
    <w:p w14:paraId="39858200" w14:textId="77777777" w:rsidR="000A7F8D" w:rsidRDefault="000A7F8D">
      <w:pPr>
        <w:numPr>
          <w:ilvl w:val="0"/>
          <w:numId w:val="21"/>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基金管理人和基金托管人为遵守和服从法院判决或裁定、仲裁裁决或中国证监会等监管机构的命令、决定所做出的信息披露或公开。</w:t>
      </w:r>
    </w:p>
    <w:p w14:paraId="51D905C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（二）信息披露的内容</w:t>
      </w:r>
    </w:p>
    <w:p w14:paraId="0DBE891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基金的信息披露内容主要包括基金招募说明书、</w:t>
      </w:r>
      <w:r>
        <w:rPr>
          <w:rFonts w:ascii="宋体" w:hAnsi="宋体" w:hint="eastAsia"/>
          <w:bCs/>
          <w:sz w:val="24"/>
        </w:rPr>
        <w:t>基金产品资料概要、</w:t>
      </w:r>
      <w:r>
        <w:rPr>
          <w:rFonts w:ascii="宋体" w:hAnsi="宋体" w:cs="Arial" w:hint="eastAsia"/>
          <w:sz w:val="24"/>
        </w:rPr>
        <w:t>基金合同、托管协议、基金份额发售公告、基金合同生效公告、基金净值信息、基金份额申购、赎回价格、基金定期报告（包括基金年度报告、基金中期报告和基金季度报告（含资产组合季度报告））、临时报告、澄清公告、基金份额持有人大会决议、清算报告、</w:t>
      </w:r>
      <w:r w:rsidR="00F250E2" w:rsidRPr="00F250E2">
        <w:rPr>
          <w:rFonts w:ascii="宋体" w:hAnsi="宋体" w:cs="Arial" w:hint="eastAsia"/>
          <w:sz w:val="24"/>
        </w:rPr>
        <w:t>股指期货的交易情况</w:t>
      </w:r>
      <w:r w:rsidR="00F250E2">
        <w:rPr>
          <w:rFonts w:ascii="宋体" w:hAnsi="宋体" w:cs="Arial" w:hint="eastAsia"/>
          <w:sz w:val="24"/>
        </w:rPr>
        <w:t>、</w:t>
      </w:r>
      <w:r w:rsidR="00F250E2" w:rsidRPr="00F250E2">
        <w:rPr>
          <w:rFonts w:ascii="宋体" w:hAnsi="宋体" w:cs="Arial" w:hint="eastAsia"/>
          <w:sz w:val="24"/>
        </w:rPr>
        <w:t>国债期货的交易情况</w:t>
      </w:r>
      <w:r w:rsidR="00F250E2">
        <w:rPr>
          <w:rFonts w:ascii="宋体" w:hAnsi="宋体" w:cs="Arial" w:hint="eastAsia"/>
          <w:sz w:val="24"/>
        </w:rPr>
        <w:t>、</w:t>
      </w:r>
      <w:r w:rsidR="00F250E2" w:rsidRPr="00F250E2">
        <w:rPr>
          <w:rFonts w:ascii="宋体" w:hAnsi="宋体" w:cs="Arial" w:hint="eastAsia"/>
          <w:sz w:val="24"/>
        </w:rPr>
        <w:t>股票期权的投资情况</w:t>
      </w:r>
      <w:r w:rsidR="00F250E2">
        <w:rPr>
          <w:rFonts w:ascii="宋体" w:hAnsi="宋体" w:cs="Arial" w:hint="eastAsia"/>
          <w:sz w:val="24"/>
        </w:rPr>
        <w:t>、</w:t>
      </w:r>
      <w:r w:rsidR="00F250E2" w:rsidRPr="00F250E2">
        <w:rPr>
          <w:rFonts w:ascii="宋体" w:hAnsi="宋体" w:cs="Arial" w:hint="eastAsia"/>
          <w:sz w:val="24"/>
        </w:rPr>
        <w:t>资产支持证券的投资情况</w:t>
      </w:r>
      <w:r w:rsidR="00F250E2">
        <w:rPr>
          <w:rFonts w:ascii="宋体" w:hAnsi="宋体" w:cs="Arial" w:hint="eastAsia"/>
          <w:sz w:val="24"/>
        </w:rPr>
        <w:t>、</w:t>
      </w:r>
      <w:r w:rsidR="00F250E2" w:rsidRPr="00F250E2">
        <w:rPr>
          <w:rFonts w:ascii="宋体" w:hAnsi="宋体" w:cs="Arial" w:hint="eastAsia"/>
          <w:sz w:val="24"/>
        </w:rPr>
        <w:t>港股通标的股票的投资情况</w:t>
      </w:r>
      <w:r w:rsidR="00F250E2">
        <w:rPr>
          <w:rFonts w:ascii="宋体" w:hAnsi="宋体" w:cs="Arial" w:hint="eastAsia"/>
          <w:sz w:val="24"/>
        </w:rPr>
        <w:t>、</w:t>
      </w:r>
      <w:r w:rsidR="00F250E2" w:rsidRPr="00F250E2">
        <w:rPr>
          <w:rFonts w:ascii="宋体" w:hAnsi="宋体" w:cs="Arial" w:hint="eastAsia"/>
          <w:sz w:val="24"/>
        </w:rPr>
        <w:t>信用衍生品的投资情况</w:t>
      </w:r>
      <w:r w:rsidR="00F250E2">
        <w:rPr>
          <w:rFonts w:ascii="宋体" w:hAnsi="宋体" w:cs="Arial" w:hint="eastAsia"/>
          <w:sz w:val="24"/>
        </w:rPr>
        <w:t>、</w:t>
      </w:r>
      <w:r w:rsidR="00F250E2" w:rsidRPr="00F250E2">
        <w:rPr>
          <w:rFonts w:ascii="宋体" w:hAnsi="宋体" w:cs="Arial" w:hint="eastAsia"/>
          <w:sz w:val="24"/>
        </w:rPr>
        <w:t>参与融资业务的情况</w:t>
      </w:r>
      <w:r w:rsidR="00F250E2">
        <w:rPr>
          <w:rFonts w:ascii="宋体" w:hAnsi="宋体" w:cs="Arial" w:hint="eastAsia"/>
          <w:sz w:val="24"/>
        </w:rPr>
        <w:t>、</w:t>
      </w:r>
      <w:r>
        <w:rPr>
          <w:rFonts w:ascii="宋体" w:hAnsi="宋体" w:cs="Arial" w:hint="eastAsia"/>
          <w:sz w:val="24"/>
        </w:rPr>
        <w:t>实施</w:t>
      </w:r>
      <w:proofErr w:type="gramStart"/>
      <w:r>
        <w:rPr>
          <w:rFonts w:ascii="宋体" w:hAnsi="宋体" w:cs="Arial" w:hint="eastAsia"/>
          <w:sz w:val="24"/>
        </w:rPr>
        <w:t>侧袋机制</w:t>
      </w:r>
      <w:proofErr w:type="gramEnd"/>
      <w:r>
        <w:rPr>
          <w:rFonts w:ascii="宋体" w:hAnsi="宋体" w:cs="Arial" w:hint="eastAsia"/>
          <w:sz w:val="24"/>
        </w:rPr>
        <w:t>期间的信息披露、中国证监会规定的其他信息。基金年度报告</w:t>
      </w:r>
      <w:r w:rsidR="00F250E2" w:rsidRPr="00F250E2">
        <w:rPr>
          <w:rFonts w:ascii="宋体" w:hAnsi="宋体" w:cs="Arial" w:hint="eastAsia"/>
          <w:sz w:val="24"/>
        </w:rPr>
        <w:t>中的财务会计报告应当经过符合《中华人民共和国证券法》规定</w:t>
      </w:r>
      <w:r>
        <w:rPr>
          <w:rFonts w:ascii="宋体" w:hAnsi="宋体" w:cs="Arial" w:hint="eastAsia"/>
          <w:sz w:val="24"/>
        </w:rPr>
        <w:t>的会计师事务所审计后，方可披露。</w:t>
      </w:r>
    </w:p>
    <w:p w14:paraId="619E183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（三）基金托管人和基金管理人在信息披露中的职责和信息披露程序</w:t>
      </w:r>
    </w:p>
    <w:p w14:paraId="0914B0AF" w14:textId="77777777" w:rsidR="000A7F8D" w:rsidRDefault="000A7F8D">
      <w:pPr>
        <w:numPr>
          <w:ilvl w:val="0"/>
          <w:numId w:val="22"/>
        </w:numPr>
        <w:adjustRightInd w:val="0"/>
        <w:snapToGrid w:val="0"/>
        <w:spacing w:line="360" w:lineRule="auto"/>
        <w:rPr>
          <w:rStyle w:val="read"/>
          <w:rFonts w:ascii="宋体" w:hAnsi="宋体"/>
          <w:sz w:val="24"/>
        </w:rPr>
      </w:pPr>
      <w:r>
        <w:rPr>
          <w:rStyle w:val="read"/>
          <w:rFonts w:ascii="宋体" w:hAnsi="宋体" w:hint="eastAsia"/>
          <w:sz w:val="24"/>
        </w:rPr>
        <w:t>职责</w:t>
      </w:r>
    </w:p>
    <w:p w14:paraId="79CAD8D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14:paraId="75EE14A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基金管理人和基金托管人应积极配合、互相监督，保证按照法定的方式和时限履行信息披露义务。</w:t>
      </w:r>
    </w:p>
    <w:p w14:paraId="499A8B5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基金管理人应当在中国证监会规定的时间内，将应予披露的基金信息通过</w:t>
      </w:r>
      <w:r w:rsidR="00175FD9">
        <w:rPr>
          <w:rFonts w:ascii="宋体" w:hAnsi="宋体" w:cs="Arial" w:hint="eastAsia"/>
          <w:sz w:val="24"/>
        </w:rPr>
        <w:t>规定媒介</w:t>
      </w:r>
      <w:r>
        <w:rPr>
          <w:rFonts w:ascii="宋体" w:hAnsi="宋体" w:cs="Arial" w:hint="eastAsia"/>
          <w:sz w:val="24"/>
        </w:rPr>
        <w:t>披露。根据法律法规应由基金托管人公开披露的信息，基金托管人将通过</w:t>
      </w:r>
      <w:r w:rsidR="00175FD9">
        <w:rPr>
          <w:rFonts w:ascii="宋体" w:hAnsi="宋体" w:cs="Arial" w:hint="eastAsia"/>
          <w:sz w:val="24"/>
        </w:rPr>
        <w:t>规定媒介</w:t>
      </w:r>
      <w:r>
        <w:rPr>
          <w:rFonts w:ascii="宋体" w:hAnsi="宋体" w:cs="Arial" w:hint="eastAsia"/>
          <w:sz w:val="24"/>
        </w:rPr>
        <w:t>或基金托管人的互联网网站公开披露。</w:t>
      </w:r>
    </w:p>
    <w:p w14:paraId="48E0E951"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当出现下述情况时，基金管理人和基金托管人可暂停或延迟披露基金相关信息：</w:t>
      </w:r>
    </w:p>
    <w:p w14:paraId="7763984C" w14:textId="77777777" w:rsidR="000A7F8D" w:rsidRDefault="000A7F8D">
      <w:pPr>
        <w:spacing w:line="360" w:lineRule="auto"/>
        <w:ind w:firstLineChars="200" w:firstLine="480"/>
        <w:rPr>
          <w:bCs/>
          <w:sz w:val="24"/>
        </w:rPr>
      </w:pPr>
      <w:r>
        <w:rPr>
          <w:rFonts w:hint="eastAsia"/>
          <w:bCs/>
          <w:sz w:val="24"/>
        </w:rPr>
        <w:t>1</w:t>
      </w:r>
      <w:r>
        <w:rPr>
          <w:rFonts w:hint="eastAsia"/>
          <w:bCs/>
          <w:sz w:val="24"/>
        </w:rPr>
        <w:t>）不可抗力；</w:t>
      </w:r>
    </w:p>
    <w:p w14:paraId="42D68D93" w14:textId="77777777" w:rsidR="000A7F8D" w:rsidRDefault="000A7F8D">
      <w:pPr>
        <w:spacing w:line="360" w:lineRule="auto"/>
        <w:ind w:firstLineChars="200" w:firstLine="480"/>
        <w:rPr>
          <w:bCs/>
          <w:sz w:val="24"/>
        </w:rPr>
      </w:pPr>
      <w:r>
        <w:rPr>
          <w:rFonts w:hint="eastAsia"/>
          <w:bCs/>
          <w:sz w:val="24"/>
        </w:rPr>
        <w:t>2</w:t>
      </w:r>
      <w:r>
        <w:rPr>
          <w:rFonts w:hint="eastAsia"/>
          <w:bCs/>
          <w:sz w:val="24"/>
        </w:rPr>
        <w:t>）发生暂停估值的情形；</w:t>
      </w:r>
    </w:p>
    <w:p w14:paraId="3C0224E2" w14:textId="77777777" w:rsidR="000A7F8D" w:rsidRDefault="000A7F8D">
      <w:pPr>
        <w:adjustRightInd w:val="0"/>
        <w:spacing w:line="360" w:lineRule="auto"/>
        <w:ind w:firstLineChars="200" w:firstLine="480"/>
        <w:rPr>
          <w:rFonts w:ascii="宋体" w:hAnsi="宋体" w:cs="Arial"/>
          <w:sz w:val="24"/>
        </w:rPr>
      </w:pPr>
      <w:r>
        <w:rPr>
          <w:rFonts w:hint="eastAsia"/>
          <w:bCs/>
          <w:sz w:val="24"/>
        </w:rPr>
        <w:t>3</w:t>
      </w:r>
      <w:r>
        <w:rPr>
          <w:rFonts w:hint="eastAsia"/>
          <w:bCs/>
          <w:sz w:val="24"/>
        </w:rPr>
        <w:t>）法律法规、基金合同或中国证监会规定的其他情况。</w:t>
      </w:r>
    </w:p>
    <w:p w14:paraId="394DBBD5" w14:textId="77777777" w:rsidR="000A7F8D" w:rsidRDefault="000A7F8D">
      <w:pPr>
        <w:numPr>
          <w:ilvl w:val="0"/>
          <w:numId w:val="22"/>
        </w:numPr>
        <w:adjustRightInd w:val="0"/>
        <w:snapToGrid w:val="0"/>
        <w:spacing w:line="360" w:lineRule="auto"/>
        <w:rPr>
          <w:rStyle w:val="read"/>
          <w:rFonts w:ascii="宋体" w:hAnsi="宋体"/>
          <w:sz w:val="24"/>
        </w:rPr>
      </w:pPr>
      <w:r>
        <w:rPr>
          <w:rStyle w:val="read"/>
          <w:rFonts w:ascii="宋体" w:hAnsi="宋体" w:hint="eastAsia"/>
          <w:sz w:val="24"/>
        </w:rPr>
        <w:t>程序</w:t>
      </w:r>
    </w:p>
    <w:p w14:paraId="762BAA0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0426AB9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对于需要基金托管人登载在规定网站的基金合同和基金托管协议，基金管理人应指定专人及时向基金托管人发送，并注明披露时间，以便基金托管人可与基金管理人同步进行信息披露。如有变更，双方可以协商约定。对于基金管理人未及时向基金托管人发送基金合同和基金托管协议，造成基金托管人无法按照法律法规或本协议约定进行同步信息披露的，基金托管人不承担责任。</w:t>
      </w:r>
    </w:p>
    <w:p w14:paraId="5A9223DC" w14:textId="77777777" w:rsidR="000A7F8D" w:rsidRDefault="000A7F8D">
      <w:pPr>
        <w:numPr>
          <w:ilvl w:val="0"/>
          <w:numId w:val="22"/>
        </w:numPr>
        <w:adjustRightInd w:val="0"/>
        <w:snapToGrid w:val="0"/>
        <w:spacing w:line="360" w:lineRule="auto"/>
        <w:rPr>
          <w:rStyle w:val="read"/>
          <w:rFonts w:ascii="宋体" w:hAnsi="宋体"/>
          <w:sz w:val="24"/>
        </w:rPr>
      </w:pPr>
      <w:r>
        <w:rPr>
          <w:rStyle w:val="read"/>
          <w:rFonts w:ascii="宋体" w:hAnsi="宋体" w:hint="eastAsia"/>
          <w:sz w:val="24"/>
        </w:rPr>
        <w:t>信息文本的存放</w:t>
      </w:r>
    </w:p>
    <w:p w14:paraId="3376A4DC" w14:textId="77777777" w:rsidR="000A7F8D" w:rsidRDefault="00F06190">
      <w:pPr>
        <w:pStyle w:val="17"/>
        <w:snapToGrid w:val="0"/>
        <w:spacing w:line="360" w:lineRule="auto"/>
        <w:ind w:firstLineChars="200" w:firstLine="480"/>
        <w:rPr>
          <w:rFonts w:ascii="宋体" w:hAnsi="宋体" w:cs="Arial"/>
          <w:sz w:val="24"/>
          <w:szCs w:val="24"/>
        </w:rPr>
      </w:pPr>
      <w:r w:rsidRPr="00F06190">
        <w:rPr>
          <w:rFonts w:ascii="宋体" w:hAnsi="宋体" w:cs="Arial" w:hint="eastAsia"/>
          <w:sz w:val="24"/>
          <w:szCs w:val="24"/>
        </w:rPr>
        <w:t>依法必须披露的信息发布后，基金管理人、基金托管人应当按照相关法律法规规定将信息置备于各自住所，供社会公众查阅、复制。</w:t>
      </w:r>
      <w:r w:rsidR="000A7F8D">
        <w:rPr>
          <w:rFonts w:ascii="宋体" w:hAnsi="宋体" w:cs="Arial" w:hint="eastAsia"/>
          <w:sz w:val="24"/>
          <w:szCs w:val="24"/>
        </w:rPr>
        <w:t>在支付工本费后可在合理时间获得上述文件的复制件或复印件。基金管理人和基金托管人应保证文本的内容与所公告的内容完全一致。</w:t>
      </w:r>
    </w:p>
    <w:p w14:paraId="699F6203" w14:textId="77777777" w:rsidR="000A7F8D" w:rsidRDefault="000A7F8D">
      <w:pPr>
        <w:pStyle w:val="17"/>
        <w:snapToGrid w:val="0"/>
        <w:spacing w:line="360" w:lineRule="auto"/>
        <w:ind w:firstLineChars="200" w:firstLine="480"/>
        <w:rPr>
          <w:rFonts w:ascii="宋体" w:hAnsi="宋体" w:cs="Arial"/>
          <w:sz w:val="24"/>
          <w:szCs w:val="24"/>
        </w:rPr>
      </w:pPr>
      <w:r>
        <w:rPr>
          <w:rFonts w:ascii="宋体" w:hAnsi="宋体" w:cs="Arial" w:hint="eastAsia"/>
          <w:sz w:val="24"/>
          <w:szCs w:val="24"/>
        </w:rPr>
        <w:t>（四）本基金实施</w:t>
      </w:r>
      <w:proofErr w:type="gramStart"/>
      <w:r>
        <w:rPr>
          <w:rFonts w:ascii="宋体" w:hAnsi="宋体" w:cs="Arial" w:hint="eastAsia"/>
          <w:sz w:val="24"/>
          <w:szCs w:val="24"/>
        </w:rPr>
        <w:t>侧袋机制</w:t>
      </w:r>
      <w:proofErr w:type="gramEnd"/>
      <w:r>
        <w:rPr>
          <w:rFonts w:ascii="宋体" w:hAnsi="宋体" w:cs="Arial" w:hint="eastAsia"/>
          <w:sz w:val="24"/>
          <w:szCs w:val="24"/>
        </w:rPr>
        <w:t>的，相关信息披露义务人应当根据法律法规、基金合同和招募说明书的规定进行信息披露，详见招募说明书的规定。</w:t>
      </w:r>
    </w:p>
    <w:p w14:paraId="228001FB"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195" w:name="_Toc295832959"/>
      <w:bookmarkStart w:id="196" w:name="_Toc295832652"/>
      <w:bookmarkStart w:id="197" w:name="_Toc295833690"/>
      <w:bookmarkStart w:id="198" w:name="_Toc295833019"/>
      <w:bookmarkStart w:id="199" w:name="_Toc270669862"/>
      <w:bookmarkStart w:id="200" w:name="_Toc450839477"/>
      <w:bookmarkStart w:id="201" w:name="_Toc124325895"/>
      <w:bookmarkEnd w:id="195"/>
      <w:bookmarkEnd w:id="196"/>
      <w:bookmarkEnd w:id="197"/>
      <w:bookmarkEnd w:id="198"/>
      <w:r>
        <w:rPr>
          <w:rFonts w:ascii="宋体" w:hAnsi="宋体" w:hint="eastAsia"/>
          <w:sz w:val="28"/>
          <w:szCs w:val="28"/>
        </w:rPr>
        <w:lastRenderedPageBreak/>
        <w:t>基金费用</w:t>
      </w:r>
      <w:bookmarkEnd w:id="199"/>
      <w:bookmarkEnd w:id="200"/>
      <w:bookmarkEnd w:id="201"/>
    </w:p>
    <w:p w14:paraId="23D8BB7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（一）基金管理费的计提比例和计提方法</w:t>
      </w:r>
    </w:p>
    <w:p w14:paraId="4C9BE645" w14:textId="3BC7BD74" w:rsidR="002D40B3" w:rsidRDefault="002D40B3" w:rsidP="002D40B3">
      <w:pPr>
        <w:spacing w:line="360" w:lineRule="auto"/>
        <w:ind w:firstLine="480"/>
        <w:rPr>
          <w:sz w:val="24"/>
        </w:rPr>
      </w:pPr>
      <w:r>
        <w:rPr>
          <w:rFonts w:hint="eastAsia"/>
          <w:sz w:val="24"/>
        </w:rPr>
        <w:t>1</w:t>
      </w:r>
      <w:r>
        <w:rPr>
          <w:rFonts w:hint="eastAsia"/>
          <w:sz w:val="24"/>
        </w:rPr>
        <w:t>、基金管理人的管理费</w:t>
      </w:r>
    </w:p>
    <w:p w14:paraId="13DDC773"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本基金根据每</w:t>
      </w:r>
      <w:bookmarkStart w:id="202" w:name="_Hlk196338562"/>
      <w:r w:rsidRPr="002D40B3">
        <w:rPr>
          <w:rFonts w:ascii="宋体" w:hAnsi="宋体" w:hint="eastAsia"/>
          <w:bCs/>
          <w:sz w:val="24"/>
        </w:rPr>
        <w:t>笔基金份额的持有期限与持有</w:t>
      </w:r>
      <w:proofErr w:type="gramStart"/>
      <w:r w:rsidRPr="002D40B3">
        <w:rPr>
          <w:rFonts w:ascii="宋体" w:hAnsi="宋体" w:hint="eastAsia"/>
          <w:bCs/>
          <w:sz w:val="24"/>
        </w:rPr>
        <w:t>期间年化收益率</w:t>
      </w:r>
      <w:proofErr w:type="gramEnd"/>
      <w:r w:rsidRPr="002D40B3">
        <w:rPr>
          <w:rFonts w:ascii="宋体" w:hAnsi="宋体" w:hint="eastAsia"/>
          <w:bCs/>
          <w:sz w:val="24"/>
        </w:rPr>
        <w:t>，在赎回</w:t>
      </w:r>
      <w:bookmarkStart w:id="203" w:name="_Hlk195865221"/>
      <w:r w:rsidRPr="002D40B3">
        <w:rPr>
          <w:rFonts w:ascii="宋体" w:hAnsi="宋体" w:hint="eastAsia"/>
          <w:bCs/>
          <w:sz w:val="24"/>
        </w:rPr>
        <w:t>、转出</w:t>
      </w:r>
      <w:bookmarkEnd w:id="203"/>
      <w:r w:rsidRPr="002D40B3">
        <w:rPr>
          <w:rFonts w:ascii="宋体" w:hAnsi="宋体" w:hint="eastAsia"/>
          <w:bCs/>
          <w:sz w:val="24"/>
        </w:rPr>
        <w:t>基金份额</w:t>
      </w:r>
      <w:bookmarkStart w:id="204" w:name="_Hlk195865226"/>
      <w:r w:rsidRPr="002D40B3">
        <w:rPr>
          <w:rFonts w:ascii="宋体" w:hAnsi="宋体" w:hint="eastAsia"/>
          <w:bCs/>
          <w:sz w:val="24"/>
        </w:rPr>
        <w:t>或基金合同终止的情形发生</w:t>
      </w:r>
      <w:bookmarkEnd w:id="204"/>
      <w:r w:rsidRPr="002D40B3">
        <w:rPr>
          <w:rFonts w:ascii="宋体" w:hAnsi="宋体" w:hint="eastAsia"/>
          <w:bCs/>
          <w:sz w:val="24"/>
        </w:rPr>
        <w:t>时确定该笔基金份额对应的管理费</w:t>
      </w:r>
      <w:bookmarkEnd w:id="202"/>
      <w:r w:rsidRPr="002D40B3">
        <w:rPr>
          <w:rFonts w:ascii="宋体" w:hAnsi="宋体" w:hint="eastAsia"/>
          <w:bCs/>
          <w:sz w:val="24"/>
        </w:rPr>
        <w:t>。当投资者赎回、转出基金份额或基金合同终止的情形发生时，持有期限</w:t>
      </w:r>
      <w:bookmarkStart w:id="205" w:name="_Hlk196338589"/>
      <w:r w:rsidRPr="002D40B3">
        <w:rPr>
          <w:rFonts w:ascii="宋体" w:hAnsi="宋体" w:hint="eastAsia"/>
          <w:bCs/>
          <w:sz w:val="24"/>
        </w:rPr>
        <w:t>不足一年（即365天，下同），则按1.20%年费率收取管理费；持有期限达到一年及以上，则根据持有</w:t>
      </w:r>
      <w:proofErr w:type="gramStart"/>
      <w:r w:rsidRPr="002D40B3">
        <w:rPr>
          <w:rFonts w:ascii="宋体" w:hAnsi="宋体" w:hint="eastAsia"/>
          <w:bCs/>
          <w:sz w:val="24"/>
        </w:rPr>
        <w:t>期间年化收益率</w:t>
      </w:r>
      <w:proofErr w:type="gramEnd"/>
      <w:r w:rsidRPr="002D40B3">
        <w:rPr>
          <w:rFonts w:ascii="宋体" w:hAnsi="宋体" w:hint="eastAsia"/>
          <w:bCs/>
          <w:sz w:val="24"/>
        </w:rPr>
        <w:t>分为以下三种情况，分别确定对应的管理费率档位：</w:t>
      </w:r>
    </w:p>
    <w:p w14:paraId="3E394D36" w14:textId="77777777" w:rsidR="002D40B3" w:rsidRPr="002D40B3" w:rsidRDefault="002D40B3" w:rsidP="002D40B3">
      <w:pPr>
        <w:spacing w:line="360" w:lineRule="auto"/>
        <w:ind w:firstLineChars="200" w:firstLine="480"/>
        <w:rPr>
          <w:rFonts w:ascii="宋体" w:hAnsi="宋体"/>
          <w:bCs/>
          <w:sz w:val="24"/>
        </w:rPr>
      </w:pPr>
      <w:bookmarkStart w:id="206" w:name="_Hlk196338625"/>
      <w:bookmarkEnd w:id="205"/>
      <w:r w:rsidRPr="002D40B3">
        <w:rPr>
          <w:rFonts w:ascii="宋体" w:hAnsi="宋体" w:hint="eastAsia"/>
          <w:bCs/>
          <w:sz w:val="24"/>
        </w:rPr>
        <w:t>若持有期间相对业绩比较基准</w:t>
      </w:r>
      <w:proofErr w:type="gramStart"/>
      <w:r w:rsidRPr="002D40B3">
        <w:rPr>
          <w:rFonts w:ascii="宋体" w:hAnsi="宋体" w:hint="eastAsia"/>
          <w:bCs/>
          <w:sz w:val="24"/>
        </w:rPr>
        <w:t>的年化超额</w:t>
      </w:r>
      <w:proofErr w:type="gramEnd"/>
      <w:r w:rsidRPr="002D40B3">
        <w:rPr>
          <w:rFonts w:ascii="宋体" w:hAnsi="宋体" w:hint="eastAsia"/>
          <w:bCs/>
          <w:sz w:val="24"/>
        </w:rPr>
        <w:t>收益率（扣除超额管理费后）超过6%且持有收益率（扣除超额管理费后）为正，按1.50%年费率确认管理费；若持有期间</w:t>
      </w:r>
      <w:proofErr w:type="gramStart"/>
      <w:r w:rsidRPr="002D40B3">
        <w:rPr>
          <w:rFonts w:ascii="宋体" w:hAnsi="宋体" w:hint="eastAsia"/>
          <w:bCs/>
          <w:sz w:val="24"/>
        </w:rPr>
        <w:t>的年化超额</w:t>
      </w:r>
      <w:proofErr w:type="gramEnd"/>
      <w:r w:rsidRPr="002D40B3">
        <w:rPr>
          <w:rFonts w:ascii="宋体" w:hAnsi="宋体" w:hint="eastAsia"/>
          <w:bCs/>
          <w:sz w:val="24"/>
        </w:rPr>
        <w:t>收益率在-3%及以下，按0.60%年费率确认管理费；其他情形按1.20%年费率确认管理费。</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2831"/>
      </w:tblGrid>
      <w:tr w:rsidR="002D40B3" w:rsidRPr="00454F8B" w14:paraId="14CC6A2C" w14:textId="77777777" w:rsidTr="009E3F1A">
        <w:trPr>
          <w:trHeight w:val="510"/>
          <w:jc w:val="center"/>
        </w:trPr>
        <w:tc>
          <w:tcPr>
            <w:tcW w:w="3827" w:type="dxa"/>
            <w:shd w:val="clear" w:color="auto" w:fill="auto"/>
            <w:vAlign w:val="center"/>
          </w:tcPr>
          <w:p w14:paraId="3753E091" w14:textId="77777777" w:rsidR="002D40B3" w:rsidRPr="00896F77" w:rsidRDefault="002D40B3" w:rsidP="00896F77">
            <w:pPr>
              <w:spacing w:line="276" w:lineRule="auto"/>
              <w:jc w:val="center"/>
              <w:rPr>
                <w:rFonts w:ascii="宋体" w:hAnsi="宋体"/>
                <w:b/>
                <w:sz w:val="24"/>
              </w:rPr>
            </w:pPr>
            <w:bookmarkStart w:id="207" w:name="_Hlk196342079"/>
            <w:r w:rsidRPr="00896F77">
              <w:rPr>
                <w:rFonts w:ascii="宋体" w:hAnsi="宋体" w:hint="eastAsia"/>
                <w:b/>
                <w:sz w:val="24"/>
              </w:rPr>
              <w:t>持有</w:t>
            </w:r>
            <w:proofErr w:type="gramStart"/>
            <w:r w:rsidRPr="00896F77">
              <w:rPr>
                <w:rFonts w:ascii="宋体" w:hAnsi="宋体" w:hint="eastAsia"/>
                <w:b/>
                <w:sz w:val="24"/>
              </w:rPr>
              <w:t>期间年化收益率</w:t>
            </w:r>
            <w:proofErr w:type="gramEnd"/>
            <w:r w:rsidRPr="00896F77">
              <w:rPr>
                <w:rFonts w:ascii="宋体" w:hAnsi="宋体" w:hint="eastAsia"/>
                <w:b/>
                <w:sz w:val="24"/>
              </w:rPr>
              <w:t>（R）</w:t>
            </w:r>
          </w:p>
        </w:tc>
        <w:tc>
          <w:tcPr>
            <w:tcW w:w="2831" w:type="dxa"/>
            <w:shd w:val="clear" w:color="auto" w:fill="auto"/>
            <w:vAlign w:val="center"/>
          </w:tcPr>
          <w:p w14:paraId="27DAED40" w14:textId="77777777" w:rsidR="002D40B3" w:rsidRPr="00896F77" w:rsidRDefault="002D40B3" w:rsidP="00896F77">
            <w:pPr>
              <w:spacing w:line="276" w:lineRule="auto"/>
              <w:jc w:val="center"/>
              <w:rPr>
                <w:rFonts w:ascii="宋体" w:hAnsi="宋体"/>
                <w:b/>
                <w:sz w:val="24"/>
              </w:rPr>
            </w:pPr>
            <w:r w:rsidRPr="00896F77">
              <w:rPr>
                <w:rFonts w:ascii="宋体" w:hAnsi="宋体" w:hint="eastAsia"/>
                <w:b/>
                <w:sz w:val="24"/>
              </w:rPr>
              <w:t>管理费率（年费率）</w:t>
            </w:r>
          </w:p>
        </w:tc>
      </w:tr>
      <w:tr w:rsidR="002D40B3" w:rsidRPr="00454F8B" w14:paraId="72056FAB" w14:textId="77777777" w:rsidTr="009E3F1A">
        <w:trPr>
          <w:trHeight w:val="491"/>
          <w:jc w:val="center"/>
        </w:trPr>
        <w:tc>
          <w:tcPr>
            <w:tcW w:w="3827" w:type="dxa"/>
            <w:shd w:val="clear" w:color="auto" w:fill="auto"/>
            <w:vAlign w:val="center"/>
          </w:tcPr>
          <w:p w14:paraId="0111DD20" w14:textId="77777777" w:rsidR="002D40B3" w:rsidRPr="00896F77" w:rsidRDefault="002D40B3" w:rsidP="00896F77">
            <w:pPr>
              <w:spacing w:line="276" w:lineRule="auto"/>
              <w:jc w:val="center"/>
              <w:rPr>
                <w:rFonts w:ascii="宋体" w:hAnsi="宋体"/>
                <w:b/>
                <w:sz w:val="24"/>
              </w:rPr>
            </w:pPr>
            <w:r w:rsidRPr="00896F77">
              <w:rPr>
                <w:rFonts w:ascii="宋体" w:hAnsi="宋体"/>
                <w:bCs/>
                <w:sz w:val="24"/>
              </w:rPr>
              <w:t>R＞R</w:t>
            </w:r>
            <w:r w:rsidRPr="00896F77">
              <w:rPr>
                <w:rFonts w:ascii="宋体" w:hAnsi="宋体"/>
                <w:spacing w:val="-2"/>
                <w:sz w:val="24"/>
                <w:vertAlign w:val="subscript"/>
              </w:rPr>
              <w:t>b</w:t>
            </w:r>
            <w:r w:rsidRPr="00896F77">
              <w:rPr>
                <w:rFonts w:ascii="宋体" w:hAnsi="宋体"/>
                <w:bCs/>
                <w:sz w:val="24"/>
              </w:rPr>
              <w:t>+6%，R＞0</w:t>
            </w:r>
          </w:p>
        </w:tc>
        <w:tc>
          <w:tcPr>
            <w:tcW w:w="2831" w:type="dxa"/>
            <w:shd w:val="clear" w:color="auto" w:fill="auto"/>
            <w:vAlign w:val="center"/>
          </w:tcPr>
          <w:p w14:paraId="255CBE83" w14:textId="77777777" w:rsidR="002D40B3" w:rsidRPr="00896F77" w:rsidRDefault="002D40B3" w:rsidP="00896F77">
            <w:pPr>
              <w:spacing w:line="276" w:lineRule="auto"/>
              <w:jc w:val="center"/>
              <w:rPr>
                <w:rFonts w:ascii="宋体" w:hAnsi="宋体"/>
                <w:sz w:val="24"/>
              </w:rPr>
            </w:pPr>
            <w:r w:rsidRPr="00896F77">
              <w:rPr>
                <w:rFonts w:ascii="宋体" w:hAnsi="宋体"/>
                <w:sz w:val="24"/>
              </w:rPr>
              <w:t>1.50%/</w:t>
            </w:r>
            <w:r w:rsidRPr="00896F77">
              <w:rPr>
                <w:rFonts w:ascii="宋体" w:hAnsi="宋体"/>
                <w:bCs/>
                <w:sz w:val="24"/>
              </w:rPr>
              <w:t>年</w:t>
            </w:r>
          </w:p>
        </w:tc>
      </w:tr>
      <w:tr w:rsidR="002D40B3" w:rsidRPr="00454F8B" w14:paraId="44A740B7" w14:textId="77777777" w:rsidTr="009E3F1A">
        <w:trPr>
          <w:trHeight w:val="510"/>
          <w:jc w:val="center"/>
        </w:trPr>
        <w:tc>
          <w:tcPr>
            <w:tcW w:w="3827" w:type="dxa"/>
            <w:shd w:val="clear" w:color="auto" w:fill="auto"/>
            <w:vAlign w:val="center"/>
          </w:tcPr>
          <w:p w14:paraId="5599F4C9" w14:textId="77777777" w:rsidR="002D40B3" w:rsidRPr="00896F77" w:rsidRDefault="002D40B3" w:rsidP="00896F77">
            <w:pPr>
              <w:spacing w:line="276" w:lineRule="auto"/>
              <w:jc w:val="center"/>
              <w:rPr>
                <w:rFonts w:ascii="宋体" w:hAnsi="宋体"/>
                <w:bCs/>
                <w:sz w:val="24"/>
              </w:rPr>
            </w:pPr>
            <w:r w:rsidRPr="00896F77">
              <w:rPr>
                <w:rFonts w:ascii="宋体" w:hAnsi="宋体"/>
                <w:bCs/>
                <w:sz w:val="24"/>
              </w:rPr>
              <w:t>R≤R</w:t>
            </w:r>
            <w:r w:rsidRPr="00896F77">
              <w:rPr>
                <w:rFonts w:ascii="宋体" w:hAnsi="宋体"/>
                <w:spacing w:val="-2"/>
                <w:sz w:val="24"/>
                <w:vertAlign w:val="subscript"/>
              </w:rPr>
              <w:t>b</w:t>
            </w:r>
            <w:r w:rsidRPr="00896F77">
              <w:rPr>
                <w:rFonts w:ascii="宋体" w:hAnsi="宋体"/>
                <w:bCs/>
                <w:sz w:val="24"/>
              </w:rPr>
              <w:t>-3%</w:t>
            </w:r>
          </w:p>
        </w:tc>
        <w:tc>
          <w:tcPr>
            <w:tcW w:w="2831" w:type="dxa"/>
            <w:shd w:val="clear" w:color="auto" w:fill="auto"/>
            <w:vAlign w:val="center"/>
          </w:tcPr>
          <w:p w14:paraId="0E50966B" w14:textId="77777777" w:rsidR="002D40B3" w:rsidRPr="00896F77" w:rsidRDefault="002D40B3" w:rsidP="00896F77">
            <w:pPr>
              <w:spacing w:line="276" w:lineRule="auto"/>
              <w:jc w:val="center"/>
              <w:rPr>
                <w:rFonts w:ascii="宋体" w:hAnsi="宋体"/>
                <w:sz w:val="24"/>
              </w:rPr>
            </w:pPr>
            <w:r w:rsidRPr="00896F77">
              <w:rPr>
                <w:rFonts w:ascii="宋体" w:hAnsi="宋体"/>
                <w:sz w:val="24"/>
              </w:rPr>
              <w:t>0.60%/</w:t>
            </w:r>
            <w:r w:rsidRPr="00896F77">
              <w:rPr>
                <w:rFonts w:ascii="宋体" w:hAnsi="宋体"/>
                <w:bCs/>
                <w:sz w:val="24"/>
              </w:rPr>
              <w:t>年</w:t>
            </w:r>
          </w:p>
        </w:tc>
      </w:tr>
      <w:tr w:rsidR="002D40B3" w:rsidRPr="00454F8B" w14:paraId="2EB88893" w14:textId="77777777" w:rsidTr="009E3F1A">
        <w:trPr>
          <w:trHeight w:val="510"/>
          <w:jc w:val="center"/>
        </w:trPr>
        <w:tc>
          <w:tcPr>
            <w:tcW w:w="3827" w:type="dxa"/>
            <w:shd w:val="clear" w:color="auto" w:fill="auto"/>
            <w:vAlign w:val="center"/>
          </w:tcPr>
          <w:p w14:paraId="5F6A8F02" w14:textId="77777777" w:rsidR="002D40B3" w:rsidRPr="00896F77" w:rsidRDefault="002D40B3" w:rsidP="00896F77">
            <w:pPr>
              <w:spacing w:line="276" w:lineRule="auto"/>
              <w:jc w:val="center"/>
              <w:rPr>
                <w:rFonts w:ascii="宋体" w:hAnsi="宋体"/>
                <w:bCs/>
                <w:sz w:val="24"/>
              </w:rPr>
            </w:pPr>
            <w:r w:rsidRPr="00896F77">
              <w:rPr>
                <w:rFonts w:ascii="宋体" w:hAnsi="宋体"/>
                <w:bCs/>
                <w:sz w:val="24"/>
              </w:rPr>
              <w:t>其他情形</w:t>
            </w:r>
          </w:p>
        </w:tc>
        <w:tc>
          <w:tcPr>
            <w:tcW w:w="2831" w:type="dxa"/>
            <w:shd w:val="clear" w:color="auto" w:fill="auto"/>
            <w:vAlign w:val="center"/>
          </w:tcPr>
          <w:p w14:paraId="15FD3A76" w14:textId="77777777" w:rsidR="002D40B3" w:rsidRPr="00896F77" w:rsidRDefault="002D40B3" w:rsidP="00896F77">
            <w:pPr>
              <w:spacing w:line="276" w:lineRule="auto"/>
              <w:jc w:val="center"/>
              <w:rPr>
                <w:rFonts w:ascii="宋体" w:hAnsi="宋体"/>
                <w:sz w:val="24"/>
              </w:rPr>
            </w:pPr>
            <w:r w:rsidRPr="00896F77">
              <w:rPr>
                <w:rFonts w:ascii="宋体" w:hAnsi="宋体"/>
                <w:sz w:val="24"/>
              </w:rPr>
              <w:t>1.20%/</w:t>
            </w:r>
            <w:r w:rsidRPr="00896F77">
              <w:rPr>
                <w:rFonts w:ascii="宋体" w:hAnsi="宋体"/>
                <w:bCs/>
                <w:sz w:val="24"/>
              </w:rPr>
              <w:t>年</w:t>
            </w:r>
          </w:p>
        </w:tc>
      </w:tr>
    </w:tbl>
    <w:bookmarkEnd w:id="207"/>
    <w:p w14:paraId="785C42B8" w14:textId="77777777" w:rsidR="002D40B3" w:rsidRPr="002D40B3" w:rsidRDefault="002D40B3" w:rsidP="002D40B3">
      <w:pPr>
        <w:spacing w:line="360" w:lineRule="auto"/>
        <w:rPr>
          <w:rFonts w:ascii="宋体" w:hAnsi="宋体"/>
          <w:bCs/>
          <w:sz w:val="24"/>
        </w:rPr>
      </w:pPr>
      <w:r w:rsidRPr="002D40B3">
        <w:rPr>
          <w:rFonts w:ascii="宋体" w:hAnsi="宋体" w:hint="eastAsia"/>
          <w:bCs/>
          <w:sz w:val="24"/>
        </w:rPr>
        <w:t>注：①</w:t>
      </w:r>
      <w:r w:rsidRPr="002D40B3">
        <w:rPr>
          <w:rFonts w:ascii="宋体" w:hAnsi="宋体"/>
          <w:bCs/>
          <w:sz w:val="24"/>
        </w:rPr>
        <w:t>R</w:t>
      </w:r>
      <w:r w:rsidRPr="002D40B3">
        <w:rPr>
          <w:rFonts w:ascii="宋体" w:hAnsi="宋体" w:hint="eastAsia"/>
          <w:bCs/>
          <w:sz w:val="24"/>
        </w:rPr>
        <w:t>为该笔份额</w:t>
      </w:r>
      <w:proofErr w:type="gramStart"/>
      <w:r w:rsidRPr="002D40B3">
        <w:rPr>
          <w:rFonts w:ascii="宋体" w:hAnsi="宋体" w:hint="eastAsia"/>
          <w:bCs/>
          <w:sz w:val="24"/>
        </w:rPr>
        <w:t>的年化收益率</w:t>
      </w:r>
      <w:proofErr w:type="gramEnd"/>
      <w:r w:rsidRPr="002D40B3">
        <w:rPr>
          <w:rFonts w:ascii="宋体" w:hAnsi="宋体" w:hint="eastAsia"/>
          <w:bCs/>
          <w:sz w:val="24"/>
        </w:rPr>
        <w:t>，</w:t>
      </w:r>
      <w:r w:rsidRPr="002D40B3">
        <w:rPr>
          <w:rFonts w:ascii="宋体" w:hAnsi="宋体"/>
          <w:bCs/>
          <w:sz w:val="24"/>
        </w:rPr>
        <w:t>R</w:t>
      </w:r>
      <w:r w:rsidRPr="002D40B3">
        <w:rPr>
          <w:rFonts w:ascii="宋体" w:hAnsi="宋体"/>
          <w:bCs/>
          <w:sz w:val="24"/>
          <w:vertAlign w:val="subscript"/>
        </w:rPr>
        <w:t>b</w:t>
      </w:r>
      <w:r w:rsidRPr="002D40B3">
        <w:rPr>
          <w:rFonts w:ascii="宋体" w:hAnsi="宋体" w:hint="eastAsia"/>
          <w:bCs/>
          <w:sz w:val="24"/>
        </w:rPr>
        <w:t>为本基金业绩比较基准</w:t>
      </w:r>
      <w:proofErr w:type="gramStart"/>
      <w:r w:rsidRPr="002D40B3">
        <w:rPr>
          <w:rFonts w:ascii="宋体" w:hAnsi="宋体" w:hint="eastAsia"/>
          <w:bCs/>
          <w:sz w:val="24"/>
        </w:rPr>
        <w:t>同期年化</w:t>
      </w:r>
      <w:proofErr w:type="gramEnd"/>
      <w:r w:rsidRPr="002D40B3">
        <w:rPr>
          <w:rFonts w:ascii="宋体" w:hAnsi="宋体" w:hint="eastAsia"/>
          <w:bCs/>
          <w:sz w:val="24"/>
        </w:rPr>
        <w:t>收益率。</w:t>
      </w:r>
    </w:p>
    <w:p w14:paraId="06788C73" w14:textId="77777777" w:rsidR="002D40B3" w:rsidRPr="00454F8B" w:rsidRDefault="002D40B3" w:rsidP="002D40B3">
      <w:pPr>
        <w:spacing w:line="360" w:lineRule="auto"/>
        <w:ind w:firstLineChars="200" w:firstLine="480"/>
        <w:rPr>
          <w:rFonts w:ascii="宋体" w:hAnsi="宋体" w:cs="宋体"/>
          <w:bCs/>
          <w:sz w:val="24"/>
        </w:rPr>
      </w:pPr>
      <w:r w:rsidRPr="002D40B3">
        <w:rPr>
          <w:rFonts w:ascii="宋体" w:hAnsi="宋体" w:hint="eastAsia"/>
          <w:bCs/>
          <w:sz w:val="24"/>
        </w:rPr>
        <w:t>②特别的，当持有期限达到一年及以上，</w:t>
      </w:r>
      <w:r w:rsidRPr="002D40B3">
        <w:rPr>
          <w:rFonts w:ascii="宋体" w:hAnsi="宋体"/>
          <w:bCs/>
          <w:sz w:val="24"/>
        </w:rPr>
        <w:t>R＞R</w:t>
      </w:r>
      <w:r w:rsidRPr="002D40B3">
        <w:rPr>
          <w:rFonts w:ascii="宋体" w:hAnsi="宋体"/>
          <w:bCs/>
          <w:sz w:val="24"/>
          <w:vertAlign w:val="subscript"/>
        </w:rPr>
        <w:t>b</w:t>
      </w:r>
      <w:r w:rsidRPr="002D40B3">
        <w:rPr>
          <w:rFonts w:ascii="宋体" w:hAnsi="宋体"/>
          <w:bCs/>
          <w:sz w:val="24"/>
        </w:rPr>
        <w:t>+6%</w:t>
      </w:r>
      <w:r w:rsidRPr="002D40B3">
        <w:rPr>
          <w:rFonts w:ascii="宋体" w:hAnsi="宋体" w:hint="eastAsia"/>
          <w:bCs/>
          <w:sz w:val="24"/>
        </w:rPr>
        <w:t>且</w:t>
      </w:r>
      <w:r w:rsidRPr="002D40B3">
        <w:rPr>
          <w:rFonts w:ascii="宋体" w:hAnsi="宋体"/>
          <w:bCs/>
          <w:sz w:val="24"/>
        </w:rPr>
        <w:t>R＞0</w:t>
      </w:r>
      <w:r w:rsidRPr="002D40B3">
        <w:rPr>
          <w:rFonts w:ascii="宋体" w:hAnsi="宋体" w:hint="eastAsia"/>
          <w:bCs/>
          <w:sz w:val="24"/>
        </w:rPr>
        <w:t>的情形下，</w:t>
      </w:r>
      <w:proofErr w:type="gramStart"/>
      <w:r w:rsidRPr="002D40B3">
        <w:rPr>
          <w:rFonts w:ascii="宋体" w:hAnsi="宋体" w:hint="eastAsia"/>
          <w:bCs/>
          <w:sz w:val="24"/>
        </w:rPr>
        <w:t>若拟扣除</w:t>
      </w:r>
      <w:proofErr w:type="gramEnd"/>
      <w:r w:rsidRPr="002D40B3">
        <w:rPr>
          <w:rFonts w:ascii="宋体" w:hAnsi="宋体" w:hint="eastAsia"/>
          <w:bCs/>
          <w:sz w:val="24"/>
        </w:rPr>
        <w:t>超额管理费后</w:t>
      </w:r>
      <w:proofErr w:type="gramStart"/>
      <w:r w:rsidRPr="002D40B3">
        <w:rPr>
          <w:rFonts w:ascii="宋体" w:hAnsi="宋体" w:hint="eastAsia"/>
          <w:bCs/>
          <w:sz w:val="24"/>
        </w:rPr>
        <w:t>的年化收益率</w:t>
      </w:r>
      <w:proofErr w:type="gramEnd"/>
      <w:r w:rsidRPr="002D40B3">
        <w:rPr>
          <w:rFonts w:ascii="宋体" w:hAnsi="宋体" w:hint="eastAsia"/>
          <w:bCs/>
          <w:sz w:val="24"/>
        </w:rPr>
        <w:t>小于等于</w:t>
      </w:r>
      <w:r w:rsidRPr="002D40B3">
        <w:rPr>
          <w:rFonts w:ascii="宋体" w:hAnsi="宋体"/>
          <w:bCs/>
          <w:sz w:val="24"/>
        </w:rPr>
        <w:t>R</w:t>
      </w:r>
      <w:r w:rsidRPr="002D40B3">
        <w:rPr>
          <w:rFonts w:ascii="宋体" w:hAnsi="宋体"/>
          <w:bCs/>
          <w:sz w:val="24"/>
          <w:vertAlign w:val="subscript"/>
        </w:rPr>
        <w:t>b</w:t>
      </w:r>
      <w:r w:rsidRPr="002D40B3">
        <w:rPr>
          <w:rFonts w:ascii="宋体" w:hAnsi="宋体"/>
          <w:bCs/>
          <w:sz w:val="24"/>
        </w:rPr>
        <w:t>+6%</w:t>
      </w:r>
      <w:r w:rsidRPr="002D40B3">
        <w:rPr>
          <w:rFonts w:ascii="宋体" w:hAnsi="宋体" w:hint="eastAsia"/>
          <w:bCs/>
          <w:sz w:val="24"/>
        </w:rPr>
        <w:t>，或小于等于0时，仍按1.20%年费率收取该笔基金份额的管理费，以使得该笔基金份额在扣除超额管理费后</w:t>
      </w:r>
      <w:proofErr w:type="gramStart"/>
      <w:r w:rsidRPr="002D40B3">
        <w:rPr>
          <w:rFonts w:ascii="宋体" w:hAnsi="宋体" w:hint="eastAsia"/>
          <w:bCs/>
          <w:sz w:val="24"/>
        </w:rPr>
        <w:t>的年化收益率</w:t>
      </w:r>
      <w:proofErr w:type="gramEnd"/>
      <w:r w:rsidRPr="002D40B3">
        <w:rPr>
          <w:rFonts w:ascii="宋体" w:hAnsi="宋体" w:hint="eastAsia"/>
          <w:bCs/>
          <w:sz w:val="24"/>
        </w:rPr>
        <w:t>仍满足本基金收取超额管理费的标准。</w:t>
      </w:r>
      <w:bookmarkEnd w:id="206"/>
    </w:p>
    <w:p w14:paraId="59B0D824"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本基金的管理费包含固定管理费、或有管理费和超额管理费，按以下方式计算和确认。</w:t>
      </w:r>
    </w:p>
    <w:p w14:paraId="7060B80A"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（1）固定管理费</w:t>
      </w:r>
    </w:p>
    <w:p w14:paraId="4981451A"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固定管理费按前一日基金资产净值的0.60%年费率每日计提。固定管理费的计算方法如下：</w:t>
      </w:r>
    </w:p>
    <w:p w14:paraId="7F44DED1"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1</w:t>
      </w:r>
      <w:r w:rsidRPr="002D40B3">
        <w:rPr>
          <w:rFonts w:ascii="宋体" w:hAnsi="宋体" w:hint="eastAsia"/>
          <w:bCs/>
          <w:sz w:val="24"/>
        </w:rPr>
        <w:t>＝E×</w:t>
      </w:r>
      <w:r w:rsidRPr="002D40B3">
        <w:rPr>
          <w:rFonts w:ascii="宋体" w:hAnsi="宋体"/>
          <w:bCs/>
          <w:sz w:val="24"/>
        </w:rPr>
        <w:t>0.6</w:t>
      </w:r>
      <w:r w:rsidRPr="002D40B3">
        <w:rPr>
          <w:rFonts w:ascii="宋体" w:hAnsi="宋体" w:hint="eastAsia"/>
          <w:bCs/>
          <w:sz w:val="24"/>
        </w:rPr>
        <w:t>0</w:t>
      </w:r>
      <w:r w:rsidRPr="002D40B3">
        <w:rPr>
          <w:rFonts w:ascii="宋体" w:hAnsi="宋体"/>
          <w:bCs/>
          <w:sz w:val="24"/>
        </w:rPr>
        <w:t>%</w:t>
      </w:r>
      <w:r w:rsidRPr="002D40B3">
        <w:rPr>
          <w:rFonts w:ascii="宋体" w:hAnsi="宋体" w:hint="eastAsia"/>
          <w:bCs/>
          <w:sz w:val="24"/>
        </w:rPr>
        <w:t>÷当年天数</w:t>
      </w:r>
    </w:p>
    <w:p w14:paraId="1024F91B"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1</w:t>
      </w:r>
      <w:r w:rsidRPr="002D40B3">
        <w:rPr>
          <w:rFonts w:ascii="宋体" w:hAnsi="宋体" w:hint="eastAsia"/>
          <w:bCs/>
          <w:sz w:val="24"/>
        </w:rPr>
        <w:t>为每日应计提的固定管理费</w:t>
      </w:r>
    </w:p>
    <w:p w14:paraId="757539FA"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lastRenderedPageBreak/>
        <w:t>E为前一日的基金资产净值</w:t>
      </w:r>
    </w:p>
    <w:p w14:paraId="2D3E1C5D"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固定管理费每日计提，逐日累计至每个月月末，按月支付。由基金托管人根据与基金管理人核对一致的财务数据，自动在次月初五</w:t>
      </w:r>
      <w:proofErr w:type="gramStart"/>
      <w:r w:rsidRPr="002D40B3">
        <w:rPr>
          <w:rFonts w:ascii="宋体" w:hAnsi="宋体" w:hint="eastAsia"/>
          <w:bCs/>
          <w:sz w:val="24"/>
        </w:rPr>
        <w:t>个</w:t>
      </w:r>
      <w:proofErr w:type="gramEnd"/>
      <w:r w:rsidRPr="002D40B3">
        <w:rPr>
          <w:rFonts w:ascii="宋体" w:hAnsi="宋体" w:hint="eastAsia"/>
          <w:bCs/>
          <w:sz w:val="24"/>
        </w:rPr>
        <w:t>工作日内、按照指定的账户路径进行资金支付，基金管理人无需再出具资金划拨指令。若遇法定节假日、休息日等，支付日期顺延。费用自动扣划后，基金管理人应进行核对，如发现数据不符，及时联系基金托管人协商解决。</w:t>
      </w:r>
    </w:p>
    <w:p w14:paraId="42D2EF08"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（2）或有管理费和超额管理费</w:t>
      </w:r>
    </w:p>
    <w:p w14:paraId="3128D82E" w14:textId="77777777" w:rsidR="002D40B3" w:rsidRPr="002D40B3" w:rsidRDefault="002D40B3" w:rsidP="002D40B3">
      <w:pPr>
        <w:spacing w:line="300" w:lineRule="auto"/>
        <w:ind w:firstLine="480"/>
        <w:rPr>
          <w:rFonts w:ascii="宋体" w:hAnsi="宋体"/>
          <w:bCs/>
          <w:sz w:val="24"/>
        </w:rPr>
      </w:pPr>
      <w:r w:rsidRPr="002D40B3">
        <w:rPr>
          <w:rFonts w:ascii="宋体" w:hAnsi="宋体" w:hint="eastAsia"/>
          <w:bCs/>
          <w:sz w:val="24"/>
        </w:rPr>
        <w:t>或有管理费按前一日基金资产净值的0.60%年费率每日计提。或有管理费的计算方法如下：</w:t>
      </w:r>
    </w:p>
    <w:p w14:paraId="06FA2120"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2</w:t>
      </w:r>
      <w:r w:rsidRPr="002D40B3">
        <w:rPr>
          <w:rFonts w:ascii="宋体" w:hAnsi="宋体" w:hint="eastAsia"/>
          <w:bCs/>
          <w:sz w:val="24"/>
        </w:rPr>
        <w:t>＝E×</w:t>
      </w:r>
      <w:r w:rsidRPr="002D40B3">
        <w:rPr>
          <w:rFonts w:ascii="宋体" w:hAnsi="宋体"/>
          <w:bCs/>
          <w:sz w:val="24"/>
        </w:rPr>
        <w:t>0.6</w:t>
      </w:r>
      <w:r w:rsidRPr="002D40B3">
        <w:rPr>
          <w:rFonts w:ascii="宋体" w:hAnsi="宋体" w:hint="eastAsia"/>
          <w:bCs/>
          <w:sz w:val="24"/>
        </w:rPr>
        <w:t>0</w:t>
      </w:r>
      <w:r w:rsidRPr="002D40B3">
        <w:rPr>
          <w:rFonts w:ascii="宋体" w:hAnsi="宋体"/>
          <w:bCs/>
          <w:sz w:val="24"/>
        </w:rPr>
        <w:t>%</w:t>
      </w:r>
      <w:r w:rsidRPr="002D40B3">
        <w:rPr>
          <w:rFonts w:ascii="宋体" w:hAnsi="宋体" w:hint="eastAsia"/>
          <w:bCs/>
          <w:sz w:val="24"/>
        </w:rPr>
        <w:t>÷当年天数</w:t>
      </w:r>
    </w:p>
    <w:p w14:paraId="44D575E2"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2</w:t>
      </w:r>
      <w:r w:rsidRPr="002D40B3">
        <w:rPr>
          <w:rFonts w:ascii="宋体" w:hAnsi="宋体" w:hint="eastAsia"/>
          <w:bCs/>
          <w:sz w:val="24"/>
        </w:rPr>
        <w:t>为每日应计提的或有管理费</w:t>
      </w:r>
    </w:p>
    <w:p w14:paraId="4C182DDA"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E为前一日的基金资产净值</w:t>
      </w:r>
    </w:p>
    <w:p w14:paraId="56A3DA5D"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若该笔基金份额持有天数达到或超过365天，且该笔基金份额的持有收益率R符合下表“情形一”的收取情形时，或有管理费为0，则该笔基金份额持有期内计提的或有管理费将全额返还至投资者的赎回款（或清算款）；在其他情形下，该笔基金份额持有期内计提的或有管理费应确认为应由管理人收取的管理费。</w:t>
      </w:r>
    </w:p>
    <w:p w14:paraId="66FCF747"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本基金每日预估计算并记录每笔基金份额的超额管理费，基金超额管理费的预估计算方法如下：</w:t>
      </w:r>
    </w:p>
    <w:p w14:paraId="11A7424D"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3</w:t>
      </w:r>
      <w:r w:rsidRPr="002D40B3">
        <w:rPr>
          <w:rFonts w:ascii="宋体" w:hAnsi="宋体" w:hint="eastAsia"/>
          <w:bCs/>
          <w:sz w:val="24"/>
        </w:rPr>
        <w:t>＝E×0.30%÷当年天数</w:t>
      </w:r>
    </w:p>
    <w:p w14:paraId="58A73FD7"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H</w:t>
      </w:r>
      <w:r w:rsidRPr="002D40B3">
        <w:rPr>
          <w:rFonts w:ascii="宋体" w:hAnsi="宋体" w:hint="eastAsia"/>
          <w:bCs/>
          <w:sz w:val="24"/>
          <w:vertAlign w:val="subscript"/>
        </w:rPr>
        <w:t>3</w:t>
      </w:r>
      <w:r w:rsidRPr="002D40B3">
        <w:rPr>
          <w:rFonts w:ascii="宋体" w:hAnsi="宋体" w:hint="eastAsia"/>
          <w:bCs/>
          <w:sz w:val="24"/>
        </w:rPr>
        <w:t>为每日预估计算的基金超额管理费</w:t>
      </w:r>
    </w:p>
    <w:p w14:paraId="2348F9F7"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E为前一日的基金资产净值</w:t>
      </w:r>
    </w:p>
    <w:p w14:paraId="41AA50EC"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每笔基金份额的超额管理费每日预估计算，但不从基金资产中实际计提，逐日累计。当且仅当该笔基金份额持有天数达到或超过365天，且该笔基金份额</w:t>
      </w:r>
      <w:proofErr w:type="gramStart"/>
      <w:r w:rsidRPr="002D40B3">
        <w:rPr>
          <w:rFonts w:ascii="宋体" w:hAnsi="宋体" w:hint="eastAsia"/>
          <w:bCs/>
          <w:sz w:val="24"/>
        </w:rPr>
        <w:t>的年化收益率</w:t>
      </w:r>
      <w:proofErr w:type="gramEnd"/>
      <w:r w:rsidRPr="002D40B3">
        <w:rPr>
          <w:rFonts w:ascii="宋体" w:hAnsi="宋体" w:hint="eastAsia"/>
          <w:bCs/>
          <w:sz w:val="24"/>
        </w:rPr>
        <w:t>（R）符合下表“情形三”的收取情形时，将从该笔基金份额的赎回款（或清算款）中扣除0.30%年费率的超额管理费，并随已计提的或有管理费一同确认为应由管理人收取的管理费。</w:t>
      </w:r>
    </w:p>
    <w:p w14:paraId="3DEF3F8E"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当投资者赎回、转出基金份额或基金合同终止的情形发生时，本基金根据以下三种情形确认</w:t>
      </w:r>
      <w:proofErr w:type="gramStart"/>
      <w:r w:rsidRPr="002D40B3">
        <w:rPr>
          <w:rFonts w:ascii="宋体" w:hAnsi="宋体" w:hint="eastAsia"/>
          <w:bCs/>
          <w:sz w:val="24"/>
        </w:rPr>
        <w:t>应实际</w:t>
      </w:r>
      <w:proofErr w:type="gramEnd"/>
      <w:r w:rsidRPr="002D40B3">
        <w:rPr>
          <w:rFonts w:ascii="宋体" w:hAnsi="宋体" w:hint="eastAsia"/>
          <w:bCs/>
          <w:sz w:val="24"/>
        </w:rPr>
        <w:t>收取的或有管理费和超额管理费：</w:t>
      </w:r>
    </w:p>
    <w:tbl>
      <w:tblPr>
        <w:tblW w:w="6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2268"/>
        <w:gridCol w:w="1531"/>
        <w:gridCol w:w="1531"/>
      </w:tblGrid>
      <w:tr w:rsidR="002D40B3" w:rsidRPr="00454F8B" w14:paraId="3A9A22B1" w14:textId="77777777" w:rsidTr="009E3F1A">
        <w:trPr>
          <w:trHeight w:val="510"/>
          <w:jc w:val="center"/>
        </w:trPr>
        <w:tc>
          <w:tcPr>
            <w:tcW w:w="1247" w:type="dxa"/>
            <w:shd w:val="clear" w:color="auto" w:fill="auto"/>
            <w:vAlign w:val="center"/>
          </w:tcPr>
          <w:p w14:paraId="1E6611EA" w14:textId="77777777" w:rsidR="002D40B3" w:rsidRPr="00896F77" w:rsidRDefault="002D40B3" w:rsidP="00896F77">
            <w:pPr>
              <w:jc w:val="center"/>
              <w:rPr>
                <w:rFonts w:ascii="宋体" w:hAnsi="宋体"/>
                <w:b/>
                <w:bCs/>
                <w:sz w:val="24"/>
              </w:rPr>
            </w:pPr>
            <w:bookmarkStart w:id="208" w:name="_Hlk195865040"/>
            <w:r w:rsidRPr="00896F77">
              <w:rPr>
                <w:rFonts w:ascii="宋体" w:hAnsi="宋体" w:hint="eastAsia"/>
                <w:b/>
                <w:bCs/>
                <w:sz w:val="24"/>
              </w:rPr>
              <w:t>收取情形</w:t>
            </w:r>
          </w:p>
        </w:tc>
        <w:tc>
          <w:tcPr>
            <w:tcW w:w="2268" w:type="dxa"/>
            <w:shd w:val="clear" w:color="auto" w:fill="auto"/>
            <w:vAlign w:val="center"/>
          </w:tcPr>
          <w:p w14:paraId="4CCA03FE" w14:textId="77777777" w:rsidR="002D40B3" w:rsidRPr="00896F77" w:rsidRDefault="002D40B3" w:rsidP="00896F77">
            <w:pPr>
              <w:jc w:val="center"/>
              <w:rPr>
                <w:rFonts w:ascii="宋体" w:hAnsi="宋体"/>
                <w:b/>
                <w:bCs/>
                <w:sz w:val="24"/>
              </w:rPr>
            </w:pPr>
            <w:proofErr w:type="gramStart"/>
            <w:r w:rsidRPr="00896F77">
              <w:rPr>
                <w:rFonts w:ascii="宋体" w:hAnsi="宋体" w:hint="eastAsia"/>
                <w:b/>
                <w:bCs/>
                <w:sz w:val="24"/>
              </w:rPr>
              <w:t>年化收益率</w:t>
            </w:r>
            <w:proofErr w:type="gramEnd"/>
            <w:r w:rsidRPr="00896F77">
              <w:rPr>
                <w:rFonts w:ascii="宋体" w:hAnsi="宋体" w:hint="eastAsia"/>
                <w:b/>
                <w:bCs/>
                <w:sz w:val="24"/>
              </w:rPr>
              <w:t>（</w:t>
            </w:r>
            <w:r w:rsidRPr="00896F77">
              <w:rPr>
                <w:rFonts w:ascii="宋体" w:hAnsi="宋体"/>
                <w:b/>
                <w:bCs/>
                <w:sz w:val="24"/>
              </w:rPr>
              <w:t>R</w:t>
            </w:r>
            <w:r w:rsidRPr="00896F77">
              <w:rPr>
                <w:rFonts w:ascii="宋体" w:hAnsi="宋体" w:hint="eastAsia"/>
                <w:b/>
                <w:bCs/>
                <w:sz w:val="24"/>
              </w:rPr>
              <w:t>）</w:t>
            </w:r>
          </w:p>
        </w:tc>
        <w:tc>
          <w:tcPr>
            <w:tcW w:w="1531" w:type="dxa"/>
            <w:shd w:val="clear" w:color="auto" w:fill="auto"/>
            <w:vAlign w:val="center"/>
          </w:tcPr>
          <w:p w14:paraId="7D07F3C6" w14:textId="77777777" w:rsidR="002D40B3" w:rsidRPr="00896F77" w:rsidRDefault="002D40B3" w:rsidP="00896F77">
            <w:pPr>
              <w:jc w:val="center"/>
              <w:rPr>
                <w:rFonts w:ascii="宋体" w:hAnsi="宋体"/>
                <w:b/>
                <w:bCs/>
                <w:sz w:val="24"/>
              </w:rPr>
            </w:pPr>
            <w:r w:rsidRPr="00896F77">
              <w:rPr>
                <w:rFonts w:ascii="宋体" w:hAnsi="宋体" w:hint="eastAsia"/>
                <w:b/>
                <w:bCs/>
                <w:sz w:val="24"/>
              </w:rPr>
              <w:t>或有管理费</w:t>
            </w:r>
          </w:p>
          <w:p w14:paraId="351FDE3A" w14:textId="77777777" w:rsidR="002D40B3" w:rsidRPr="00896F77" w:rsidRDefault="002D40B3" w:rsidP="00896F77">
            <w:pPr>
              <w:jc w:val="center"/>
              <w:rPr>
                <w:rFonts w:ascii="宋体" w:hAnsi="宋体"/>
                <w:b/>
                <w:bCs/>
                <w:sz w:val="24"/>
              </w:rPr>
            </w:pPr>
            <w:r w:rsidRPr="00896F77">
              <w:rPr>
                <w:rFonts w:ascii="宋体" w:hAnsi="宋体" w:hint="eastAsia"/>
                <w:b/>
                <w:bCs/>
                <w:sz w:val="24"/>
              </w:rPr>
              <w:t>（年费率）</w:t>
            </w:r>
          </w:p>
        </w:tc>
        <w:tc>
          <w:tcPr>
            <w:tcW w:w="1531" w:type="dxa"/>
            <w:shd w:val="clear" w:color="auto" w:fill="auto"/>
            <w:vAlign w:val="center"/>
          </w:tcPr>
          <w:p w14:paraId="229D351C" w14:textId="77777777" w:rsidR="002D40B3" w:rsidRPr="00896F77" w:rsidRDefault="002D40B3" w:rsidP="00896F77">
            <w:pPr>
              <w:jc w:val="center"/>
              <w:rPr>
                <w:rFonts w:ascii="宋体" w:hAnsi="宋体"/>
                <w:b/>
                <w:bCs/>
                <w:sz w:val="24"/>
              </w:rPr>
            </w:pPr>
            <w:r w:rsidRPr="00896F77">
              <w:rPr>
                <w:rFonts w:ascii="宋体" w:hAnsi="宋体" w:hint="eastAsia"/>
                <w:b/>
                <w:bCs/>
                <w:sz w:val="24"/>
              </w:rPr>
              <w:t>超额管理费</w:t>
            </w:r>
          </w:p>
          <w:p w14:paraId="040B2514" w14:textId="77777777" w:rsidR="002D40B3" w:rsidRPr="00896F77" w:rsidRDefault="002D40B3" w:rsidP="00896F77">
            <w:pPr>
              <w:jc w:val="center"/>
              <w:rPr>
                <w:rFonts w:ascii="宋体" w:hAnsi="宋体"/>
                <w:b/>
                <w:bCs/>
                <w:sz w:val="24"/>
              </w:rPr>
            </w:pPr>
            <w:r w:rsidRPr="00896F77">
              <w:rPr>
                <w:rFonts w:ascii="宋体" w:hAnsi="宋体" w:hint="eastAsia"/>
                <w:b/>
                <w:bCs/>
                <w:sz w:val="24"/>
              </w:rPr>
              <w:t>（年费率）</w:t>
            </w:r>
          </w:p>
        </w:tc>
      </w:tr>
      <w:tr w:rsidR="002D40B3" w:rsidRPr="00454F8B" w14:paraId="63E0AAF4" w14:textId="77777777" w:rsidTr="009E3F1A">
        <w:trPr>
          <w:trHeight w:val="510"/>
          <w:jc w:val="center"/>
        </w:trPr>
        <w:tc>
          <w:tcPr>
            <w:tcW w:w="1247" w:type="dxa"/>
            <w:shd w:val="clear" w:color="auto" w:fill="auto"/>
            <w:vAlign w:val="center"/>
          </w:tcPr>
          <w:p w14:paraId="4631C381" w14:textId="77777777" w:rsidR="002D40B3" w:rsidRPr="00896F77" w:rsidRDefault="002D40B3" w:rsidP="00896F77">
            <w:pPr>
              <w:jc w:val="center"/>
              <w:rPr>
                <w:rFonts w:ascii="宋体" w:hAnsi="宋体"/>
                <w:sz w:val="24"/>
              </w:rPr>
            </w:pPr>
            <w:r w:rsidRPr="00896F77">
              <w:rPr>
                <w:rFonts w:ascii="宋体" w:hAnsi="宋体" w:hint="eastAsia"/>
                <w:bCs/>
                <w:sz w:val="24"/>
              </w:rPr>
              <w:lastRenderedPageBreak/>
              <w:t>情形</w:t>
            </w:r>
            <w:proofErr w:type="gramStart"/>
            <w:r w:rsidRPr="00896F77">
              <w:rPr>
                <w:rFonts w:ascii="宋体" w:hAnsi="宋体" w:hint="eastAsia"/>
                <w:sz w:val="24"/>
              </w:rPr>
              <w:t>一</w:t>
            </w:r>
            <w:proofErr w:type="gramEnd"/>
          </w:p>
        </w:tc>
        <w:tc>
          <w:tcPr>
            <w:tcW w:w="2268" w:type="dxa"/>
            <w:shd w:val="clear" w:color="auto" w:fill="auto"/>
            <w:vAlign w:val="center"/>
          </w:tcPr>
          <w:p w14:paraId="7E261895" w14:textId="77777777" w:rsidR="002D40B3" w:rsidRPr="00896F77" w:rsidRDefault="002D40B3" w:rsidP="00896F77">
            <w:pPr>
              <w:jc w:val="center"/>
              <w:rPr>
                <w:rFonts w:ascii="宋体" w:hAnsi="宋体"/>
                <w:i/>
                <w:sz w:val="24"/>
              </w:rPr>
            </w:pPr>
            <w:r w:rsidRPr="00896F77">
              <w:rPr>
                <w:rFonts w:ascii="宋体" w:hAnsi="宋体"/>
                <w:sz w:val="24"/>
              </w:rPr>
              <w:t>R</w:t>
            </w:r>
            <w:r w:rsidRPr="00896F77">
              <w:rPr>
                <w:rFonts w:ascii="宋体" w:hAnsi="宋体" w:hint="eastAsia"/>
                <w:sz w:val="24"/>
              </w:rPr>
              <w:t>≤</w:t>
            </w:r>
            <w:r w:rsidRPr="00896F77">
              <w:rPr>
                <w:rFonts w:ascii="宋体" w:hAnsi="宋体"/>
                <w:sz w:val="24"/>
              </w:rPr>
              <w:t>R</w:t>
            </w:r>
            <w:r w:rsidRPr="00896F77">
              <w:rPr>
                <w:rFonts w:ascii="宋体" w:hAnsi="宋体"/>
                <w:sz w:val="24"/>
                <w:vertAlign w:val="subscript"/>
              </w:rPr>
              <w:t>b</w:t>
            </w:r>
            <w:r w:rsidRPr="00896F77">
              <w:rPr>
                <w:rFonts w:ascii="宋体" w:hAnsi="宋体" w:hint="eastAsia"/>
                <w:sz w:val="24"/>
              </w:rPr>
              <w:t>-3%</w:t>
            </w:r>
          </w:p>
        </w:tc>
        <w:tc>
          <w:tcPr>
            <w:tcW w:w="1531" w:type="dxa"/>
            <w:shd w:val="clear" w:color="auto" w:fill="auto"/>
            <w:vAlign w:val="center"/>
          </w:tcPr>
          <w:p w14:paraId="1689FB7A" w14:textId="77777777" w:rsidR="002D40B3" w:rsidRPr="00896F77" w:rsidRDefault="002D40B3" w:rsidP="00896F77">
            <w:pPr>
              <w:jc w:val="center"/>
              <w:rPr>
                <w:rFonts w:ascii="宋体" w:hAnsi="宋体"/>
                <w:sz w:val="24"/>
              </w:rPr>
            </w:pPr>
            <w:r w:rsidRPr="00896F77">
              <w:rPr>
                <w:rFonts w:ascii="宋体" w:hAnsi="宋体" w:hint="eastAsia"/>
                <w:sz w:val="24"/>
              </w:rPr>
              <w:t>0</w:t>
            </w:r>
          </w:p>
        </w:tc>
        <w:tc>
          <w:tcPr>
            <w:tcW w:w="1531" w:type="dxa"/>
            <w:shd w:val="clear" w:color="auto" w:fill="auto"/>
            <w:vAlign w:val="center"/>
          </w:tcPr>
          <w:p w14:paraId="468127CD" w14:textId="77777777" w:rsidR="002D40B3" w:rsidRPr="00896F77" w:rsidRDefault="002D40B3" w:rsidP="00896F77">
            <w:pPr>
              <w:jc w:val="center"/>
              <w:rPr>
                <w:rFonts w:ascii="宋体" w:hAnsi="宋体"/>
                <w:sz w:val="24"/>
              </w:rPr>
            </w:pPr>
            <w:r w:rsidRPr="00896F77">
              <w:rPr>
                <w:rFonts w:ascii="宋体" w:hAnsi="宋体" w:hint="eastAsia"/>
                <w:sz w:val="24"/>
              </w:rPr>
              <w:t>0</w:t>
            </w:r>
          </w:p>
        </w:tc>
      </w:tr>
      <w:tr w:rsidR="002D40B3" w:rsidRPr="00454F8B" w14:paraId="11F6CFF0" w14:textId="77777777" w:rsidTr="009E3F1A">
        <w:trPr>
          <w:trHeight w:val="510"/>
          <w:jc w:val="center"/>
        </w:trPr>
        <w:tc>
          <w:tcPr>
            <w:tcW w:w="1247" w:type="dxa"/>
            <w:shd w:val="clear" w:color="auto" w:fill="auto"/>
            <w:vAlign w:val="center"/>
          </w:tcPr>
          <w:p w14:paraId="3D0B376B" w14:textId="77777777" w:rsidR="002D40B3" w:rsidRPr="00896F77" w:rsidRDefault="002D40B3" w:rsidP="00896F77">
            <w:pPr>
              <w:jc w:val="center"/>
              <w:rPr>
                <w:rFonts w:ascii="宋体" w:hAnsi="宋体"/>
                <w:sz w:val="24"/>
              </w:rPr>
            </w:pPr>
            <w:r w:rsidRPr="00896F77">
              <w:rPr>
                <w:rFonts w:ascii="宋体" w:hAnsi="宋体" w:hint="eastAsia"/>
                <w:bCs/>
                <w:sz w:val="24"/>
              </w:rPr>
              <w:t>情形</w:t>
            </w:r>
            <w:r w:rsidRPr="00896F77">
              <w:rPr>
                <w:rFonts w:ascii="宋体" w:hAnsi="宋体" w:hint="eastAsia"/>
                <w:sz w:val="24"/>
              </w:rPr>
              <w:t>二</w:t>
            </w:r>
          </w:p>
        </w:tc>
        <w:tc>
          <w:tcPr>
            <w:tcW w:w="2268" w:type="dxa"/>
            <w:shd w:val="clear" w:color="auto" w:fill="auto"/>
            <w:vAlign w:val="center"/>
          </w:tcPr>
          <w:p w14:paraId="7259E979" w14:textId="77777777" w:rsidR="002D40B3" w:rsidRPr="00896F77" w:rsidRDefault="002D40B3" w:rsidP="00896F77">
            <w:pPr>
              <w:jc w:val="center"/>
              <w:rPr>
                <w:rFonts w:ascii="宋体" w:hAnsi="宋体"/>
                <w:sz w:val="24"/>
              </w:rPr>
            </w:pPr>
            <w:r w:rsidRPr="00896F77">
              <w:rPr>
                <w:rFonts w:ascii="宋体" w:hAnsi="宋体"/>
                <w:bCs/>
                <w:sz w:val="24"/>
              </w:rPr>
              <w:t>其他情形</w:t>
            </w:r>
          </w:p>
        </w:tc>
        <w:tc>
          <w:tcPr>
            <w:tcW w:w="1531" w:type="dxa"/>
            <w:shd w:val="clear" w:color="auto" w:fill="auto"/>
            <w:vAlign w:val="center"/>
          </w:tcPr>
          <w:p w14:paraId="7E5EAC7B" w14:textId="77777777" w:rsidR="002D40B3" w:rsidRPr="00896F77" w:rsidRDefault="002D40B3" w:rsidP="00896F77">
            <w:pPr>
              <w:jc w:val="center"/>
              <w:rPr>
                <w:rFonts w:ascii="宋体" w:hAnsi="宋体"/>
                <w:sz w:val="24"/>
              </w:rPr>
            </w:pPr>
            <w:r w:rsidRPr="00896F77">
              <w:rPr>
                <w:rFonts w:ascii="宋体" w:hAnsi="宋体" w:hint="eastAsia"/>
                <w:sz w:val="24"/>
              </w:rPr>
              <w:t>0.60%</w:t>
            </w:r>
          </w:p>
        </w:tc>
        <w:tc>
          <w:tcPr>
            <w:tcW w:w="1531" w:type="dxa"/>
            <w:shd w:val="clear" w:color="auto" w:fill="auto"/>
            <w:vAlign w:val="center"/>
          </w:tcPr>
          <w:p w14:paraId="110BEFAF" w14:textId="77777777" w:rsidR="002D40B3" w:rsidRPr="00896F77" w:rsidRDefault="002D40B3" w:rsidP="00896F77">
            <w:pPr>
              <w:jc w:val="center"/>
              <w:rPr>
                <w:rFonts w:ascii="宋体" w:hAnsi="宋体"/>
                <w:sz w:val="24"/>
              </w:rPr>
            </w:pPr>
            <w:r w:rsidRPr="00896F77">
              <w:rPr>
                <w:rFonts w:ascii="宋体" w:hAnsi="宋体" w:hint="eastAsia"/>
                <w:sz w:val="24"/>
              </w:rPr>
              <w:t>0</w:t>
            </w:r>
          </w:p>
        </w:tc>
      </w:tr>
      <w:tr w:rsidR="002D40B3" w:rsidRPr="00454F8B" w14:paraId="7E5AB534" w14:textId="77777777" w:rsidTr="009E3F1A">
        <w:trPr>
          <w:trHeight w:val="510"/>
          <w:jc w:val="center"/>
        </w:trPr>
        <w:tc>
          <w:tcPr>
            <w:tcW w:w="1247" w:type="dxa"/>
            <w:shd w:val="clear" w:color="auto" w:fill="auto"/>
            <w:vAlign w:val="center"/>
          </w:tcPr>
          <w:p w14:paraId="4493E8FA" w14:textId="77777777" w:rsidR="002D40B3" w:rsidRPr="00896F77" w:rsidRDefault="002D40B3" w:rsidP="00896F77">
            <w:pPr>
              <w:jc w:val="center"/>
              <w:rPr>
                <w:rFonts w:ascii="宋体" w:hAnsi="宋体"/>
                <w:sz w:val="24"/>
              </w:rPr>
            </w:pPr>
            <w:r w:rsidRPr="00896F77">
              <w:rPr>
                <w:rFonts w:ascii="宋体" w:hAnsi="宋体" w:hint="eastAsia"/>
                <w:sz w:val="24"/>
              </w:rPr>
              <w:t>情形三</w:t>
            </w:r>
          </w:p>
        </w:tc>
        <w:tc>
          <w:tcPr>
            <w:tcW w:w="2268" w:type="dxa"/>
            <w:shd w:val="clear" w:color="auto" w:fill="auto"/>
            <w:vAlign w:val="center"/>
          </w:tcPr>
          <w:p w14:paraId="795DA0E6" w14:textId="77777777" w:rsidR="002D40B3" w:rsidRPr="00896F77" w:rsidRDefault="002D40B3" w:rsidP="00896F77">
            <w:pPr>
              <w:spacing w:line="276" w:lineRule="auto"/>
              <w:jc w:val="center"/>
              <w:rPr>
                <w:rFonts w:ascii="宋体" w:hAnsi="宋体"/>
                <w:b/>
                <w:bCs/>
                <w:sz w:val="24"/>
              </w:rPr>
            </w:pPr>
            <w:r w:rsidRPr="00896F77">
              <w:rPr>
                <w:rFonts w:ascii="宋体" w:hAnsi="宋体"/>
                <w:bCs/>
                <w:sz w:val="24"/>
              </w:rPr>
              <w:t>R</w:t>
            </w:r>
            <w:r w:rsidRPr="00896F77">
              <w:rPr>
                <w:rFonts w:ascii="宋体" w:hAnsi="宋体" w:hint="eastAsia"/>
                <w:bCs/>
                <w:sz w:val="24"/>
              </w:rPr>
              <w:t>＞</w:t>
            </w:r>
            <w:r w:rsidRPr="00896F77">
              <w:rPr>
                <w:rFonts w:ascii="宋体" w:hAnsi="宋体"/>
                <w:bCs/>
                <w:sz w:val="24"/>
              </w:rPr>
              <w:t>R</w:t>
            </w:r>
            <w:r w:rsidRPr="00896F77">
              <w:rPr>
                <w:rFonts w:ascii="宋体" w:hAnsi="宋体"/>
                <w:spacing w:val="-2"/>
                <w:sz w:val="24"/>
                <w:vertAlign w:val="subscript"/>
              </w:rPr>
              <w:t>b</w:t>
            </w:r>
            <w:r w:rsidRPr="00896F77">
              <w:rPr>
                <w:rFonts w:ascii="宋体" w:hAnsi="宋体"/>
                <w:bCs/>
                <w:sz w:val="24"/>
              </w:rPr>
              <w:t>+6%，R</w:t>
            </w:r>
            <w:r w:rsidRPr="00896F77">
              <w:rPr>
                <w:rFonts w:ascii="宋体" w:hAnsi="宋体" w:hint="eastAsia"/>
                <w:bCs/>
                <w:sz w:val="24"/>
              </w:rPr>
              <w:t>＞</w:t>
            </w:r>
            <w:r w:rsidRPr="00896F77">
              <w:rPr>
                <w:rFonts w:ascii="宋体" w:hAnsi="宋体"/>
                <w:bCs/>
                <w:sz w:val="24"/>
              </w:rPr>
              <w:t>0</w:t>
            </w:r>
          </w:p>
        </w:tc>
        <w:tc>
          <w:tcPr>
            <w:tcW w:w="1531" w:type="dxa"/>
            <w:shd w:val="clear" w:color="auto" w:fill="auto"/>
            <w:vAlign w:val="center"/>
          </w:tcPr>
          <w:p w14:paraId="17F28ED8" w14:textId="77777777" w:rsidR="002D40B3" w:rsidRPr="00896F77" w:rsidRDefault="002D40B3" w:rsidP="00896F77">
            <w:pPr>
              <w:jc w:val="center"/>
              <w:rPr>
                <w:rFonts w:ascii="宋体" w:hAnsi="宋体"/>
                <w:sz w:val="24"/>
              </w:rPr>
            </w:pPr>
            <w:r w:rsidRPr="00896F77">
              <w:rPr>
                <w:rFonts w:ascii="宋体" w:hAnsi="宋体" w:hint="eastAsia"/>
                <w:sz w:val="24"/>
              </w:rPr>
              <w:t>0.60%</w:t>
            </w:r>
          </w:p>
        </w:tc>
        <w:tc>
          <w:tcPr>
            <w:tcW w:w="1531" w:type="dxa"/>
            <w:shd w:val="clear" w:color="auto" w:fill="auto"/>
            <w:vAlign w:val="center"/>
          </w:tcPr>
          <w:p w14:paraId="4F5EAE8A" w14:textId="77777777" w:rsidR="002D40B3" w:rsidRPr="00896F77" w:rsidRDefault="002D40B3" w:rsidP="00896F77">
            <w:pPr>
              <w:jc w:val="center"/>
              <w:rPr>
                <w:rFonts w:ascii="宋体" w:hAnsi="宋体"/>
                <w:sz w:val="24"/>
              </w:rPr>
            </w:pPr>
            <w:r w:rsidRPr="00896F77">
              <w:rPr>
                <w:rFonts w:ascii="宋体" w:hAnsi="宋体" w:hint="eastAsia"/>
                <w:sz w:val="24"/>
              </w:rPr>
              <w:t>0.30%</w:t>
            </w:r>
          </w:p>
        </w:tc>
      </w:tr>
    </w:tbl>
    <w:bookmarkEnd w:id="208"/>
    <w:p w14:paraId="78E67A42"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对于“情形三”，</w:t>
      </w:r>
      <w:proofErr w:type="gramStart"/>
      <w:r w:rsidRPr="002D40B3">
        <w:rPr>
          <w:rFonts w:ascii="宋体" w:hAnsi="宋体" w:hint="eastAsia"/>
          <w:bCs/>
          <w:sz w:val="24"/>
        </w:rPr>
        <w:t>若拟扣除</w:t>
      </w:r>
      <w:proofErr w:type="gramEnd"/>
      <w:r w:rsidRPr="002D40B3">
        <w:rPr>
          <w:rFonts w:ascii="宋体" w:hAnsi="宋体" w:hint="eastAsia"/>
          <w:bCs/>
          <w:sz w:val="24"/>
        </w:rPr>
        <w:t>超额管理费后</w:t>
      </w:r>
      <w:proofErr w:type="gramStart"/>
      <w:r w:rsidRPr="002D40B3">
        <w:rPr>
          <w:rFonts w:ascii="宋体" w:hAnsi="宋体" w:hint="eastAsia"/>
          <w:bCs/>
          <w:sz w:val="24"/>
        </w:rPr>
        <w:t>的年化收益率</w:t>
      </w:r>
      <w:proofErr w:type="gramEnd"/>
      <w:r w:rsidRPr="002D40B3">
        <w:rPr>
          <w:rFonts w:ascii="宋体" w:hAnsi="宋体" w:hint="eastAsia"/>
          <w:bCs/>
          <w:sz w:val="24"/>
        </w:rPr>
        <w:t>小于等于</w:t>
      </w:r>
      <w:r w:rsidRPr="002D40B3">
        <w:rPr>
          <w:rFonts w:ascii="宋体" w:hAnsi="宋体"/>
          <w:bCs/>
          <w:sz w:val="24"/>
        </w:rPr>
        <w:t>R</w:t>
      </w:r>
      <w:r w:rsidRPr="002D40B3">
        <w:rPr>
          <w:rFonts w:ascii="宋体" w:hAnsi="宋体"/>
          <w:bCs/>
          <w:sz w:val="24"/>
          <w:vertAlign w:val="subscript"/>
        </w:rPr>
        <w:t>b</w:t>
      </w:r>
      <w:r w:rsidRPr="002D40B3">
        <w:rPr>
          <w:rFonts w:ascii="宋体" w:hAnsi="宋体"/>
          <w:bCs/>
          <w:sz w:val="24"/>
        </w:rPr>
        <w:t>+6%</w:t>
      </w:r>
      <w:r w:rsidRPr="002D40B3">
        <w:rPr>
          <w:rFonts w:ascii="宋体" w:hAnsi="宋体" w:hint="eastAsia"/>
          <w:bCs/>
          <w:sz w:val="24"/>
        </w:rPr>
        <w:t>，或小于等于0时，仍按1.20%年费率收取该笔基金份额的管理费，以使得该笔基金份额在扣除超额管理费后</w:t>
      </w:r>
      <w:proofErr w:type="gramStart"/>
      <w:r w:rsidRPr="002D40B3">
        <w:rPr>
          <w:rFonts w:ascii="宋体" w:hAnsi="宋体" w:hint="eastAsia"/>
          <w:bCs/>
          <w:sz w:val="24"/>
        </w:rPr>
        <w:t>的年化收益率</w:t>
      </w:r>
      <w:proofErr w:type="gramEnd"/>
      <w:r w:rsidRPr="002D40B3">
        <w:rPr>
          <w:rFonts w:ascii="宋体" w:hAnsi="宋体" w:hint="eastAsia"/>
          <w:bCs/>
          <w:sz w:val="24"/>
        </w:rPr>
        <w:t>仍满足本基金收取超额管理费的标准。</w:t>
      </w:r>
    </w:p>
    <w:p w14:paraId="3CED253F"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每笔基金份额</w:t>
      </w:r>
      <w:proofErr w:type="gramStart"/>
      <w:r w:rsidRPr="002D40B3">
        <w:rPr>
          <w:rFonts w:ascii="宋体" w:hAnsi="宋体" w:hint="eastAsia"/>
          <w:bCs/>
          <w:sz w:val="24"/>
        </w:rPr>
        <w:t>的年化收益率</w:t>
      </w:r>
      <w:proofErr w:type="gramEnd"/>
      <w:r w:rsidRPr="002D40B3">
        <w:rPr>
          <w:rFonts w:ascii="宋体" w:hAnsi="宋体" w:hint="eastAsia"/>
          <w:bCs/>
          <w:sz w:val="24"/>
        </w:rPr>
        <w:t>（</w:t>
      </w:r>
      <w:r w:rsidRPr="002D40B3">
        <w:rPr>
          <w:rFonts w:ascii="宋体" w:hAnsi="宋体"/>
          <w:bCs/>
          <w:sz w:val="24"/>
        </w:rPr>
        <w:t>R</w:t>
      </w:r>
      <w:r w:rsidRPr="002D40B3">
        <w:rPr>
          <w:rFonts w:ascii="宋体" w:hAnsi="宋体" w:hint="eastAsia"/>
          <w:bCs/>
          <w:sz w:val="24"/>
        </w:rPr>
        <w:t>）计算方法如下：</w:t>
      </w:r>
    </w:p>
    <w:p w14:paraId="70BAB1AF" w14:textId="7A2D9EAD" w:rsidR="002D40B3" w:rsidRPr="001C57CF" w:rsidRDefault="001C57CF" w:rsidP="002D40B3">
      <w:pPr>
        <w:spacing w:line="300" w:lineRule="auto"/>
        <w:ind w:firstLine="480"/>
        <w:rPr>
          <w:rFonts w:ascii="宋体" w:hAnsi="宋体" w:cs="Arial"/>
          <w:iCs/>
          <w:sz w:val="24"/>
        </w:rPr>
      </w:pPr>
      <w:bookmarkStart w:id="209" w:name="_Hlk195865107"/>
      <m:oMathPara>
        <m:oMath>
          <m:r>
            <m:rPr>
              <m:sty m:val="p"/>
            </m:rPr>
            <w:rPr>
              <w:rFonts w:ascii="Cambria Math" w:hAnsi="Cambria Math" w:cs="TimesNewRomanPSMT"/>
              <w:sz w:val="24"/>
            </w:rPr>
            <m:t>R=</m:t>
          </m:r>
          <m:f>
            <m:fPr>
              <m:ctrlPr>
                <w:rPr>
                  <w:rFonts w:ascii="Cambria Math" w:hAnsi="Cambria Math" w:cs="TimesNewRomanPSMT"/>
                  <w:sz w:val="24"/>
                </w:rPr>
              </m:ctrlPr>
            </m:fPr>
            <m:num>
              <m:r>
                <w:rPr>
                  <w:rFonts w:ascii="Cambria Math" w:hAnsi="Cambria Math" w:cs="TimesNewRomanPSMT"/>
                  <w:sz w:val="24"/>
                </w:rPr>
                <m:t>A-B</m:t>
              </m:r>
            </m:num>
            <m:den>
              <m:r>
                <w:rPr>
                  <w:rFonts w:ascii="Cambria Math" w:hAnsi="Cambria Math" w:cs="TimesNewRomanPSMT"/>
                  <w:sz w:val="24"/>
                </w:rPr>
                <m:t>C</m:t>
              </m:r>
            </m:den>
          </m:f>
          <m:r>
            <w:rPr>
              <w:rFonts w:ascii="Cambria Math" w:hAnsi="Cambria Math" w:cs="TimesNewRomanPSMT"/>
              <w:sz w:val="24"/>
            </w:rPr>
            <m:t>×</m:t>
          </m:r>
          <m:f>
            <m:fPr>
              <m:ctrlPr>
                <w:rPr>
                  <w:rFonts w:ascii="Cambria Math" w:hAnsi="Cambria Math" w:cs="TimesNewRomanPSMT"/>
                  <w:i/>
                  <w:sz w:val="24"/>
                </w:rPr>
              </m:ctrlPr>
            </m:fPr>
            <m:num>
              <m:r>
                <w:rPr>
                  <w:rFonts w:ascii="Cambria Math" w:hAnsi="Cambria Math" w:cs="TimesNewRomanPSMT"/>
                  <w:sz w:val="24"/>
                </w:rPr>
                <m:t>365</m:t>
              </m:r>
            </m:num>
            <m:den>
              <m:r>
                <w:rPr>
                  <w:rFonts w:ascii="Cambria Math" w:hAnsi="Cambria Math" w:cs="TimesNewRomanPSMT"/>
                  <w:sz w:val="24"/>
                </w:rPr>
                <m:t>D</m:t>
              </m:r>
            </m:den>
          </m:f>
          <m:r>
            <w:rPr>
              <w:rFonts w:ascii="Cambria Math" w:hAnsi="Cambria Math" w:cs="TimesNewRomanPSMT"/>
              <w:sz w:val="24"/>
            </w:rPr>
            <m:t>×100%</m:t>
          </m:r>
        </m:oMath>
      </m:oMathPara>
    </w:p>
    <w:bookmarkEnd w:id="209"/>
    <w:p w14:paraId="453F7192"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拟扣除超额管理费后</w:t>
      </w:r>
      <w:proofErr w:type="gramStart"/>
      <w:r w:rsidRPr="002D40B3">
        <w:rPr>
          <w:rFonts w:ascii="宋体" w:hAnsi="宋体" w:hint="eastAsia"/>
          <w:bCs/>
          <w:sz w:val="24"/>
        </w:rPr>
        <w:t>的年化收益率</w:t>
      </w:r>
      <w:proofErr w:type="gramEnd"/>
      <w:r w:rsidRPr="002D40B3">
        <w:rPr>
          <w:rFonts w:ascii="宋体" w:hAnsi="宋体" w:hint="eastAsia"/>
          <w:bCs/>
          <w:sz w:val="24"/>
        </w:rPr>
        <w:t>（R*）的计算方法如下：</w:t>
      </w:r>
    </w:p>
    <w:p w14:paraId="2DF4D691" w14:textId="5584B0A7" w:rsidR="002D40B3" w:rsidRPr="001C57CF" w:rsidRDefault="001C57CF" w:rsidP="002D40B3">
      <w:pPr>
        <w:spacing w:line="360" w:lineRule="auto"/>
        <w:ind w:firstLineChars="200" w:firstLine="480"/>
        <w:jc w:val="center"/>
        <w:rPr>
          <w:rFonts w:ascii="宋体" w:hAnsi="宋体"/>
          <w:bCs/>
          <w:sz w:val="24"/>
        </w:rPr>
      </w:pPr>
      <w:bookmarkStart w:id="210" w:name="_Hlk196342196"/>
      <m:oMathPara>
        <m:oMath>
          <m:r>
            <m:rPr>
              <m:sty m:val="p"/>
            </m:rPr>
            <w:rPr>
              <w:rFonts w:ascii="Cambria Math" w:hAnsi="Cambria Math"/>
              <w:sz w:val="24"/>
            </w:rPr>
            <m:t>R</m:t>
          </m:r>
          <m:r>
            <w:rPr>
              <w:rFonts w:ascii="Cambria Math" w:hAnsi="Cambria Math"/>
              <w:sz w:val="24"/>
            </w:rPr>
            <m:t>*=</m:t>
          </m:r>
          <m:f>
            <m:fPr>
              <m:ctrlPr>
                <w:rPr>
                  <w:rFonts w:ascii="Cambria Math" w:hAnsi="Cambria Math"/>
                  <w:bCs/>
                  <w:i/>
                  <w:sz w:val="24"/>
                </w:rPr>
              </m:ctrlPr>
            </m:fPr>
            <m:num>
              <m:r>
                <w:rPr>
                  <w:rFonts w:ascii="Cambria Math" w:hAnsi="Cambria Math"/>
                  <w:sz w:val="24"/>
                </w:rPr>
                <m:t>F×</m:t>
              </m:r>
              <m:d>
                <m:dPr>
                  <m:ctrlPr>
                    <w:rPr>
                      <w:rFonts w:ascii="Cambria Math" w:hAnsi="Cambria Math"/>
                      <w:bCs/>
                      <w:i/>
                      <w:sz w:val="24"/>
                    </w:rPr>
                  </m:ctrlPr>
                </m:dPr>
                <m:e>
                  <m:r>
                    <w:rPr>
                      <w:rFonts w:ascii="Cambria Math" w:hAnsi="Cambria Math"/>
                      <w:sz w:val="24"/>
                    </w:rPr>
                    <m:t>A-B</m:t>
                  </m:r>
                </m:e>
              </m:d>
              <m:r>
                <w:rPr>
                  <w:rFonts w:ascii="Cambria Math" w:hAnsi="Cambria Math"/>
                  <w:sz w:val="24"/>
                </w:rPr>
                <m:t>-</m:t>
              </m:r>
              <m:sSub>
                <m:sSubPr>
                  <m:ctrlPr>
                    <w:rPr>
                      <w:rFonts w:ascii="Cambria Math" w:hAnsi="Cambria Math"/>
                      <w:bCs/>
                      <w:i/>
                      <w:sz w:val="24"/>
                    </w:rPr>
                  </m:ctrlPr>
                </m:sSubPr>
                <m:e>
                  <m:r>
                    <w:rPr>
                      <w:rFonts w:ascii="Cambria Math" w:hAnsi="Cambria Math"/>
                      <w:sz w:val="24"/>
                    </w:rPr>
                    <m:t>M</m:t>
                  </m:r>
                </m:e>
                <m:sub>
                  <m:r>
                    <w:rPr>
                      <w:rFonts w:ascii="Cambria Math" w:hAnsi="Cambria Math"/>
                      <w:sz w:val="24"/>
                    </w:rPr>
                    <m:t>C</m:t>
                  </m:r>
                </m:sub>
              </m:sSub>
            </m:num>
            <m:den>
              <m:r>
                <w:rPr>
                  <w:rFonts w:ascii="Cambria Math" w:hAnsi="Cambria Math"/>
                  <w:sz w:val="24"/>
                </w:rPr>
                <m:t>F×C</m:t>
              </m:r>
            </m:den>
          </m:f>
          <m:r>
            <w:rPr>
              <w:rFonts w:ascii="Cambria Math" w:hAnsi="Cambria Math"/>
              <w:sz w:val="24"/>
            </w:rPr>
            <m:t>×</m:t>
          </m:r>
          <m:f>
            <m:fPr>
              <m:ctrlPr>
                <w:rPr>
                  <w:rFonts w:ascii="Cambria Math" w:hAnsi="Cambria Math"/>
                  <w:bCs/>
                  <w:i/>
                  <w:sz w:val="24"/>
                </w:rPr>
              </m:ctrlPr>
            </m:fPr>
            <m:num>
              <m:r>
                <w:rPr>
                  <w:rFonts w:ascii="Cambria Math" w:hAnsi="Cambria Math"/>
                  <w:sz w:val="24"/>
                </w:rPr>
                <m:t>365</m:t>
              </m:r>
            </m:num>
            <m:den>
              <m:r>
                <w:rPr>
                  <w:rFonts w:ascii="Cambria Math" w:hAnsi="Cambria Math"/>
                  <w:sz w:val="24"/>
                </w:rPr>
                <m:t>D</m:t>
              </m:r>
            </m:den>
          </m:f>
          <m:r>
            <w:rPr>
              <w:rFonts w:ascii="Cambria Math" w:hAnsi="Cambria Math" w:cs="TimesNewRomanPSMT"/>
              <w:sz w:val="24"/>
            </w:rPr>
            <m:t>×100%</m:t>
          </m:r>
        </m:oMath>
      </m:oMathPara>
    </w:p>
    <w:bookmarkEnd w:id="210"/>
    <w:p w14:paraId="24D83B10"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bCs/>
          <w:sz w:val="24"/>
        </w:rPr>
        <w:t>R</w:t>
      </w:r>
      <w:r w:rsidRPr="002D40B3">
        <w:rPr>
          <w:rFonts w:ascii="宋体" w:hAnsi="宋体" w:hint="eastAsia"/>
          <w:bCs/>
          <w:sz w:val="24"/>
        </w:rPr>
        <w:t>为该笔份额</w:t>
      </w:r>
      <w:proofErr w:type="gramStart"/>
      <w:r w:rsidRPr="002D40B3">
        <w:rPr>
          <w:rFonts w:ascii="宋体" w:hAnsi="宋体" w:hint="eastAsia"/>
          <w:bCs/>
          <w:sz w:val="24"/>
        </w:rPr>
        <w:t>的年化收益率</w:t>
      </w:r>
      <w:proofErr w:type="gramEnd"/>
      <w:r w:rsidRPr="002D40B3">
        <w:rPr>
          <w:rFonts w:ascii="宋体" w:hAnsi="宋体" w:hint="eastAsia"/>
          <w:bCs/>
          <w:sz w:val="24"/>
        </w:rPr>
        <w:t>；</w:t>
      </w:r>
      <w:r w:rsidRPr="002D40B3">
        <w:rPr>
          <w:rFonts w:ascii="宋体" w:hAnsi="宋体"/>
          <w:bCs/>
          <w:sz w:val="24"/>
        </w:rPr>
        <w:t>R</w:t>
      </w:r>
      <w:r w:rsidRPr="002D40B3">
        <w:rPr>
          <w:rFonts w:ascii="宋体" w:hAnsi="宋体"/>
          <w:bCs/>
          <w:sz w:val="24"/>
          <w:vertAlign w:val="subscript"/>
        </w:rPr>
        <w:t>b</w:t>
      </w:r>
      <w:r w:rsidRPr="002D40B3">
        <w:rPr>
          <w:rFonts w:ascii="宋体" w:hAnsi="宋体" w:hint="eastAsia"/>
          <w:bCs/>
          <w:sz w:val="24"/>
        </w:rPr>
        <w:t>为本基金业绩比较基准</w:t>
      </w:r>
      <w:proofErr w:type="gramStart"/>
      <w:r w:rsidRPr="002D40B3">
        <w:rPr>
          <w:rFonts w:ascii="宋体" w:hAnsi="宋体" w:hint="eastAsia"/>
          <w:bCs/>
          <w:sz w:val="24"/>
        </w:rPr>
        <w:t>同期年化</w:t>
      </w:r>
      <w:proofErr w:type="gramEnd"/>
      <w:r w:rsidRPr="002D40B3">
        <w:rPr>
          <w:rFonts w:ascii="宋体" w:hAnsi="宋体" w:hint="eastAsia"/>
          <w:bCs/>
          <w:sz w:val="24"/>
        </w:rPr>
        <w:t>收益率；</w:t>
      </w:r>
    </w:p>
    <w:p w14:paraId="165EAC1B"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bCs/>
          <w:sz w:val="24"/>
        </w:rPr>
        <w:t>A为该笔份额</w:t>
      </w:r>
      <w:r w:rsidRPr="002D40B3">
        <w:rPr>
          <w:rFonts w:ascii="宋体" w:hAnsi="宋体" w:hint="eastAsia"/>
          <w:bCs/>
          <w:sz w:val="24"/>
        </w:rPr>
        <w:t>赎回日、转出日或基金合同终止情形发生日</w:t>
      </w:r>
      <w:r w:rsidRPr="002D40B3">
        <w:rPr>
          <w:rFonts w:ascii="宋体" w:hAnsi="宋体"/>
          <w:bCs/>
          <w:sz w:val="24"/>
        </w:rPr>
        <w:t>的基金份额累计净值；</w:t>
      </w:r>
    </w:p>
    <w:p w14:paraId="48FD52BD"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bCs/>
          <w:sz w:val="24"/>
        </w:rPr>
        <w:t>B为该笔份额</w:t>
      </w:r>
      <w:r w:rsidRPr="002D40B3">
        <w:rPr>
          <w:rFonts w:ascii="宋体" w:hAnsi="宋体" w:hint="eastAsia"/>
          <w:bCs/>
          <w:sz w:val="24"/>
        </w:rPr>
        <w:t>认购/申购/转入日</w:t>
      </w:r>
      <w:r w:rsidRPr="002D40B3">
        <w:rPr>
          <w:rFonts w:ascii="宋体" w:hAnsi="宋体"/>
          <w:bCs/>
          <w:sz w:val="24"/>
        </w:rPr>
        <w:t>的基金份额累计净值</w:t>
      </w:r>
      <w:r w:rsidRPr="002D40B3">
        <w:rPr>
          <w:rFonts w:ascii="宋体" w:hAnsi="宋体" w:hint="eastAsia"/>
          <w:bCs/>
          <w:sz w:val="24"/>
        </w:rPr>
        <w:t>，其中</w:t>
      </w:r>
      <w:r w:rsidRPr="002D40B3">
        <w:rPr>
          <w:rFonts w:ascii="宋体" w:hAnsi="宋体"/>
          <w:bCs/>
          <w:sz w:val="24"/>
        </w:rPr>
        <w:t>份额认购日的基金份额</w:t>
      </w:r>
      <w:r w:rsidRPr="002D40B3">
        <w:rPr>
          <w:rFonts w:ascii="宋体" w:hAnsi="宋体" w:hint="eastAsia"/>
          <w:bCs/>
          <w:sz w:val="24"/>
        </w:rPr>
        <w:t>（</w:t>
      </w:r>
      <w:r w:rsidRPr="002D40B3">
        <w:rPr>
          <w:rFonts w:ascii="宋体" w:hAnsi="宋体"/>
          <w:bCs/>
          <w:sz w:val="24"/>
        </w:rPr>
        <w:t>累计</w:t>
      </w:r>
      <w:r w:rsidRPr="002D40B3">
        <w:rPr>
          <w:rFonts w:ascii="宋体" w:hAnsi="宋体" w:hint="eastAsia"/>
          <w:bCs/>
          <w:sz w:val="24"/>
        </w:rPr>
        <w:t>）</w:t>
      </w:r>
      <w:r w:rsidRPr="002D40B3">
        <w:rPr>
          <w:rFonts w:ascii="宋体" w:hAnsi="宋体"/>
          <w:bCs/>
          <w:sz w:val="24"/>
        </w:rPr>
        <w:t>净值为</w:t>
      </w:r>
      <w:r w:rsidRPr="002D40B3">
        <w:rPr>
          <w:rFonts w:ascii="宋体" w:hAnsi="宋体" w:hint="eastAsia"/>
          <w:bCs/>
          <w:sz w:val="24"/>
        </w:rPr>
        <w:t>1</w:t>
      </w:r>
      <w:r w:rsidRPr="002D40B3">
        <w:rPr>
          <w:rFonts w:ascii="宋体" w:hAnsi="宋体"/>
          <w:bCs/>
          <w:sz w:val="24"/>
        </w:rPr>
        <w:t>.00元；</w:t>
      </w:r>
    </w:p>
    <w:p w14:paraId="395BE8B7"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C为该笔份额认购/申购/转入日的基金份额净值，其中</w:t>
      </w:r>
      <w:r w:rsidRPr="002D40B3">
        <w:rPr>
          <w:rFonts w:ascii="宋体" w:hAnsi="宋体"/>
          <w:bCs/>
          <w:sz w:val="24"/>
        </w:rPr>
        <w:t>份额认购日的基金份额净值为</w:t>
      </w:r>
      <w:r w:rsidRPr="002D40B3">
        <w:rPr>
          <w:rFonts w:ascii="宋体" w:hAnsi="宋体" w:hint="eastAsia"/>
          <w:bCs/>
          <w:sz w:val="24"/>
        </w:rPr>
        <w:t>1</w:t>
      </w:r>
      <w:r w:rsidRPr="002D40B3">
        <w:rPr>
          <w:rFonts w:ascii="宋体" w:hAnsi="宋体"/>
          <w:bCs/>
          <w:sz w:val="24"/>
        </w:rPr>
        <w:t>.00元</w:t>
      </w:r>
      <w:r w:rsidRPr="002D40B3">
        <w:rPr>
          <w:rFonts w:ascii="宋体" w:hAnsi="宋体" w:hint="eastAsia"/>
          <w:bCs/>
          <w:sz w:val="24"/>
        </w:rPr>
        <w:t>；</w:t>
      </w:r>
    </w:p>
    <w:p w14:paraId="15FB75F8"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bCs/>
          <w:sz w:val="24"/>
        </w:rPr>
        <w:t>D为</w:t>
      </w:r>
      <w:r w:rsidRPr="002D40B3">
        <w:rPr>
          <w:rFonts w:ascii="宋体" w:hAnsi="宋体" w:hint="eastAsia"/>
          <w:bCs/>
          <w:sz w:val="24"/>
        </w:rPr>
        <w:t>基金合同生效日（针对募集期内认购的基金份额）或</w:t>
      </w:r>
      <w:r w:rsidRPr="002D40B3">
        <w:rPr>
          <w:rFonts w:ascii="宋体" w:hAnsi="宋体"/>
          <w:bCs/>
          <w:sz w:val="24"/>
        </w:rPr>
        <w:t>该笔份额</w:t>
      </w:r>
      <w:r w:rsidRPr="002D40B3">
        <w:rPr>
          <w:rFonts w:ascii="宋体" w:hAnsi="宋体" w:hint="eastAsia"/>
          <w:bCs/>
          <w:sz w:val="24"/>
        </w:rPr>
        <w:t>申购、转入确认日</w:t>
      </w:r>
      <w:r w:rsidRPr="002D40B3">
        <w:rPr>
          <w:rFonts w:ascii="宋体" w:hAnsi="宋体"/>
          <w:bCs/>
          <w:sz w:val="24"/>
        </w:rPr>
        <w:t>与</w:t>
      </w:r>
      <w:r w:rsidRPr="002D40B3">
        <w:rPr>
          <w:rFonts w:ascii="宋体" w:hAnsi="宋体" w:hint="eastAsia"/>
          <w:bCs/>
          <w:sz w:val="24"/>
        </w:rPr>
        <w:t>赎回、转出确认日或基金合同终止情形发生日下</w:t>
      </w:r>
      <w:proofErr w:type="gramStart"/>
      <w:r w:rsidRPr="002D40B3">
        <w:rPr>
          <w:rFonts w:ascii="宋体" w:hAnsi="宋体" w:hint="eastAsia"/>
          <w:bCs/>
          <w:sz w:val="24"/>
        </w:rPr>
        <w:t>一</w:t>
      </w:r>
      <w:proofErr w:type="gramEnd"/>
      <w:r w:rsidRPr="002D40B3">
        <w:rPr>
          <w:rFonts w:ascii="宋体" w:hAnsi="宋体" w:hint="eastAsia"/>
          <w:bCs/>
          <w:sz w:val="24"/>
        </w:rPr>
        <w:t>工作日</w:t>
      </w:r>
      <w:r w:rsidRPr="002D40B3">
        <w:rPr>
          <w:rFonts w:ascii="宋体" w:hAnsi="宋体"/>
          <w:bCs/>
          <w:sz w:val="24"/>
        </w:rPr>
        <w:t>的间隔天数</w:t>
      </w:r>
      <w:r w:rsidRPr="002D40B3">
        <w:rPr>
          <w:rFonts w:ascii="宋体" w:hAnsi="宋体" w:hint="eastAsia"/>
          <w:bCs/>
          <w:sz w:val="24"/>
        </w:rPr>
        <w:t>；</w:t>
      </w:r>
    </w:p>
    <w:p w14:paraId="6AE97B7D"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F为该笔基金份额的份额数；</w:t>
      </w:r>
    </w:p>
    <w:p w14:paraId="1A3366CB" w14:textId="77777777" w:rsidR="002D40B3" w:rsidRPr="002D40B3" w:rsidRDefault="002D40B3" w:rsidP="002D40B3">
      <w:pPr>
        <w:spacing w:line="360" w:lineRule="auto"/>
        <w:ind w:firstLineChars="200" w:firstLine="480"/>
        <w:rPr>
          <w:rFonts w:ascii="宋体" w:hAnsi="宋体"/>
          <w:bCs/>
          <w:sz w:val="24"/>
        </w:rPr>
      </w:pPr>
      <w:r w:rsidRPr="002D40B3">
        <w:rPr>
          <w:rFonts w:ascii="Cambria Math" w:hAnsi="Cambria Math" w:cs="Cambria Math"/>
          <w:bCs/>
          <w:sz w:val="24"/>
        </w:rPr>
        <w:t>𝑀𝑐</w:t>
      </w:r>
      <w:r w:rsidRPr="002D40B3">
        <w:rPr>
          <w:rFonts w:ascii="宋体" w:hAnsi="宋体" w:hint="eastAsia"/>
          <w:bCs/>
          <w:sz w:val="24"/>
        </w:rPr>
        <w:t>为该笔基金份额持有期内累计计算的超额管理费。</w:t>
      </w:r>
    </w:p>
    <w:p w14:paraId="40FB414E" w14:textId="77777777" w:rsidR="002D40B3" w:rsidRPr="002D40B3" w:rsidRDefault="002D40B3" w:rsidP="002D40B3">
      <w:pPr>
        <w:spacing w:line="360" w:lineRule="auto"/>
        <w:ind w:firstLineChars="200" w:firstLine="480"/>
        <w:rPr>
          <w:rFonts w:ascii="宋体" w:hAnsi="宋体"/>
          <w:bCs/>
          <w:sz w:val="24"/>
        </w:rPr>
      </w:pPr>
      <w:r w:rsidRPr="002D40B3">
        <w:rPr>
          <w:rFonts w:ascii="宋体" w:hAnsi="宋体" w:hint="eastAsia"/>
          <w:bCs/>
          <w:sz w:val="24"/>
        </w:rPr>
        <w:t>对于已经确认为管理人收入的或有管理费和超额管理费，由基金托管人根据与基金管理人核对一致的财务数据，自动在次月初五</w:t>
      </w:r>
      <w:proofErr w:type="gramStart"/>
      <w:r w:rsidRPr="002D40B3">
        <w:rPr>
          <w:rFonts w:ascii="宋体" w:hAnsi="宋体" w:hint="eastAsia"/>
          <w:bCs/>
          <w:sz w:val="24"/>
        </w:rPr>
        <w:t>个</w:t>
      </w:r>
      <w:proofErr w:type="gramEnd"/>
      <w:r w:rsidRPr="002D40B3">
        <w:rPr>
          <w:rFonts w:ascii="宋体" w:hAnsi="宋体" w:hint="eastAsia"/>
          <w:bCs/>
          <w:sz w:val="24"/>
        </w:rPr>
        <w:t>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p>
    <w:p w14:paraId="020512B9" w14:textId="77777777" w:rsidR="005B24EC" w:rsidRPr="00746423" w:rsidRDefault="002D40B3" w:rsidP="005B24EC">
      <w:pPr>
        <w:spacing w:line="360" w:lineRule="auto"/>
        <w:ind w:firstLineChars="200" w:firstLine="480"/>
        <w:rPr>
          <w:bCs/>
          <w:sz w:val="24"/>
        </w:rPr>
      </w:pPr>
      <w:r w:rsidRPr="00454F8B">
        <w:rPr>
          <w:rFonts w:ascii="宋体" w:hAnsi="宋体" w:hint="eastAsia"/>
          <w:bCs/>
          <w:sz w:val="24"/>
        </w:rPr>
        <w:t>在不违反法律法规、基金合同的约定的情况下，基金管理人可根据基金实际运作情况和市场环境变化，经履行适当程序后，对本基金的管理费（</w:t>
      </w:r>
      <w:proofErr w:type="gramStart"/>
      <w:r w:rsidRPr="00454F8B">
        <w:rPr>
          <w:rFonts w:ascii="宋体" w:hAnsi="宋体" w:hint="eastAsia"/>
          <w:bCs/>
          <w:sz w:val="24"/>
        </w:rPr>
        <w:t>含固定</w:t>
      </w:r>
      <w:proofErr w:type="gramEnd"/>
      <w:r w:rsidRPr="00454F8B">
        <w:rPr>
          <w:rFonts w:ascii="宋体" w:hAnsi="宋体" w:hint="eastAsia"/>
          <w:bCs/>
          <w:sz w:val="24"/>
        </w:rPr>
        <w:t>管理</w:t>
      </w:r>
      <w:r w:rsidRPr="00454F8B">
        <w:rPr>
          <w:rFonts w:ascii="宋体" w:hAnsi="宋体" w:hint="eastAsia"/>
          <w:bCs/>
          <w:sz w:val="24"/>
        </w:rPr>
        <w:lastRenderedPageBreak/>
        <w:t>费、或有管理费和超额管理费）计提标准或收取方式进行调整。</w:t>
      </w:r>
    </w:p>
    <w:p w14:paraId="17ABFE5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（二）基金托管费的计提比例和计提方法</w:t>
      </w:r>
    </w:p>
    <w:p w14:paraId="3C489C0F"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基金托管费按前一日基金资产净值的</w:t>
      </w:r>
      <w:r w:rsidR="00BC3093">
        <w:rPr>
          <w:rFonts w:ascii="宋体" w:hAnsi="宋体" w:cs="Arial" w:hint="eastAsia"/>
          <w:sz w:val="24"/>
        </w:rPr>
        <w:t>0</w:t>
      </w:r>
      <w:r w:rsidR="00BC3093">
        <w:rPr>
          <w:rFonts w:ascii="宋体" w:hAnsi="宋体" w:cs="Arial"/>
          <w:sz w:val="24"/>
        </w:rPr>
        <w:t>.20</w:t>
      </w:r>
      <w:r>
        <w:rPr>
          <w:rFonts w:ascii="宋体" w:hAnsi="宋体" w:cs="Arial" w:hint="eastAsia"/>
          <w:sz w:val="24"/>
        </w:rPr>
        <w:t>%年费率计提。计算方法如下：</w:t>
      </w:r>
    </w:p>
    <w:p w14:paraId="4897B720" w14:textId="77777777" w:rsidR="00BC3093" w:rsidRPr="003C756C" w:rsidRDefault="00BC3093" w:rsidP="00BC3093">
      <w:pPr>
        <w:spacing w:line="360" w:lineRule="auto"/>
        <w:ind w:firstLineChars="200" w:firstLine="480"/>
        <w:rPr>
          <w:bCs/>
          <w:sz w:val="24"/>
        </w:rPr>
      </w:pPr>
      <w:r w:rsidRPr="003C756C">
        <w:rPr>
          <w:bCs/>
          <w:sz w:val="24"/>
        </w:rPr>
        <w:t>H</w:t>
      </w:r>
      <w:r w:rsidRPr="003C756C">
        <w:rPr>
          <w:rFonts w:hint="eastAsia"/>
          <w:bCs/>
          <w:sz w:val="24"/>
        </w:rPr>
        <w:t>＝</w:t>
      </w:r>
      <w:r w:rsidRPr="003C756C">
        <w:rPr>
          <w:bCs/>
          <w:sz w:val="24"/>
        </w:rPr>
        <w:t>E×0.20%÷</w:t>
      </w:r>
      <w:r w:rsidRPr="003C756C">
        <w:rPr>
          <w:rFonts w:hint="eastAsia"/>
          <w:bCs/>
          <w:sz w:val="24"/>
        </w:rPr>
        <w:t>当年天数</w:t>
      </w:r>
    </w:p>
    <w:p w14:paraId="7F5931FE" w14:textId="77777777" w:rsidR="00BC3093" w:rsidRPr="003C756C" w:rsidRDefault="00BC3093" w:rsidP="00BC3093">
      <w:pPr>
        <w:spacing w:line="360" w:lineRule="auto"/>
        <w:ind w:firstLineChars="200" w:firstLine="480"/>
        <w:rPr>
          <w:bCs/>
          <w:sz w:val="24"/>
        </w:rPr>
      </w:pPr>
      <w:r w:rsidRPr="003C756C">
        <w:rPr>
          <w:bCs/>
          <w:sz w:val="24"/>
        </w:rPr>
        <w:t>H</w:t>
      </w:r>
      <w:r w:rsidRPr="003C756C">
        <w:rPr>
          <w:rFonts w:hint="eastAsia"/>
          <w:bCs/>
          <w:sz w:val="24"/>
        </w:rPr>
        <w:t>为每日应计提的基金托管费</w:t>
      </w:r>
    </w:p>
    <w:p w14:paraId="1BDFE8A5" w14:textId="77777777" w:rsidR="00BC3093" w:rsidRPr="003C756C" w:rsidRDefault="00BC3093" w:rsidP="00BC3093">
      <w:pPr>
        <w:spacing w:line="360" w:lineRule="auto"/>
        <w:ind w:firstLineChars="200" w:firstLine="480"/>
        <w:rPr>
          <w:bCs/>
          <w:sz w:val="24"/>
        </w:rPr>
      </w:pPr>
      <w:r w:rsidRPr="003C756C">
        <w:rPr>
          <w:bCs/>
          <w:sz w:val="24"/>
        </w:rPr>
        <w:t>E</w:t>
      </w:r>
      <w:r w:rsidRPr="003C756C">
        <w:rPr>
          <w:rFonts w:hint="eastAsia"/>
          <w:bCs/>
          <w:sz w:val="24"/>
        </w:rPr>
        <w:t>为前一日的基金资产净值</w:t>
      </w:r>
    </w:p>
    <w:p w14:paraId="77ECAFB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w:t>
      </w:r>
      <w:r>
        <w:rPr>
          <w:rFonts w:hint="eastAsia"/>
          <w:bCs/>
          <w:sz w:val="24"/>
        </w:rPr>
        <w:t>基金的销售服务费</w:t>
      </w:r>
      <w:r>
        <w:rPr>
          <w:rFonts w:ascii="宋体" w:hAnsi="宋体" w:cs="Arial" w:hint="eastAsia"/>
          <w:sz w:val="24"/>
        </w:rPr>
        <w:t>的计提比例和计提方法</w:t>
      </w:r>
    </w:p>
    <w:p w14:paraId="4E1E255F"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sz w:val="24"/>
        </w:rPr>
        <w:t>本基金份额分为不同的类别，适用不同的销售服务费率。其中，A类</w:t>
      </w:r>
      <w:r>
        <w:rPr>
          <w:rFonts w:ascii="宋体" w:hAnsi="宋体" w:hint="eastAsia"/>
          <w:sz w:val="24"/>
        </w:rPr>
        <w:t>基金份额</w:t>
      </w:r>
      <w:r>
        <w:rPr>
          <w:rFonts w:ascii="宋体" w:hAnsi="宋体"/>
          <w:sz w:val="24"/>
        </w:rPr>
        <w:t>不收取销售服务费。</w:t>
      </w:r>
      <w:r>
        <w:rPr>
          <w:rFonts w:ascii="宋体" w:hAnsi="宋体" w:cs="Arial" w:hint="eastAsia"/>
          <w:sz w:val="24"/>
        </w:rPr>
        <w:t>本基金</w:t>
      </w:r>
      <w:r>
        <w:rPr>
          <w:rFonts w:ascii="宋体" w:hAnsi="宋体"/>
          <w:sz w:val="24"/>
        </w:rPr>
        <w:t>C类</w:t>
      </w:r>
      <w:r>
        <w:rPr>
          <w:rFonts w:ascii="宋体" w:hAnsi="宋体" w:hint="eastAsia"/>
          <w:sz w:val="24"/>
        </w:rPr>
        <w:t>基金份额</w:t>
      </w:r>
      <w:r>
        <w:rPr>
          <w:rFonts w:ascii="宋体" w:hAnsi="宋体"/>
          <w:sz w:val="24"/>
        </w:rPr>
        <w:t>销售服务费</w:t>
      </w:r>
      <w:r>
        <w:rPr>
          <w:rFonts w:ascii="宋体" w:hAnsi="宋体" w:cs="Arial" w:hint="eastAsia"/>
          <w:sz w:val="24"/>
        </w:rPr>
        <w:t>按前一日</w:t>
      </w:r>
      <w:r>
        <w:rPr>
          <w:rFonts w:ascii="宋体" w:hAnsi="宋体"/>
          <w:sz w:val="24"/>
        </w:rPr>
        <w:t>C类</w:t>
      </w:r>
      <w:r>
        <w:rPr>
          <w:rFonts w:ascii="宋体" w:hAnsi="宋体" w:hint="eastAsia"/>
          <w:sz w:val="24"/>
        </w:rPr>
        <w:t>基金份额的</w:t>
      </w:r>
      <w:r>
        <w:rPr>
          <w:rFonts w:ascii="宋体" w:hAnsi="宋体" w:cs="Arial" w:hint="eastAsia"/>
          <w:sz w:val="24"/>
        </w:rPr>
        <w:t>基金资产净值的</w:t>
      </w:r>
      <w:r w:rsidR="00BC3093">
        <w:rPr>
          <w:rFonts w:ascii="宋体" w:hAnsi="宋体" w:cs="Arial" w:hint="eastAsia"/>
          <w:sz w:val="24"/>
        </w:rPr>
        <w:t>0</w:t>
      </w:r>
      <w:r w:rsidR="00BC3093">
        <w:rPr>
          <w:rFonts w:ascii="宋体" w:hAnsi="宋体" w:cs="Arial"/>
          <w:sz w:val="24"/>
        </w:rPr>
        <w:t>.</w:t>
      </w:r>
      <w:r w:rsidR="002D40B3">
        <w:rPr>
          <w:rFonts w:ascii="宋体" w:hAnsi="宋体" w:cs="Arial"/>
          <w:sz w:val="24"/>
        </w:rPr>
        <w:t>40</w:t>
      </w:r>
      <w:r>
        <w:rPr>
          <w:rFonts w:ascii="宋体" w:hAnsi="宋体" w:cs="Arial" w:hint="eastAsia"/>
          <w:sz w:val="24"/>
        </w:rPr>
        <w:t>%年费率计提。计算方法如下：</w:t>
      </w:r>
    </w:p>
    <w:p w14:paraId="758C8D5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H＝E×</w:t>
      </w:r>
      <w:r w:rsidR="00BC3093">
        <w:rPr>
          <w:rFonts w:ascii="宋体" w:hAnsi="宋体" w:cs="Arial" w:hint="eastAsia"/>
          <w:sz w:val="24"/>
        </w:rPr>
        <w:t>0</w:t>
      </w:r>
      <w:r w:rsidR="00BC3093">
        <w:rPr>
          <w:rFonts w:ascii="宋体" w:hAnsi="宋体" w:cs="Arial"/>
          <w:sz w:val="24"/>
        </w:rPr>
        <w:t>.</w:t>
      </w:r>
      <w:r w:rsidR="002D40B3">
        <w:rPr>
          <w:rFonts w:ascii="宋体" w:hAnsi="宋体" w:cs="Arial"/>
          <w:sz w:val="24"/>
        </w:rPr>
        <w:t>4</w:t>
      </w:r>
      <w:r w:rsidR="00BC3093">
        <w:rPr>
          <w:rFonts w:ascii="宋体" w:hAnsi="宋体" w:cs="Arial"/>
          <w:sz w:val="24"/>
        </w:rPr>
        <w:t>0</w:t>
      </w:r>
      <w:r>
        <w:rPr>
          <w:rFonts w:ascii="宋体" w:hAnsi="宋体" w:cs="Arial" w:hint="eastAsia"/>
          <w:sz w:val="24"/>
        </w:rPr>
        <w:t>%÷当年天数</w:t>
      </w:r>
    </w:p>
    <w:p w14:paraId="2C174F0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H为</w:t>
      </w:r>
      <w:r>
        <w:rPr>
          <w:rFonts w:ascii="宋体" w:hAnsi="宋体"/>
          <w:sz w:val="24"/>
        </w:rPr>
        <w:t>C类</w:t>
      </w:r>
      <w:r>
        <w:rPr>
          <w:rFonts w:ascii="宋体" w:hAnsi="宋体" w:hint="eastAsia"/>
          <w:sz w:val="24"/>
        </w:rPr>
        <w:t>基金份额</w:t>
      </w:r>
      <w:r>
        <w:rPr>
          <w:rFonts w:ascii="宋体" w:hAnsi="宋体"/>
          <w:sz w:val="24"/>
        </w:rPr>
        <w:t>每日应计提的销售服务费</w:t>
      </w:r>
    </w:p>
    <w:p w14:paraId="153F5BF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E为</w:t>
      </w:r>
      <w:r>
        <w:rPr>
          <w:rFonts w:ascii="宋体" w:hAnsi="宋体"/>
          <w:sz w:val="24"/>
        </w:rPr>
        <w:t>C类</w:t>
      </w:r>
      <w:r>
        <w:rPr>
          <w:rFonts w:ascii="宋体" w:hAnsi="宋体" w:hint="eastAsia"/>
          <w:sz w:val="24"/>
        </w:rPr>
        <w:t>基金份额</w:t>
      </w:r>
      <w:r>
        <w:rPr>
          <w:rFonts w:ascii="宋体" w:hAnsi="宋体"/>
          <w:sz w:val="24"/>
        </w:rPr>
        <w:t>前一日的基金资产净值</w:t>
      </w:r>
    </w:p>
    <w:p w14:paraId="3AB70052" w14:textId="77777777" w:rsidR="000A7F8D" w:rsidRDefault="000A7F8D">
      <w:pPr>
        <w:numPr>
          <w:ilvl w:val="0"/>
          <w:numId w:val="23"/>
        </w:numPr>
        <w:adjustRightInd w:val="0"/>
        <w:snapToGrid w:val="0"/>
        <w:spacing w:line="360" w:lineRule="auto"/>
        <w:ind w:firstLineChars="200" w:firstLine="480"/>
        <w:rPr>
          <w:rFonts w:ascii="宋体" w:hAnsi="宋体" w:cs="Arial"/>
          <w:sz w:val="24"/>
        </w:rPr>
      </w:pPr>
      <w:r>
        <w:rPr>
          <w:rFonts w:ascii="宋体" w:hAnsi="宋体" w:cs="Arial" w:hint="eastAsia"/>
          <w:sz w:val="24"/>
        </w:rPr>
        <w:t>账户开户费用、证券、期货交易</w:t>
      </w:r>
      <w:r w:rsidR="0038725E">
        <w:rPr>
          <w:rFonts w:ascii="宋体" w:hAnsi="宋体" w:cs="Arial" w:hint="eastAsia"/>
          <w:sz w:val="24"/>
        </w:rPr>
        <w:t>或结算</w:t>
      </w:r>
      <w:r>
        <w:rPr>
          <w:rFonts w:ascii="宋体" w:hAnsi="宋体" w:cs="Arial" w:hint="eastAsia"/>
          <w:sz w:val="24"/>
        </w:rPr>
        <w:t>费用、基金财产划拨支付的银行费用、账户维护费、基金合同生效后的信息披露费用、基金份额持有人大会费用、基金合同生效后与基金有关的会计师费、律师费</w:t>
      </w:r>
      <w:r w:rsidR="00643F79">
        <w:rPr>
          <w:rFonts w:ascii="宋体" w:hAnsi="宋体" w:cs="Arial" w:hint="eastAsia"/>
          <w:sz w:val="24"/>
        </w:rPr>
        <w:t>、公证费、仲裁费</w:t>
      </w:r>
      <w:r>
        <w:rPr>
          <w:rFonts w:ascii="宋体" w:hAnsi="宋体" w:cs="Arial" w:hint="eastAsia"/>
          <w:sz w:val="24"/>
        </w:rPr>
        <w:t>和诉讼费</w:t>
      </w:r>
      <w:r w:rsidR="00196746">
        <w:rPr>
          <w:rFonts w:ascii="宋体" w:hAnsi="宋体" w:cs="Arial" w:hint="eastAsia"/>
          <w:sz w:val="24"/>
        </w:rPr>
        <w:t>、</w:t>
      </w:r>
      <w:r w:rsidR="00196746" w:rsidRPr="00196746">
        <w:rPr>
          <w:rFonts w:ascii="宋体" w:hAnsi="宋体" w:cs="Arial" w:hint="eastAsia"/>
          <w:sz w:val="24"/>
        </w:rPr>
        <w:t>因投资港股通标的股票而产生的各项合理费用</w:t>
      </w:r>
      <w:r>
        <w:rPr>
          <w:rFonts w:ascii="宋体" w:hAnsi="宋体" w:cs="Arial" w:hint="eastAsia"/>
          <w:sz w:val="24"/>
        </w:rPr>
        <w:t>等根据有关法律法规、基金合同及相应协议的规定，列入当期基金费用。</w:t>
      </w:r>
    </w:p>
    <w:p w14:paraId="1994267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基金管理人作为纳税主体有义务与所在地方税务机关保持联系和沟通，确认相关纳税品种和相关计算方式。产品成立后基金管理人须及时向基金托管人提供增值税相关税率方案和参数方案。</w:t>
      </w:r>
    </w:p>
    <w:p w14:paraId="6394E43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（五）不列入基金费用的项目</w:t>
      </w:r>
    </w:p>
    <w:p w14:paraId="62051B21" w14:textId="77777777" w:rsidR="000A7F8D" w:rsidRDefault="000A7F8D">
      <w:pPr>
        <w:numPr>
          <w:ilvl w:val="0"/>
          <w:numId w:val="24"/>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基金管理人和基金托管人因未履行或未完全履行义务导致的费用支出或基金财产的损失；</w:t>
      </w:r>
    </w:p>
    <w:p w14:paraId="78EE9D72" w14:textId="77777777" w:rsidR="000A7F8D" w:rsidRDefault="000A7F8D">
      <w:pPr>
        <w:numPr>
          <w:ilvl w:val="0"/>
          <w:numId w:val="24"/>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基金管理人和基金托管人处理与基金运作无关的事项发生的费用；</w:t>
      </w:r>
    </w:p>
    <w:p w14:paraId="751B2428" w14:textId="77777777" w:rsidR="000A7F8D" w:rsidRDefault="000A7F8D">
      <w:pPr>
        <w:numPr>
          <w:ilvl w:val="0"/>
          <w:numId w:val="24"/>
        </w:numPr>
        <w:adjustRightInd w:val="0"/>
        <w:snapToGrid w:val="0"/>
        <w:spacing w:line="360" w:lineRule="auto"/>
        <w:ind w:left="0" w:firstLine="426"/>
        <w:rPr>
          <w:rStyle w:val="read"/>
          <w:rFonts w:ascii="宋体" w:hAnsi="宋体"/>
          <w:sz w:val="24"/>
        </w:rPr>
      </w:pPr>
      <w:r>
        <w:rPr>
          <w:rStyle w:val="read"/>
          <w:rFonts w:ascii="宋体" w:hAnsi="宋体" w:hint="eastAsia"/>
          <w:sz w:val="24"/>
        </w:rPr>
        <w:t>基金合同生效前的相关费用；</w:t>
      </w:r>
    </w:p>
    <w:p w14:paraId="2D471B94" w14:textId="77777777" w:rsidR="000A7F8D" w:rsidRDefault="000A7F8D">
      <w:pPr>
        <w:numPr>
          <w:ilvl w:val="0"/>
          <w:numId w:val="24"/>
        </w:numPr>
        <w:adjustRightInd w:val="0"/>
        <w:snapToGrid w:val="0"/>
        <w:spacing w:line="360" w:lineRule="auto"/>
        <w:ind w:left="0" w:firstLine="426"/>
        <w:rPr>
          <w:rStyle w:val="read"/>
          <w:rFonts w:ascii="宋体" w:hAnsi="宋体"/>
          <w:sz w:val="24"/>
        </w:rPr>
      </w:pPr>
      <w:r>
        <w:rPr>
          <w:rStyle w:val="read"/>
          <w:rFonts w:ascii="宋体" w:hAnsi="宋体" w:hint="eastAsia"/>
          <w:sz w:val="24"/>
        </w:rPr>
        <w:t>其他根据相关法律法规及中国证监会的有关规</w:t>
      </w:r>
      <w:bookmarkStart w:id="211" w:name="_Hlt88827255"/>
      <w:bookmarkEnd w:id="211"/>
      <w:r>
        <w:rPr>
          <w:rStyle w:val="read"/>
          <w:rFonts w:ascii="宋体" w:hAnsi="宋体" w:hint="eastAsia"/>
          <w:sz w:val="24"/>
        </w:rPr>
        <w:t>定不得列入基金费用的项目。</w:t>
      </w:r>
    </w:p>
    <w:p w14:paraId="1BF9B8C9"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（六）基金费用的调整</w:t>
      </w:r>
    </w:p>
    <w:p w14:paraId="5632BD73" w14:textId="77777777" w:rsidR="000A7F8D" w:rsidRDefault="000A7F8D">
      <w:pPr>
        <w:spacing w:line="360" w:lineRule="auto"/>
        <w:ind w:firstLineChars="200" w:firstLine="480"/>
        <w:rPr>
          <w:rFonts w:ascii="宋体" w:hAnsi="宋体"/>
          <w:sz w:val="24"/>
        </w:rPr>
      </w:pPr>
      <w:r>
        <w:rPr>
          <w:rFonts w:hint="eastAsia"/>
          <w:bCs/>
          <w:sz w:val="24"/>
        </w:rPr>
        <w:t>在遵守相关的法律法规并履行了必要的程序的前提下，基金管理人和基金托</w:t>
      </w:r>
      <w:r>
        <w:rPr>
          <w:rFonts w:hint="eastAsia"/>
          <w:bCs/>
          <w:sz w:val="24"/>
        </w:rPr>
        <w:lastRenderedPageBreak/>
        <w:t>管人协商一致后可酌情降低基金管理费、基金托管费、销售服务费。基金管理人必须于新的费率实施日前按照《信息披露办法》的规定在</w:t>
      </w:r>
      <w:r w:rsidR="00175FD9">
        <w:rPr>
          <w:rFonts w:hint="eastAsia"/>
          <w:bCs/>
          <w:sz w:val="24"/>
        </w:rPr>
        <w:t>规定媒介</w:t>
      </w:r>
      <w:r>
        <w:rPr>
          <w:rFonts w:hint="eastAsia"/>
          <w:bCs/>
          <w:sz w:val="24"/>
        </w:rPr>
        <w:t>上刊登公告。</w:t>
      </w:r>
    </w:p>
    <w:p w14:paraId="739ADB1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七）本基金运作前产生的可以从基金财产中列支的相关费用由基金管理人垫付，运作后由基金管理人于次日起三个工作日内向基金托管人发送划付指令，经基金托管人复核后于三个工作日内从基金资产中一次性支付给基金管理人。</w:t>
      </w:r>
    </w:p>
    <w:p w14:paraId="16D3D3E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（八）基金管理费、基金托管费、销售服务费的复核程序、支付方式和时间</w:t>
      </w:r>
    </w:p>
    <w:p w14:paraId="57760B87" w14:textId="77777777" w:rsidR="000A7F8D" w:rsidRDefault="000A7F8D">
      <w:pPr>
        <w:numPr>
          <w:ilvl w:val="0"/>
          <w:numId w:val="25"/>
        </w:numPr>
        <w:adjustRightInd w:val="0"/>
        <w:snapToGrid w:val="0"/>
        <w:spacing w:line="360" w:lineRule="auto"/>
        <w:ind w:left="0" w:firstLine="480"/>
        <w:rPr>
          <w:rStyle w:val="read"/>
          <w:rFonts w:ascii="宋体" w:hAnsi="宋体"/>
          <w:sz w:val="24"/>
        </w:rPr>
      </w:pPr>
      <w:r>
        <w:rPr>
          <w:rStyle w:val="read"/>
          <w:rFonts w:ascii="宋体" w:hAnsi="宋体" w:hint="eastAsia"/>
          <w:sz w:val="24"/>
        </w:rPr>
        <w:t>复核程序</w:t>
      </w:r>
    </w:p>
    <w:p w14:paraId="66A5317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基金托管人对基金管理人计提的基金管理费、基金托管费、销售服务费等，根据本托管协议和基金合同的有关规定进行复核。</w:t>
      </w:r>
    </w:p>
    <w:p w14:paraId="6A6803B0" w14:textId="77777777" w:rsidR="000A7F8D" w:rsidRDefault="000A7F8D">
      <w:pPr>
        <w:numPr>
          <w:ilvl w:val="0"/>
          <w:numId w:val="25"/>
        </w:numPr>
        <w:adjustRightInd w:val="0"/>
        <w:snapToGrid w:val="0"/>
        <w:spacing w:line="360" w:lineRule="auto"/>
        <w:ind w:left="0" w:firstLine="480"/>
        <w:rPr>
          <w:rStyle w:val="read"/>
          <w:rFonts w:ascii="宋体" w:hAnsi="宋体"/>
          <w:sz w:val="24"/>
        </w:rPr>
      </w:pPr>
      <w:r>
        <w:rPr>
          <w:rStyle w:val="read"/>
          <w:rFonts w:ascii="宋体" w:hAnsi="宋体" w:hint="eastAsia"/>
          <w:sz w:val="24"/>
        </w:rPr>
        <w:t>支付方式和时间</w:t>
      </w:r>
    </w:p>
    <w:p w14:paraId="60F4EF1B" w14:textId="2579C9E8" w:rsidR="000A7F8D" w:rsidRDefault="00DE0463" w:rsidP="00DE0463">
      <w:pPr>
        <w:adjustRightInd w:val="0"/>
        <w:snapToGrid w:val="0"/>
        <w:spacing w:line="360" w:lineRule="auto"/>
        <w:ind w:firstLineChars="200" w:firstLine="480"/>
        <w:rPr>
          <w:rFonts w:ascii="宋体" w:hAnsi="宋体" w:cs="Arial"/>
          <w:sz w:val="24"/>
        </w:rPr>
      </w:pPr>
      <w:r>
        <w:rPr>
          <w:rFonts w:ascii="宋体" w:hAnsi="宋体" w:cs="Arial" w:hint="eastAsia"/>
          <w:sz w:val="24"/>
        </w:rPr>
        <w:t>固定</w:t>
      </w:r>
      <w:r w:rsidR="000A7F8D">
        <w:rPr>
          <w:rFonts w:ascii="宋体" w:hAnsi="宋体" w:cs="Arial" w:hint="eastAsia"/>
          <w:sz w:val="24"/>
        </w:rPr>
        <w:t>管理费、基金托管费、销售服务费每日计提，</w:t>
      </w:r>
      <w:r w:rsidRPr="00DE0463">
        <w:rPr>
          <w:rFonts w:ascii="宋体" w:hAnsi="宋体" w:cs="Arial" w:hint="eastAsia"/>
          <w:sz w:val="24"/>
        </w:rPr>
        <w:t>逐日累计至每月月末，</w:t>
      </w:r>
      <w:r w:rsidR="000A7F8D">
        <w:rPr>
          <w:rFonts w:ascii="宋体" w:hAnsi="宋体" w:cs="Arial" w:hint="eastAsia"/>
          <w:sz w:val="24"/>
        </w:rPr>
        <w:t>按月支付</w:t>
      </w:r>
      <w:r>
        <w:rPr>
          <w:rFonts w:ascii="宋体" w:hAnsi="宋体" w:cs="Arial" w:hint="eastAsia"/>
          <w:sz w:val="24"/>
        </w:rPr>
        <w:t>，</w:t>
      </w:r>
      <w:r w:rsidRPr="00DE0463">
        <w:rPr>
          <w:rFonts w:ascii="宋体" w:hAnsi="宋体" w:cs="Arial" w:hint="eastAsia"/>
          <w:sz w:val="24"/>
        </w:rPr>
        <w:t>由基金托管人根据与基金管理人核对一致的财务数据，自动在次月初5</w:t>
      </w:r>
      <w:proofErr w:type="gramStart"/>
      <w:r w:rsidRPr="00DE0463">
        <w:rPr>
          <w:rFonts w:ascii="宋体" w:hAnsi="宋体" w:cs="Arial" w:hint="eastAsia"/>
          <w:sz w:val="24"/>
        </w:rPr>
        <w:t>个</w:t>
      </w:r>
      <w:proofErr w:type="gramEnd"/>
      <w:r w:rsidRPr="00DE0463">
        <w:rPr>
          <w:rFonts w:ascii="宋体" w:hAnsi="宋体" w:cs="Arial" w:hint="eastAsia"/>
          <w:sz w:val="24"/>
        </w:rPr>
        <w:t>工作日内按照指定的账户路径进行支付，基金管理人无需再出具资金划拨指令。若遇法定节假日、休息日或不可抗力致使无法按时支付的，支付日期顺延。费用自动扣划后，基金管理人应进行核对，如发现数据不符，及时联系基金托管人协商解决。</w:t>
      </w:r>
    </w:p>
    <w:p w14:paraId="2F85C6F6" w14:textId="77777777" w:rsidR="00DE0463" w:rsidRDefault="00DE0463" w:rsidP="00DE0463">
      <w:pPr>
        <w:adjustRightInd w:val="0"/>
        <w:snapToGrid w:val="0"/>
        <w:spacing w:line="360" w:lineRule="auto"/>
        <w:ind w:firstLineChars="200" w:firstLine="480"/>
        <w:rPr>
          <w:rFonts w:ascii="宋体" w:hAnsi="宋体" w:cs="Arial"/>
          <w:sz w:val="24"/>
        </w:rPr>
      </w:pPr>
      <w:r w:rsidRPr="00DE0463">
        <w:rPr>
          <w:rFonts w:ascii="宋体" w:hAnsi="宋体" w:cs="Arial" w:hint="eastAsia"/>
          <w:sz w:val="24"/>
        </w:rPr>
        <w:t>对于已经确认为管理人收入的或有管理费和超额管理费，由基金托管人根据与基金管理人核对一致的财务数据，自动在次月初五</w:t>
      </w:r>
      <w:proofErr w:type="gramStart"/>
      <w:r w:rsidRPr="00DE0463">
        <w:rPr>
          <w:rFonts w:ascii="宋体" w:hAnsi="宋体" w:cs="Arial" w:hint="eastAsia"/>
          <w:sz w:val="24"/>
        </w:rPr>
        <w:t>个</w:t>
      </w:r>
      <w:proofErr w:type="gramEnd"/>
      <w:r w:rsidRPr="00DE0463">
        <w:rPr>
          <w:rFonts w:ascii="宋体" w:hAnsi="宋体" w:cs="Arial" w:hint="eastAsia"/>
          <w:sz w:val="24"/>
        </w:rPr>
        <w:t>工作日内、按照指定的账户路径进行资金支付，基金管理人无需再出具资金划拨指令。若遇法定节假日、休息日或不可抗力致使无法按时支付的，支付日期顺延。费用自动扣划后，基金管理人应进行核对，如发现数据不符，及时联系基金托管人协商解决。</w:t>
      </w:r>
    </w:p>
    <w:p w14:paraId="3A2E914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（九）违规处理方式</w:t>
      </w:r>
    </w:p>
    <w:p w14:paraId="2788165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2ACD5D9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（十）实施</w:t>
      </w:r>
      <w:proofErr w:type="gramStart"/>
      <w:r>
        <w:rPr>
          <w:rFonts w:ascii="宋体" w:hAnsi="宋体" w:cs="Arial" w:hint="eastAsia"/>
          <w:sz w:val="24"/>
        </w:rPr>
        <w:t>侧袋机制</w:t>
      </w:r>
      <w:proofErr w:type="gramEnd"/>
      <w:r>
        <w:rPr>
          <w:rFonts w:ascii="宋体" w:hAnsi="宋体" w:cs="Arial" w:hint="eastAsia"/>
          <w:sz w:val="24"/>
        </w:rPr>
        <w:t>期间的基金费用</w:t>
      </w:r>
    </w:p>
    <w:p w14:paraId="238B87B4" w14:textId="4C438F44"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本基金实施</w:t>
      </w:r>
      <w:proofErr w:type="gramStart"/>
      <w:r>
        <w:rPr>
          <w:rFonts w:ascii="宋体" w:hAnsi="宋体" w:cs="Arial" w:hint="eastAsia"/>
          <w:sz w:val="24"/>
        </w:rPr>
        <w:t>侧袋机制</w:t>
      </w:r>
      <w:proofErr w:type="gramEnd"/>
      <w:r>
        <w:rPr>
          <w:rFonts w:ascii="宋体" w:hAnsi="宋体" w:cs="Arial" w:hint="eastAsia"/>
          <w:sz w:val="24"/>
        </w:rPr>
        <w:t>的，</w:t>
      </w:r>
      <w:proofErr w:type="gramStart"/>
      <w:r>
        <w:rPr>
          <w:rFonts w:ascii="宋体" w:hAnsi="宋体" w:cs="Arial" w:hint="eastAsia"/>
          <w:sz w:val="24"/>
        </w:rPr>
        <w:t>与侧袋账户</w:t>
      </w:r>
      <w:proofErr w:type="gramEnd"/>
      <w:r>
        <w:rPr>
          <w:rFonts w:ascii="宋体" w:hAnsi="宋体" w:cs="Arial" w:hint="eastAsia"/>
          <w:sz w:val="24"/>
        </w:rPr>
        <w:t>有关的费用可以</w:t>
      </w:r>
      <w:proofErr w:type="gramStart"/>
      <w:r>
        <w:rPr>
          <w:rFonts w:ascii="宋体" w:hAnsi="宋体" w:cs="Arial" w:hint="eastAsia"/>
          <w:sz w:val="24"/>
        </w:rPr>
        <w:t>从侧袋账户</w:t>
      </w:r>
      <w:proofErr w:type="gramEnd"/>
      <w:r>
        <w:rPr>
          <w:rFonts w:ascii="宋体" w:hAnsi="宋体" w:cs="Arial" w:hint="eastAsia"/>
          <w:sz w:val="24"/>
        </w:rPr>
        <w:t>中列支，但应</w:t>
      </w:r>
      <w:proofErr w:type="gramStart"/>
      <w:r>
        <w:rPr>
          <w:rFonts w:ascii="宋体" w:hAnsi="宋体" w:cs="Arial" w:hint="eastAsia"/>
          <w:sz w:val="24"/>
        </w:rPr>
        <w:t>待侧袋</w:t>
      </w:r>
      <w:proofErr w:type="gramEnd"/>
      <w:r>
        <w:rPr>
          <w:rFonts w:ascii="宋体" w:hAnsi="宋体" w:cs="Arial" w:hint="eastAsia"/>
          <w:sz w:val="24"/>
        </w:rPr>
        <w:t>账户资产变现后方可列支，有关费用可酌情收取或减免，但不得收取管理费</w:t>
      </w:r>
      <w:r w:rsidR="002F3AE0" w:rsidRPr="002F3AE0">
        <w:rPr>
          <w:rFonts w:ascii="宋体" w:hAnsi="宋体" w:cs="Arial" w:hint="eastAsia"/>
          <w:sz w:val="24"/>
        </w:rPr>
        <w:t>（包括固定管理费、或有管理费和超额管理费）</w:t>
      </w:r>
      <w:r>
        <w:rPr>
          <w:rFonts w:ascii="宋体" w:hAnsi="宋体" w:cs="Arial" w:hint="eastAsia"/>
          <w:sz w:val="24"/>
        </w:rPr>
        <w:t>，详见招募说明书的规定。</w:t>
      </w:r>
    </w:p>
    <w:p w14:paraId="3AE1B9D1" w14:textId="77777777" w:rsidR="000A7F8D" w:rsidRDefault="000A7F8D">
      <w:pPr>
        <w:pStyle w:val="1"/>
        <w:numPr>
          <w:ilvl w:val="0"/>
          <w:numId w:val="1"/>
        </w:numPr>
        <w:spacing w:line="360" w:lineRule="auto"/>
        <w:jc w:val="center"/>
        <w:rPr>
          <w:rFonts w:ascii="宋体" w:hAnsi="宋体"/>
          <w:sz w:val="28"/>
          <w:szCs w:val="28"/>
        </w:rPr>
      </w:pPr>
      <w:bookmarkStart w:id="212" w:name="_Toc295833693"/>
      <w:bookmarkStart w:id="213" w:name="_Toc295833694"/>
      <w:bookmarkStart w:id="214" w:name="_Toc295832963"/>
      <w:bookmarkStart w:id="215" w:name="_Toc295833023"/>
      <w:bookmarkStart w:id="216" w:name="_Toc295833692"/>
      <w:bookmarkStart w:id="217" w:name="_Toc295832962"/>
      <w:bookmarkStart w:id="218" w:name="_Toc295833022"/>
      <w:bookmarkStart w:id="219" w:name="_Toc295833021"/>
      <w:bookmarkStart w:id="220" w:name="_Toc295832961"/>
      <w:bookmarkEnd w:id="212"/>
      <w:bookmarkEnd w:id="213"/>
      <w:bookmarkEnd w:id="214"/>
      <w:bookmarkEnd w:id="215"/>
      <w:bookmarkEnd w:id="216"/>
      <w:bookmarkEnd w:id="217"/>
      <w:bookmarkEnd w:id="218"/>
      <w:bookmarkEnd w:id="219"/>
      <w:bookmarkEnd w:id="220"/>
      <w:r>
        <w:rPr>
          <w:rFonts w:ascii="宋体" w:hAnsi="宋体" w:cs="Arial"/>
          <w:sz w:val="24"/>
        </w:rPr>
        <w:br w:type="page"/>
      </w:r>
      <w:bookmarkStart w:id="221" w:name="_Toc450839478"/>
      <w:bookmarkStart w:id="222" w:name="_Toc270669863"/>
      <w:bookmarkStart w:id="223" w:name="_Toc124325896"/>
      <w:r>
        <w:rPr>
          <w:rFonts w:ascii="宋体" w:hAnsi="宋体" w:hint="eastAsia"/>
          <w:sz w:val="28"/>
          <w:szCs w:val="28"/>
        </w:rPr>
        <w:lastRenderedPageBreak/>
        <w:t>基金份额持有人名册的保管</w:t>
      </w:r>
      <w:bookmarkEnd w:id="221"/>
      <w:bookmarkEnd w:id="222"/>
      <w:bookmarkEnd w:id="223"/>
    </w:p>
    <w:p w14:paraId="00A24DF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基金份额持有人名册至少应包括基金份额持有人的名称和持有的基金份额。基金份额持有人名册由基金登记机构根据基金管理人的指令编制和保管，保存期</w:t>
      </w:r>
      <w:r>
        <w:rPr>
          <w:rFonts w:ascii="宋体" w:hAnsi="宋体" w:hint="eastAsia"/>
          <w:bCs/>
          <w:sz w:val="24"/>
        </w:rPr>
        <w:t>自基金账户销户之日起</w:t>
      </w:r>
      <w:r>
        <w:rPr>
          <w:rFonts w:ascii="宋体" w:hAnsi="宋体" w:cs="Arial" w:hint="eastAsia"/>
          <w:sz w:val="24"/>
        </w:rPr>
        <w:t>不少于20年，基金管理人和基金托管人应分别保管基金份额持有人名册，保存期不少于20年，</w:t>
      </w:r>
      <w:r>
        <w:rPr>
          <w:sz w:val="24"/>
        </w:rPr>
        <w:t>法律法规另有规定或有权机关另有要求的除外</w:t>
      </w:r>
      <w:r>
        <w:rPr>
          <w:rFonts w:ascii="宋体" w:hAnsi="宋体" w:cs="Arial" w:hint="eastAsia"/>
          <w:sz w:val="24"/>
        </w:rPr>
        <w:t>。如不能妥善保管，则按相关法规承担责任。</w:t>
      </w:r>
    </w:p>
    <w:p w14:paraId="6D95915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及时以双方认可的方式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1DF56836" w14:textId="77777777" w:rsidR="000A7F8D" w:rsidRDefault="000A7F8D">
      <w:pPr>
        <w:adjustRightInd w:val="0"/>
        <w:snapToGrid w:val="0"/>
        <w:spacing w:line="360" w:lineRule="auto"/>
        <w:ind w:firstLineChars="200" w:firstLine="480"/>
        <w:rPr>
          <w:rFonts w:ascii="宋体" w:hAnsi="宋体"/>
          <w:kern w:val="0"/>
          <w:sz w:val="24"/>
        </w:rPr>
      </w:pPr>
      <w:r>
        <w:rPr>
          <w:rFonts w:ascii="宋体" w:hAnsi="宋体" w:cs="Arial" w:hint="eastAsia"/>
          <w:sz w:val="24"/>
        </w:rPr>
        <w:t>在基金托管人要求或编制中期报告和年报前，基金管理人应将有关资料送交基金托管人，不得无故拒绝或延误提供，并保证其的真实性、准确性和完整性。</w:t>
      </w:r>
      <w:r>
        <w:rPr>
          <w:rFonts w:ascii="宋体" w:hAnsi="宋体" w:hint="eastAsia"/>
          <w:kern w:val="0"/>
          <w:sz w:val="24"/>
        </w:rPr>
        <w:t>基金托管人不得将所保管的基金份额持有人名册用于基金托管业务以外的其他用途，并应遵守保密义务。因基金管理人未能及时提供或提供信息有误的，托管人不承担相关责任。</w:t>
      </w:r>
    </w:p>
    <w:p w14:paraId="6AABA812" w14:textId="77777777" w:rsidR="000A7F8D" w:rsidRDefault="000A7F8D">
      <w:pPr>
        <w:pStyle w:val="1"/>
        <w:numPr>
          <w:ilvl w:val="0"/>
          <w:numId w:val="1"/>
        </w:numPr>
        <w:spacing w:line="360" w:lineRule="auto"/>
        <w:jc w:val="center"/>
        <w:rPr>
          <w:rFonts w:ascii="宋体" w:hAnsi="宋体"/>
          <w:sz w:val="28"/>
          <w:szCs w:val="28"/>
        </w:rPr>
      </w:pPr>
      <w:bookmarkStart w:id="224" w:name="_Toc295832966"/>
      <w:bookmarkStart w:id="225" w:name="_Toc295833025"/>
      <w:bookmarkStart w:id="226" w:name="_Toc295833696"/>
      <w:bookmarkStart w:id="227" w:name="_Toc295832965"/>
      <w:bookmarkStart w:id="228" w:name="_Toc295833026"/>
      <w:bookmarkStart w:id="229" w:name="_Toc295833697"/>
      <w:bookmarkEnd w:id="224"/>
      <w:bookmarkEnd w:id="225"/>
      <w:bookmarkEnd w:id="226"/>
      <w:bookmarkEnd w:id="227"/>
      <w:bookmarkEnd w:id="228"/>
      <w:bookmarkEnd w:id="229"/>
      <w:r>
        <w:rPr>
          <w:rFonts w:ascii="宋体" w:hAnsi="宋体" w:cs="Arial"/>
          <w:sz w:val="24"/>
          <w:szCs w:val="24"/>
        </w:rPr>
        <w:br w:type="page"/>
      </w:r>
      <w:bookmarkStart w:id="230" w:name="_Toc295832967"/>
      <w:bookmarkStart w:id="231" w:name="_Toc295833698"/>
      <w:bookmarkStart w:id="232" w:name="_Toc295833027"/>
      <w:bookmarkStart w:id="233" w:name="_Toc270669864"/>
      <w:bookmarkStart w:id="234" w:name="_Toc124325897"/>
      <w:bookmarkStart w:id="235" w:name="_Toc450839479"/>
      <w:bookmarkEnd w:id="230"/>
      <w:bookmarkEnd w:id="231"/>
      <w:bookmarkEnd w:id="232"/>
      <w:r>
        <w:rPr>
          <w:rFonts w:ascii="宋体" w:hAnsi="宋体" w:hint="eastAsia"/>
          <w:sz w:val="28"/>
          <w:szCs w:val="28"/>
        </w:rPr>
        <w:lastRenderedPageBreak/>
        <w:t>基金有关文件档案的保存</w:t>
      </w:r>
      <w:bookmarkEnd w:id="233"/>
      <w:bookmarkEnd w:id="234"/>
      <w:bookmarkEnd w:id="235"/>
    </w:p>
    <w:p w14:paraId="565BAD2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（一）档案保存</w:t>
      </w:r>
    </w:p>
    <w:p w14:paraId="160F941B"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20 年</w:t>
      </w:r>
      <w:r>
        <w:rPr>
          <w:sz w:val="24"/>
        </w:rPr>
        <w:t>，法律法规另有规定或有权机关另有要求的除外</w:t>
      </w:r>
      <w:r>
        <w:rPr>
          <w:rFonts w:ascii="宋体" w:hAnsi="宋体" w:cs="Arial" w:hint="eastAsia"/>
          <w:sz w:val="24"/>
        </w:rPr>
        <w:t>。</w:t>
      </w:r>
    </w:p>
    <w:p w14:paraId="6EB193D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（二）合同档案的建立</w:t>
      </w:r>
    </w:p>
    <w:p w14:paraId="2D819C9D" w14:textId="77777777" w:rsidR="000A7F8D" w:rsidRDefault="000A7F8D">
      <w:pPr>
        <w:numPr>
          <w:ilvl w:val="0"/>
          <w:numId w:val="26"/>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基金管理人签署重大合同文本后，应及时将合同文本正本送达基金托管人处，</w:t>
      </w:r>
      <w:r>
        <w:rPr>
          <w:rFonts w:ascii="宋体" w:hAnsi="宋体" w:cs="Arial" w:hint="eastAsia"/>
          <w:sz w:val="24"/>
        </w:rPr>
        <w:t>基金管理人应保证基金管理人和基金托管人至少各持有一份正本的原件</w:t>
      </w:r>
      <w:r>
        <w:rPr>
          <w:rStyle w:val="read"/>
          <w:rFonts w:ascii="宋体" w:hAnsi="宋体" w:hint="eastAsia"/>
          <w:sz w:val="24"/>
        </w:rPr>
        <w:t>。</w:t>
      </w:r>
    </w:p>
    <w:p w14:paraId="6061F01A" w14:textId="77777777" w:rsidR="000A7F8D" w:rsidRDefault="000A7F8D">
      <w:pPr>
        <w:numPr>
          <w:ilvl w:val="0"/>
          <w:numId w:val="26"/>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基金管理人应及时将与本基金账务处理、资金划拨等有关的合同、协议发送至基金托管人。</w:t>
      </w:r>
    </w:p>
    <w:p w14:paraId="2844F0B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（三）变更与协助</w:t>
      </w:r>
    </w:p>
    <w:p w14:paraId="77D332BB" w14:textId="77777777" w:rsidR="000A7F8D" w:rsidRDefault="000A7F8D">
      <w:pPr>
        <w:adjustRightInd w:val="0"/>
        <w:snapToGrid w:val="0"/>
        <w:spacing w:line="360" w:lineRule="auto"/>
        <w:ind w:firstLineChars="200" w:firstLine="480"/>
        <w:rPr>
          <w:rFonts w:ascii="宋体" w:hAnsi="宋体"/>
          <w:b/>
          <w:bCs/>
          <w:sz w:val="24"/>
        </w:rPr>
      </w:pPr>
      <w:proofErr w:type="gramStart"/>
      <w:r>
        <w:rPr>
          <w:rFonts w:ascii="宋体" w:hAnsi="宋体" w:cs="Arial" w:hint="eastAsia"/>
          <w:sz w:val="24"/>
        </w:rPr>
        <w:t>若基金</w:t>
      </w:r>
      <w:proofErr w:type="gramEnd"/>
      <w:r>
        <w:rPr>
          <w:rFonts w:ascii="宋体" w:hAnsi="宋体" w:cs="Arial" w:hint="eastAsia"/>
          <w:sz w:val="24"/>
        </w:rPr>
        <w:t>管理人/基金托管人发生变更，未变更的一方有义务协助变更后的接任人接收相应文件。</w:t>
      </w:r>
    </w:p>
    <w:p w14:paraId="7C4E2E1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（四）基金管理人和基金托管人应按各自职责完整保存原始凭证、记账凭证、基金账册、交易记录和重要合同等，承担保密义务并保存至少二十年以上，</w:t>
      </w:r>
      <w:r>
        <w:rPr>
          <w:sz w:val="24"/>
        </w:rPr>
        <w:t>法律法规另有规定或有权机关另有要求的除外</w:t>
      </w:r>
      <w:r>
        <w:rPr>
          <w:rFonts w:ascii="宋体" w:hAnsi="宋体" w:cs="Arial" w:hint="eastAsia"/>
          <w:sz w:val="24"/>
        </w:rPr>
        <w:t>。</w:t>
      </w:r>
    </w:p>
    <w:p w14:paraId="5E4BE3E1" w14:textId="77777777" w:rsidR="000A7F8D" w:rsidRDefault="000A7F8D">
      <w:pPr>
        <w:pStyle w:val="1"/>
        <w:numPr>
          <w:ilvl w:val="0"/>
          <w:numId w:val="1"/>
        </w:numPr>
        <w:spacing w:line="360" w:lineRule="auto"/>
        <w:jc w:val="center"/>
        <w:rPr>
          <w:szCs w:val="24"/>
        </w:rPr>
      </w:pPr>
      <w:r>
        <w:rPr>
          <w:rFonts w:ascii="宋体" w:hAnsi="宋体"/>
          <w:sz w:val="24"/>
          <w:szCs w:val="24"/>
        </w:rPr>
        <w:br w:type="page"/>
      </w:r>
      <w:r>
        <w:rPr>
          <w:rFonts w:ascii="宋体" w:hAnsi="宋体" w:hint="eastAsia"/>
          <w:sz w:val="28"/>
          <w:szCs w:val="28"/>
        </w:rPr>
        <w:lastRenderedPageBreak/>
        <w:t xml:space="preserve"> </w:t>
      </w:r>
      <w:bookmarkStart w:id="236" w:name="_Toc295832969"/>
      <w:bookmarkStart w:id="237" w:name="_Toc295833700"/>
      <w:bookmarkStart w:id="238" w:name="_Toc295833029"/>
      <w:bookmarkStart w:id="239" w:name="_Toc295833701"/>
      <w:bookmarkStart w:id="240" w:name="_Toc124325898"/>
      <w:bookmarkStart w:id="241" w:name="_Toc450839480"/>
      <w:bookmarkStart w:id="242" w:name="_Toc270669865"/>
      <w:bookmarkEnd w:id="236"/>
      <w:bookmarkEnd w:id="237"/>
      <w:bookmarkEnd w:id="238"/>
      <w:r>
        <w:rPr>
          <w:rFonts w:ascii="宋体" w:hAnsi="宋体" w:hint="eastAsia"/>
          <w:sz w:val="28"/>
          <w:szCs w:val="28"/>
        </w:rPr>
        <w:t>基金管理人和基金托管人的更换</w:t>
      </w:r>
      <w:bookmarkEnd w:id="239"/>
      <w:bookmarkEnd w:id="240"/>
      <w:bookmarkEnd w:id="241"/>
      <w:bookmarkEnd w:id="242"/>
    </w:p>
    <w:p w14:paraId="2072046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（一）基金管理人的更换</w:t>
      </w:r>
    </w:p>
    <w:p w14:paraId="511EEEAE" w14:textId="77777777" w:rsidR="000A7F8D" w:rsidRDefault="000A7F8D">
      <w:pPr>
        <w:numPr>
          <w:ilvl w:val="0"/>
          <w:numId w:val="27"/>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基金管理人的更换条件</w:t>
      </w:r>
    </w:p>
    <w:p w14:paraId="2AB7633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有下列情形之一的，基金管理人职责终止：</w:t>
      </w:r>
    </w:p>
    <w:p w14:paraId="58657B22" w14:textId="77777777" w:rsidR="000A7F8D" w:rsidRDefault="000A7F8D">
      <w:pPr>
        <w:numPr>
          <w:ilvl w:val="0"/>
          <w:numId w:val="28"/>
        </w:numPr>
        <w:adjustRightInd w:val="0"/>
        <w:snapToGrid w:val="0"/>
        <w:spacing w:line="360" w:lineRule="auto"/>
        <w:rPr>
          <w:rFonts w:ascii="宋体" w:hAnsi="宋体" w:cs="Arial"/>
          <w:sz w:val="24"/>
        </w:rPr>
      </w:pPr>
      <w:r>
        <w:rPr>
          <w:rFonts w:ascii="宋体" w:hAnsi="宋体" w:cs="Arial"/>
          <w:sz w:val="24"/>
        </w:rPr>
        <w:t>基金管理人被依法取消基金管理资格</w:t>
      </w:r>
      <w:r>
        <w:rPr>
          <w:rFonts w:ascii="宋体" w:hAnsi="宋体" w:cs="Arial" w:hint="eastAsia"/>
          <w:sz w:val="24"/>
        </w:rPr>
        <w:t>；</w:t>
      </w:r>
    </w:p>
    <w:p w14:paraId="4831BEDD" w14:textId="77777777" w:rsidR="000A7F8D" w:rsidRDefault="000A7F8D">
      <w:pPr>
        <w:numPr>
          <w:ilvl w:val="0"/>
          <w:numId w:val="28"/>
        </w:numPr>
        <w:adjustRightInd w:val="0"/>
        <w:snapToGrid w:val="0"/>
        <w:spacing w:line="360" w:lineRule="auto"/>
        <w:rPr>
          <w:rFonts w:ascii="宋体" w:hAnsi="宋体" w:cs="Arial"/>
          <w:sz w:val="24"/>
        </w:rPr>
      </w:pPr>
      <w:r>
        <w:rPr>
          <w:rFonts w:ascii="宋体" w:hAnsi="宋体" w:cs="Arial" w:hint="eastAsia"/>
          <w:sz w:val="24"/>
        </w:rPr>
        <w:t>基金管理人被基金份额持有人大会解任；</w:t>
      </w:r>
    </w:p>
    <w:p w14:paraId="3773F343" w14:textId="77777777" w:rsidR="000A7F8D" w:rsidRDefault="000A7F8D">
      <w:pPr>
        <w:numPr>
          <w:ilvl w:val="0"/>
          <w:numId w:val="28"/>
        </w:numPr>
        <w:adjustRightInd w:val="0"/>
        <w:snapToGrid w:val="0"/>
        <w:spacing w:line="360" w:lineRule="auto"/>
        <w:ind w:left="0" w:firstLine="480"/>
        <w:rPr>
          <w:rFonts w:ascii="宋体" w:hAnsi="宋体" w:cs="Arial"/>
          <w:sz w:val="24"/>
        </w:rPr>
      </w:pPr>
      <w:r>
        <w:rPr>
          <w:rFonts w:ascii="宋体" w:hAnsi="宋体" w:cs="Arial" w:hint="eastAsia"/>
          <w:sz w:val="24"/>
        </w:rPr>
        <w:t xml:space="preserve">基金管理人依法解散、被依法撤销或者被依法宣告破产； </w:t>
      </w:r>
    </w:p>
    <w:p w14:paraId="7648160C" w14:textId="77777777" w:rsidR="000A7F8D" w:rsidRDefault="000A7F8D">
      <w:pPr>
        <w:numPr>
          <w:ilvl w:val="0"/>
          <w:numId w:val="28"/>
        </w:numPr>
        <w:adjustRightInd w:val="0"/>
        <w:snapToGrid w:val="0"/>
        <w:spacing w:line="360" w:lineRule="auto"/>
        <w:ind w:left="0" w:firstLine="480"/>
        <w:rPr>
          <w:rFonts w:ascii="宋体" w:hAnsi="宋体" w:cs="Arial"/>
          <w:sz w:val="24"/>
        </w:rPr>
      </w:pPr>
      <w:r>
        <w:rPr>
          <w:rFonts w:ascii="宋体" w:hAnsi="宋体" w:cs="Arial"/>
          <w:sz w:val="24"/>
        </w:rPr>
        <w:t>法律法规</w:t>
      </w:r>
      <w:r>
        <w:rPr>
          <w:rFonts w:ascii="宋体" w:hAnsi="宋体" w:cs="Arial" w:hint="eastAsia"/>
          <w:sz w:val="24"/>
        </w:rPr>
        <w:t>及中国证监会规定的</w:t>
      </w:r>
      <w:r>
        <w:rPr>
          <w:rFonts w:ascii="宋体" w:hAnsi="宋体" w:cs="Arial"/>
          <w:sz w:val="24"/>
        </w:rPr>
        <w:t>和基金合同规定的其他情形</w:t>
      </w:r>
      <w:r>
        <w:rPr>
          <w:rFonts w:ascii="宋体" w:hAnsi="宋体" w:cs="Arial" w:hint="eastAsia"/>
          <w:sz w:val="24"/>
        </w:rPr>
        <w:t>。</w:t>
      </w:r>
    </w:p>
    <w:p w14:paraId="4682B9DA" w14:textId="77777777" w:rsidR="000A7F8D" w:rsidRDefault="000A7F8D">
      <w:pPr>
        <w:numPr>
          <w:ilvl w:val="0"/>
          <w:numId w:val="27"/>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基金管理人的更换程序</w:t>
      </w:r>
    </w:p>
    <w:p w14:paraId="2020C4D4"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更换基金管理人必须依照如下程序进行：</w:t>
      </w:r>
    </w:p>
    <w:p w14:paraId="242BAA52"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提名：</w:t>
      </w:r>
      <w:proofErr w:type="gramStart"/>
      <w:r>
        <w:rPr>
          <w:rFonts w:ascii="宋体" w:hAnsi="宋体" w:cs="Arial" w:hint="eastAsia"/>
          <w:sz w:val="24"/>
        </w:rPr>
        <w:t>新任基金</w:t>
      </w:r>
      <w:proofErr w:type="gramEnd"/>
      <w:r>
        <w:rPr>
          <w:rFonts w:ascii="宋体" w:hAnsi="宋体" w:cs="Arial" w:hint="eastAsia"/>
          <w:sz w:val="24"/>
        </w:rPr>
        <w:t>管理人由基金托管人或由单独或合计持有10%以上(含10%)基金份额的基金份额持有人提名；</w:t>
      </w:r>
    </w:p>
    <w:p w14:paraId="3A31D332"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决议：基金份额持有人大会在基金管理人职责终止后6个月内对被提名的基金管理人形成决议，</w:t>
      </w:r>
      <w:r>
        <w:rPr>
          <w:rFonts w:ascii="宋体" w:hAnsi="宋体" w:cs="Arial"/>
          <w:bCs/>
          <w:sz w:val="24"/>
        </w:rPr>
        <w:t>该决议需经参加大会的基金份额持有人所持表决权的</w:t>
      </w:r>
      <w:r>
        <w:rPr>
          <w:rFonts w:ascii="宋体" w:hAnsi="宋体" w:cs="Arial" w:hint="eastAsia"/>
          <w:bCs/>
          <w:sz w:val="24"/>
        </w:rPr>
        <w:t>三分之二</w:t>
      </w:r>
      <w:r>
        <w:rPr>
          <w:rFonts w:ascii="宋体" w:hAnsi="宋体" w:cs="Arial"/>
          <w:bCs/>
          <w:sz w:val="24"/>
        </w:rPr>
        <w:t>以上（含</w:t>
      </w:r>
      <w:r>
        <w:rPr>
          <w:rFonts w:ascii="宋体" w:hAnsi="宋体" w:cs="Arial" w:hint="eastAsia"/>
          <w:bCs/>
          <w:sz w:val="24"/>
        </w:rPr>
        <w:t>三分之二</w:t>
      </w:r>
      <w:r>
        <w:rPr>
          <w:rFonts w:ascii="宋体" w:hAnsi="宋体" w:cs="Arial"/>
          <w:bCs/>
          <w:sz w:val="24"/>
        </w:rPr>
        <w:t>）表决通过</w:t>
      </w:r>
      <w:r>
        <w:rPr>
          <w:rFonts w:ascii="宋体" w:hAnsi="宋体" w:cs="Arial" w:hint="eastAsia"/>
          <w:bCs/>
          <w:sz w:val="24"/>
        </w:rPr>
        <w:t>，</w:t>
      </w:r>
      <w:r w:rsidR="00F86C43">
        <w:rPr>
          <w:rFonts w:ascii="宋体" w:hAnsi="宋体" w:cs="Arial" w:hint="eastAsia"/>
          <w:bCs/>
          <w:sz w:val="24"/>
        </w:rPr>
        <w:t>决议</w:t>
      </w:r>
      <w:r>
        <w:rPr>
          <w:rFonts w:ascii="宋体" w:hAnsi="宋体" w:cs="Arial" w:hint="eastAsia"/>
          <w:bCs/>
          <w:sz w:val="24"/>
        </w:rPr>
        <w:t>自表决通过之日起生效</w:t>
      </w:r>
      <w:r>
        <w:rPr>
          <w:rFonts w:ascii="宋体" w:hAnsi="宋体" w:cs="Arial" w:hint="eastAsia"/>
          <w:sz w:val="24"/>
        </w:rPr>
        <w:t>；</w:t>
      </w:r>
    </w:p>
    <w:p w14:paraId="248002FA" w14:textId="77777777" w:rsidR="000A7F8D" w:rsidRDefault="000A7F8D">
      <w:pPr>
        <w:numPr>
          <w:ilvl w:val="0"/>
          <w:numId w:val="29"/>
        </w:numPr>
        <w:adjustRightInd w:val="0"/>
        <w:snapToGrid w:val="0"/>
        <w:spacing w:line="360" w:lineRule="auto"/>
        <w:ind w:left="0" w:firstLine="426"/>
        <w:rPr>
          <w:rFonts w:ascii="宋体" w:hAnsi="宋体" w:cs="Arial"/>
          <w:sz w:val="24"/>
        </w:rPr>
      </w:pPr>
      <w:r>
        <w:rPr>
          <w:rFonts w:ascii="宋体" w:hAnsi="宋体" w:cs="Arial" w:hint="eastAsia"/>
          <w:sz w:val="24"/>
        </w:rPr>
        <w:t>临时基金管理人：</w:t>
      </w:r>
      <w:proofErr w:type="gramStart"/>
      <w:r>
        <w:rPr>
          <w:rFonts w:ascii="宋体" w:hAnsi="宋体" w:cs="Arial" w:hint="eastAsia"/>
          <w:sz w:val="24"/>
        </w:rPr>
        <w:t>新任基金</w:t>
      </w:r>
      <w:proofErr w:type="gramEnd"/>
      <w:r>
        <w:rPr>
          <w:rFonts w:ascii="宋体" w:hAnsi="宋体" w:cs="Arial" w:hint="eastAsia"/>
          <w:sz w:val="24"/>
        </w:rPr>
        <w:t>管理人产生之前，由中国证监会指定临时基金管理人；</w:t>
      </w:r>
    </w:p>
    <w:p w14:paraId="5DFEF42E"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备案：基金份额持有人大会更换基金管理人的决议须报中国证监会备案；</w:t>
      </w:r>
    </w:p>
    <w:p w14:paraId="18EA6DDE" w14:textId="77777777" w:rsidR="000A7F8D" w:rsidRDefault="000A7F8D">
      <w:pPr>
        <w:numPr>
          <w:ilvl w:val="0"/>
          <w:numId w:val="29"/>
        </w:numPr>
        <w:adjustRightInd w:val="0"/>
        <w:snapToGrid w:val="0"/>
        <w:spacing w:line="360" w:lineRule="auto"/>
        <w:ind w:left="0" w:firstLine="426"/>
        <w:rPr>
          <w:rFonts w:ascii="宋体" w:hAnsi="宋体" w:cs="Arial"/>
          <w:sz w:val="24"/>
        </w:rPr>
      </w:pPr>
      <w:r>
        <w:rPr>
          <w:rFonts w:ascii="宋体" w:hAnsi="宋体" w:cs="Arial" w:hint="eastAsia"/>
          <w:sz w:val="24"/>
        </w:rPr>
        <w:t>公告：基金管理人更换后，由基金托管人在</w:t>
      </w:r>
      <w:r>
        <w:rPr>
          <w:rFonts w:ascii="宋体" w:hAnsi="宋体" w:cs="Arial" w:hint="eastAsia"/>
          <w:bCs/>
          <w:sz w:val="24"/>
        </w:rPr>
        <w:t>更换基金管理人的基金份额持有人大会决议生效</w:t>
      </w:r>
      <w:r>
        <w:rPr>
          <w:rFonts w:ascii="宋体" w:hAnsi="宋体" w:cs="Arial" w:hint="eastAsia"/>
          <w:sz w:val="24"/>
        </w:rPr>
        <w:t>后</w:t>
      </w:r>
      <w:r w:rsidR="00FA6F77">
        <w:rPr>
          <w:rFonts w:ascii="宋体" w:hAnsi="宋体" w:cs="Arial" w:hint="eastAsia"/>
          <w:sz w:val="24"/>
        </w:rPr>
        <w:t>2日内</w:t>
      </w:r>
      <w:r>
        <w:rPr>
          <w:rFonts w:ascii="宋体" w:hAnsi="宋体" w:cs="Arial" w:hint="eastAsia"/>
          <w:sz w:val="24"/>
        </w:rPr>
        <w:t>在</w:t>
      </w:r>
      <w:r w:rsidR="00175FD9">
        <w:rPr>
          <w:rFonts w:ascii="宋体" w:hAnsi="宋体" w:cs="Arial" w:hint="eastAsia"/>
          <w:sz w:val="24"/>
        </w:rPr>
        <w:t>规定媒介</w:t>
      </w:r>
      <w:r>
        <w:rPr>
          <w:rFonts w:ascii="宋体" w:hAnsi="宋体" w:cs="Arial" w:hint="eastAsia"/>
          <w:sz w:val="24"/>
        </w:rPr>
        <w:t>公告；</w:t>
      </w:r>
    </w:p>
    <w:p w14:paraId="7485995D"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交接：基金管理人职责终止的，基金管理人应妥善保管基金管理业务资料，及时向临时基金管理人或</w:t>
      </w:r>
      <w:proofErr w:type="gramStart"/>
      <w:r>
        <w:rPr>
          <w:rFonts w:ascii="宋体" w:hAnsi="宋体" w:cs="Arial" w:hint="eastAsia"/>
          <w:sz w:val="24"/>
        </w:rPr>
        <w:t>新任基金</w:t>
      </w:r>
      <w:proofErr w:type="gramEnd"/>
      <w:r>
        <w:rPr>
          <w:rFonts w:ascii="宋体" w:hAnsi="宋体" w:cs="Arial" w:hint="eastAsia"/>
          <w:sz w:val="24"/>
        </w:rPr>
        <w:t>管理人办理基金管理业务的移交手续，临时基金管理人或</w:t>
      </w:r>
      <w:proofErr w:type="gramStart"/>
      <w:r>
        <w:rPr>
          <w:rFonts w:ascii="宋体" w:hAnsi="宋体" w:cs="Arial" w:hint="eastAsia"/>
          <w:sz w:val="24"/>
        </w:rPr>
        <w:t>新任基金</w:t>
      </w:r>
      <w:proofErr w:type="gramEnd"/>
      <w:r>
        <w:rPr>
          <w:rFonts w:ascii="宋体" w:hAnsi="宋体" w:cs="Arial" w:hint="eastAsia"/>
          <w:sz w:val="24"/>
        </w:rPr>
        <w:t>管理人应及时接收。临时基金管理人或</w:t>
      </w:r>
      <w:proofErr w:type="gramStart"/>
      <w:r>
        <w:rPr>
          <w:rFonts w:ascii="宋体" w:hAnsi="宋体" w:cs="Arial" w:hint="eastAsia"/>
          <w:sz w:val="24"/>
        </w:rPr>
        <w:t>新任基金</w:t>
      </w:r>
      <w:proofErr w:type="gramEnd"/>
      <w:r>
        <w:rPr>
          <w:rFonts w:ascii="宋体" w:hAnsi="宋体" w:cs="Arial" w:hint="eastAsia"/>
          <w:sz w:val="24"/>
        </w:rPr>
        <w:t>管理人应与基金托管人核对基金资产总值和基金资产净值；</w:t>
      </w:r>
    </w:p>
    <w:p w14:paraId="44597C12"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审计：基金管理人职责终止的，应当按照法律法规规定聘请</w:t>
      </w:r>
      <w:r w:rsidR="00DD7BC0" w:rsidRPr="00DD7BC0">
        <w:rPr>
          <w:rFonts w:ascii="宋体" w:hAnsi="宋体" w:cs="Arial" w:hint="eastAsia"/>
          <w:sz w:val="24"/>
        </w:rPr>
        <w:t>符合《中华人民共和国证券法》规定的</w:t>
      </w:r>
      <w:r>
        <w:rPr>
          <w:rFonts w:ascii="宋体" w:hAnsi="宋体" w:cs="Arial" w:hint="eastAsia"/>
          <w:sz w:val="24"/>
        </w:rPr>
        <w:t>会计师事务所对基金财产进行审计，并将审计结果予以公告，同时报中国证监会备案，审计费用从基金财产中列支；</w:t>
      </w:r>
    </w:p>
    <w:p w14:paraId="37F99EF9" w14:textId="77777777" w:rsidR="000A7F8D" w:rsidRDefault="000A7F8D">
      <w:pPr>
        <w:numPr>
          <w:ilvl w:val="0"/>
          <w:numId w:val="29"/>
        </w:numPr>
        <w:adjustRightInd w:val="0"/>
        <w:snapToGrid w:val="0"/>
        <w:spacing w:line="360" w:lineRule="auto"/>
        <w:ind w:left="0" w:firstLine="480"/>
        <w:rPr>
          <w:rFonts w:ascii="宋体" w:hAnsi="宋体" w:cs="Arial"/>
          <w:sz w:val="24"/>
        </w:rPr>
      </w:pPr>
      <w:r>
        <w:rPr>
          <w:rFonts w:ascii="宋体" w:hAnsi="宋体" w:cs="Arial" w:hint="eastAsia"/>
          <w:sz w:val="24"/>
        </w:rPr>
        <w:t xml:space="preserve"> 基金名称变更：基金管理人更换后，如果原任或</w:t>
      </w:r>
      <w:proofErr w:type="gramStart"/>
      <w:r>
        <w:rPr>
          <w:rFonts w:ascii="宋体" w:hAnsi="宋体" w:cs="Arial" w:hint="eastAsia"/>
          <w:sz w:val="24"/>
        </w:rPr>
        <w:t>新任基金</w:t>
      </w:r>
      <w:proofErr w:type="gramEnd"/>
      <w:r>
        <w:rPr>
          <w:rFonts w:ascii="宋体" w:hAnsi="宋体" w:cs="Arial" w:hint="eastAsia"/>
          <w:sz w:val="24"/>
        </w:rPr>
        <w:t>管理人要求，应按其要求替换或删除基金名称中与</w:t>
      </w:r>
      <w:proofErr w:type="gramStart"/>
      <w:r>
        <w:rPr>
          <w:rFonts w:ascii="宋体" w:hAnsi="宋体" w:cs="Arial" w:hint="eastAsia"/>
          <w:sz w:val="24"/>
        </w:rPr>
        <w:t>原基金</w:t>
      </w:r>
      <w:proofErr w:type="gramEnd"/>
      <w:r>
        <w:rPr>
          <w:rFonts w:ascii="宋体" w:hAnsi="宋体" w:cs="Arial" w:hint="eastAsia"/>
          <w:sz w:val="24"/>
        </w:rPr>
        <w:t>管理人有关的名称字样。</w:t>
      </w:r>
    </w:p>
    <w:p w14:paraId="7E54878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（二）基金托管人的更换</w:t>
      </w:r>
    </w:p>
    <w:p w14:paraId="0BE0346A" w14:textId="77777777" w:rsidR="000A7F8D" w:rsidRDefault="000A7F8D">
      <w:pPr>
        <w:numPr>
          <w:ilvl w:val="0"/>
          <w:numId w:val="30"/>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基金托管人的更换条件</w:t>
      </w:r>
    </w:p>
    <w:p w14:paraId="33478F6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有下列情形之一的，基金托管人职责终止：</w:t>
      </w:r>
    </w:p>
    <w:p w14:paraId="5B55A53B" w14:textId="77777777" w:rsidR="000A7F8D" w:rsidRDefault="000A7F8D">
      <w:pPr>
        <w:numPr>
          <w:ilvl w:val="0"/>
          <w:numId w:val="31"/>
        </w:numPr>
        <w:adjustRightInd w:val="0"/>
        <w:snapToGrid w:val="0"/>
        <w:spacing w:line="360" w:lineRule="auto"/>
        <w:ind w:left="0" w:firstLine="480"/>
        <w:rPr>
          <w:rFonts w:ascii="宋体" w:hAnsi="宋体" w:cs="Arial"/>
          <w:sz w:val="24"/>
        </w:rPr>
      </w:pPr>
      <w:r>
        <w:rPr>
          <w:rFonts w:ascii="宋体" w:hAnsi="宋体" w:cs="Arial"/>
          <w:sz w:val="24"/>
        </w:rPr>
        <w:t>基金托管人被依法取消基金托管资格</w:t>
      </w:r>
      <w:r>
        <w:rPr>
          <w:rFonts w:ascii="宋体" w:hAnsi="宋体" w:cs="Arial" w:hint="eastAsia"/>
          <w:sz w:val="24"/>
        </w:rPr>
        <w:t>；</w:t>
      </w:r>
    </w:p>
    <w:p w14:paraId="7FB0AC76" w14:textId="77777777" w:rsidR="000A7F8D" w:rsidRDefault="000A7F8D">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基金托管人被基金份额持有人大会解任；</w:t>
      </w:r>
    </w:p>
    <w:p w14:paraId="37D51784" w14:textId="77777777" w:rsidR="000A7F8D" w:rsidRDefault="000A7F8D">
      <w:pPr>
        <w:numPr>
          <w:ilvl w:val="0"/>
          <w:numId w:val="31"/>
        </w:numPr>
        <w:adjustRightInd w:val="0"/>
        <w:snapToGrid w:val="0"/>
        <w:spacing w:line="360" w:lineRule="auto"/>
        <w:ind w:left="0" w:firstLine="480"/>
        <w:rPr>
          <w:rFonts w:ascii="宋体" w:hAnsi="宋体" w:cs="Arial"/>
          <w:sz w:val="24"/>
        </w:rPr>
      </w:pPr>
      <w:r>
        <w:rPr>
          <w:rFonts w:ascii="宋体" w:hAnsi="宋体" w:cs="Arial" w:hint="eastAsia"/>
          <w:sz w:val="24"/>
        </w:rPr>
        <w:t xml:space="preserve">基金托管人依法解散、被依法撤销或者被依法宣布破产； </w:t>
      </w:r>
    </w:p>
    <w:p w14:paraId="04F3E51E" w14:textId="77777777" w:rsidR="000A7F8D" w:rsidRDefault="000A7F8D">
      <w:pPr>
        <w:numPr>
          <w:ilvl w:val="0"/>
          <w:numId w:val="31"/>
        </w:numPr>
        <w:adjustRightInd w:val="0"/>
        <w:snapToGrid w:val="0"/>
        <w:spacing w:line="360" w:lineRule="auto"/>
        <w:ind w:left="0" w:firstLine="480"/>
        <w:rPr>
          <w:rFonts w:ascii="宋体" w:hAnsi="宋体" w:cs="Arial"/>
          <w:sz w:val="24"/>
        </w:rPr>
      </w:pPr>
      <w:r>
        <w:rPr>
          <w:rFonts w:ascii="宋体" w:hAnsi="宋体" w:cs="Arial"/>
          <w:sz w:val="24"/>
        </w:rPr>
        <w:t>法律法规和基金合同规定的其他情形</w:t>
      </w:r>
      <w:r>
        <w:rPr>
          <w:rFonts w:ascii="宋体" w:hAnsi="宋体" w:cs="Arial" w:hint="eastAsia"/>
          <w:sz w:val="24"/>
        </w:rPr>
        <w:t>。</w:t>
      </w:r>
    </w:p>
    <w:p w14:paraId="1BA9724A" w14:textId="77777777" w:rsidR="000A7F8D" w:rsidRDefault="000A7F8D">
      <w:pPr>
        <w:numPr>
          <w:ilvl w:val="0"/>
          <w:numId w:val="30"/>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基金托管人的更换程序</w:t>
      </w:r>
    </w:p>
    <w:p w14:paraId="4E9231CF" w14:textId="77777777" w:rsidR="000A7F8D" w:rsidRDefault="000A7F8D">
      <w:pPr>
        <w:numPr>
          <w:ilvl w:val="0"/>
          <w:numId w:val="32"/>
        </w:numPr>
        <w:adjustRightInd w:val="0"/>
        <w:snapToGrid w:val="0"/>
        <w:spacing w:line="360" w:lineRule="auto"/>
        <w:ind w:left="0" w:firstLine="480"/>
        <w:rPr>
          <w:rFonts w:ascii="宋体" w:hAnsi="宋体" w:cs="Arial"/>
          <w:sz w:val="24"/>
        </w:rPr>
      </w:pPr>
      <w:r>
        <w:rPr>
          <w:rFonts w:ascii="宋体" w:hAnsi="宋体" w:cs="Arial" w:hint="eastAsia"/>
          <w:sz w:val="24"/>
        </w:rPr>
        <w:t>提名：</w:t>
      </w:r>
      <w:proofErr w:type="gramStart"/>
      <w:r>
        <w:rPr>
          <w:rFonts w:ascii="宋体" w:hAnsi="宋体" w:cs="Arial" w:hint="eastAsia"/>
          <w:sz w:val="24"/>
        </w:rPr>
        <w:t>新任基金</w:t>
      </w:r>
      <w:proofErr w:type="gramEnd"/>
      <w:r>
        <w:rPr>
          <w:rFonts w:ascii="宋体" w:hAnsi="宋体" w:cs="Arial" w:hint="eastAsia"/>
          <w:sz w:val="24"/>
        </w:rPr>
        <w:t>托管人由基金管理人或由单独或合计持有10%以上（含10%）基金份额的基金份额持有人提名；</w:t>
      </w:r>
    </w:p>
    <w:p w14:paraId="598DC37D" w14:textId="77777777" w:rsidR="000A7F8D" w:rsidRDefault="000A7F8D">
      <w:pPr>
        <w:numPr>
          <w:ilvl w:val="0"/>
          <w:numId w:val="32"/>
        </w:numPr>
        <w:adjustRightInd w:val="0"/>
        <w:snapToGrid w:val="0"/>
        <w:spacing w:line="360" w:lineRule="auto"/>
        <w:ind w:left="0" w:firstLine="480"/>
        <w:rPr>
          <w:rFonts w:ascii="宋体" w:hAnsi="宋体" w:cs="Arial"/>
          <w:sz w:val="24"/>
        </w:rPr>
      </w:pPr>
      <w:r>
        <w:rPr>
          <w:rFonts w:ascii="宋体" w:hAnsi="宋体" w:cs="Arial" w:hint="eastAsia"/>
          <w:sz w:val="24"/>
        </w:rPr>
        <w:t>决议：基金份额持有人大会在基金托管人职责终止后6个月内对被提名的基金托管人形成决议，</w:t>
      </w:r>
      <w:r>
        <w:rPr>
          <w:rFonts w:ascii="宋体" w:hAnsi="宋体" w:cs="Arial"/>
          <w:bCs/>
          <w:sz w:val="24"/>
        </w:rPr>
        <w:t>该决议</w:t>
      </w:r>
      <w:r>
        <w:rPr>
          <w:rFonts w:ascii="宋体" w:hAnsi="宋体" w:cs="Arial" w:hint="eastAsia"/>
          <w:sz w:val="24"/>
        </w:rPr>
        <w:t>需</w:t>
      </w:r>
      <w:r w:rsidR="007714CD">
        <w:rPr>
          <w:rFonts w:ascii="宋体" w:hAnsi="宋体" w:cs="Arial" w:hint="eastAsia"/>
          <w:sz w:val="24"/>
        </w:rPr>
        <w:t>经参加大会的</w:t>
      </w:r>
      <w:r>
        <w:rPr>
          <w:rFonts w:ascii="宋体" w:hAnsi="宋体" w:cs="Arial" w:hint="eastAsia"/>
          <w:sz w:val="24"/>
        </w:rPr>
        <w:t>基金份额持有人所持表决权的三分之二以上(含三分之二)</w:t>
      </w:r>
      <w:r>
        <w:rPr>
          <w:rFonts w:ascii="宋体" w:hAnsi="宋体" w:cs="Arial"/>
          <w:bCs/>
          <w:sz w:val="24"/>
        </w:rPr>
        <w:t>表决通过</w:t>
      </w:r>
      <w:r>
        <w:rPr>
          <w:rFonts w:ascii="宋体" w:hAnsi="宋体" w:cs="Arial" w:hint="eastAsia"/>
          <w:bCs/>
          <w:sz w:val="24"/>
        </w:rPr>
        <w:t>，</w:t>
      </w:r>
      <w:r w:rsidR="007714CD">
        <w:rPr>
          <w:rFonts w:ascii="宋体" w:hAnsi="宋体" w:cs="Arial" w:hint="eastAsia"/>
          <w:bCs/>
          <w:sz w:val="24"/>
        </w:rPr>
        <w:t>决议</w:t>
      </w:r>
      <w:r>
        <w:rPr>
          <w:rFonts w:ascii="宋体" w:hAnsi="宋体" w:cs="Arial" w:hint="eastAsia"/>
          <w:bCs/>
          <w:sz w:val="24"/>
        </w:rPr>
        <w:t>自表决通过之日起生效</w:t>
      </w:r>
      <w:r>
        <w:rPr>
          <w:rFonts w:ascii="宋体" w:hAnsi="宋体" w:cs="Arial" w:hint="eastAsia"/>
          <w:sz w:val="24"/>
        </w:rPr>
        <w:t>；</w:t>
      </w:r>
    </w:p>
    <w:p w14:paraId="2E9184D4" w14:textId="77777777" w:rsidR="000A7F8D" w:rsidRDefault="000A7F8D">
      <w:pPr>
        <w:numPr>
          <w:ilvl w:val="0"/>
          <w:numId w:val="32"/>
        </w:numPr>
        <w:adjustRightInd w:val="0"/>
        <w:snapToGrid w:val="0"/>
        <w:spacing w:line="360" w:lineRule="auto"/>
        <w:ind w:left="0" w:firstLine="426"/>
        <w:rPr>
          <w:rFonts w:ascii="宋体" w:hAnsi="宋体" w:cs="Arial"/>
          <w:sz w:val="24"/>
        </w:rPr>
      </w:pPr>
      <w:r>
        <w:rPr>
          <w:rFonts w:ascii="宋体" w:hAnsi="宋体" w:cs="Arial" w:hint="eastAsia"/>
          <w:sz w:val="24"/>
        </w:rPr>
        <w:t>临时基金托管人：</w:t>
      </w:r>
      <w:proofErr w:type="gramStart"/>
      <w:r>
        <w:rPr>
          <w:rFonts w:ascii="宋体" w:hAnsi="宋体" w:cs="Arial" w:hint="eastAsia"/>
          <w:sz w:val="24"/>
        </w:rPr>
        <w:t>新任基金</w:t>
      </w:r>
      <w:proofErr w:type="gramEnd"/>
      <w:r>
        <w:rPr>
          <w:rFonts w:ascii="宋体" w:hAnsi="宋体" w:cs="Arial" w:hint="eastAsia"/>
          <w:sz w:val="24"/>
        </w:rPr>
        <w:t>托管人产生之前，由中国证监会指定临时基金托管人；</w:t>
      </w:r>
    </w:p>
    <w:p w14:paraId="1FA17A81" w14:textId="77777777" w:rsidR="000A7F8D" w:rsidRDefault="000A7F8D">
      <w:pPr>
        <w:numPr>
          <w:ilvl w:val="0"/>
          <w:numId w:val="32"/>
        </w:numPr>
        <w:adjustRightInd w:val="0"/>
        <w:snapToGrid w:val="0"/>
        <w:spacing w:line="360" w:lineRule="auto"/>
        <w:ind w:left="0" w:firstLine="480"/>
        <w:rPr>
          <w:rFonts w:ascii="宋体" w:hAnsi="宋体" w:cs="Arial"/>
          <w:sz w:val="24"/>
        </w:rPr>
      </w:pPr>
      <w:r>
        <w:rPr>
          <w:rFonts w:ascii="宋体" w:hAnsi="宋体" w:cs="Arial" w:hint="eastAsia"/>
          <w:sz w:val="24"/>
        </w:rPr>
        <w:t>备案：基金份额持有人大会更换基金托管人的决议须报中国证监会备案；</w:t>
      </w:r>
    </w:p>
    <w:p w14:paraId="10E57744" w14:textId="77777777" w:rsidR="000A7F8D" w:rsidRDefault="000A7F8D">
      <w:pPr>
        <w:numPr>
          <w:ilvl w:val="0"/>
          <w:numId w:val="32"/>
        </w:numPr>
        <w:adjustRightInd w:val="0"/>
        <w:snapToGrid w:val="0"/>
        <w:spacing w:line="360" w:lineRule="auto"/>
        <w:ind w:left="0" w:firstLine="426"/>
        <w:rPr>
          <w:rFonts w:ascii="宋体" w:hAnsi="宋体" w:cs="Arial"/>
          <w:sz w:val="24"/>
        </w:rPr>
      </w:pPr>
      <w:r>
        <w:rPr>
          <w:rFonts w:ascii="宋体" w:hAnsi="宋体" w:cs="Arial" w:hint="eastAsia"/>
          <w:sz w:val="24"/>
        </w:rPr>
        <w:t>公告：</w:t>
      </w:r>
      <w:r>
        <w:rPr>
          <w:rFonts w:ascii="宋体" w:hAnsi="宋体"/>
          <w:sz w:val="24"/>
        </w:rPr>
        <w:t>基金托管人更换后，由基金管理人在</w:t>
      </w:r>
      <w:r>
        <w:rPr>
          <w:rFonts w:ascii="宋体" w:hAnsi="宋体" w:hint="eastAsia"/>
          <w:bCs/>
          <w:sz w:val="24"/>
        </w:rPr>
        <w:t>更换基金托管人的基金份额持有人大会决议生效</w:t>
      </w:r>
      <w:r>
        <w:rPr>
          <w:rFonts w:ascii="宋体" w:hAnsi="宋体"/>
          <w:sz w:val="24"/>
        </w:rPr>
        <w:t>后</w:t>
      </w:r>
      <w:r w:rsidR="004E3B64">
        <w:rPr>
          <w:rFonts w:ascii="宋体" w:hAnsi="宋体" w:hint="eastAsia"/>
          <w:sz w:val="24"/>
        </w:rPr>
        <w:t>2日内</w:t>
      </w:r>
      <w:r>
        <w:rPr>
          <w:rFonts w:ascii="宋体" w:hAnsi="宋体" w:hint="eastAsia"/>
          <w:sz w:val="24"/>
        </w:rPr>
        <w:t>在</w:t>
      </w:r>
      <w:r w:rsidR="00175FD9">
        <w:rPr>
          <w:rFonts w:ascii="宋体" w:hAnsi="宋体" w:hint="eastAsia"/>
          <w:sz w:val="24"/>
        </w:rPr>
        <w:t>规定媒介</w:t>
      </w:r>
      <w:r>
        <w:rPr>
          <w:rFonts w:ascii="宋体" w:hAnsi="宋体" w:hint="eastAsia"/>
          <w:sz w:val="24"/>
        </w:rPr>
        <w:t>上</w:t>
      </w:r>
      <w:r>
        <w:rPr>
          <w:rFonts w:ascii="宋体" w:hAnsi="宋体"/>
          <w:sz w:val="24"/>
        </w:rPr>
        <w:t>公告</w:t>
      </w:r>
      <w:r>
        <w:rPr>
          <w:rFonts w:ascii="宋体" w:hAnsi="宋体" w:hint="eastAsia"/>
          <w:sz w:val="24"/>
        </w:rPr>
        <w:t>；</w:t>
      </w:r>
    </w:p>
    <w:p w14:paraId="4E1D1B5B" w14:textId="77777777" w:rsidR="000A7F8D" w:rsidRDefault="000A7F8D">
      <w:pPr>
        <w:numPr>
          <w:ilvl w:val="0"/>
          <w:numId w:val="32"/>
        </w:numPr>
        <w:adjustRightInd w:val="0"/>
        <w:snapToGrid w:val="0"/>
        <w:spacing w:line="360" w:lineRule="auto"/>
        <w:ind w:left="0" w:firstLine="480"/>
        <w:rPr>
          <w:rFonts w:ascii="宋体" w:hAnsi="宋体" w:cs="Arial"/>
          <w:sz w:val="24"/>
        </w:rPr>
      </w:pPr>
      <w:r>
        <w:rPr>
          <w:rFonts w:ascii="宋体" w:hAnsi="宋体" w:cs="Arial" w:hint="eastAsia"/>
          <w:sz w:val="24"/>
        </w:rPr>
        <w:t>交接：基金托管人职责终止的，应当妥善保管基金财产和基金托管业务资料，及时办理基金财产和和基金托管业务的移交手续，</w:t>
      </w:r>
      <w:proofErr w:type="gramStart"/>
      <w:r>
        <w:rPr>
          <w:rFonts w:ascii="宋体" w:hAnsi="宋体" w:cs="Arial" w:hint="eastAsia"/>
          <w:sz w:val="24"/>
        </w:rPr>
        <w:t>新任基金</w:t>
      </w:r>
      <w:proofErr w:type="gramEnd"/>
      <w:r>
        <w:rPr>
          <w:rFonts w:ascii="宋体" w:hAnsi="宋体" w:cs="Arial" w:hint="eastAsia"/>
          <w:sz w:val="24"/>
        </w:rPr>
        <w:t>托管人</w:t>
      </w:r>
      <w:r>
        <w:rPr>
          <w:bCs/>
          <w:sz w:val="24"/>
        </w:rPr>
        <w:t>或者临时基金托管人应当及时接收。</w:t>
      </w:r>
      <w:proofErr w:type="gramStart"/>
      <w:r>
        <w:rPr>
          <w:bCs/>
          <w:sz w:val="24"/>
        </w:rPr>
        <w:t>新任基金</w:t>
      </w:r>
      <w:proofErr w:type="gramEnd"/>
      <w:r>
        <w:rPr>
          <w:bCs/>
          <w:sz w:val="24"/>
        </w:rPr>
        <w:t>托管人</w:t>
      </w:r>
      <w:r>
        <w:rPr>
          <w:rFonts w:ascii="宋体" w:hAnsi="宋体" w:cs="Arial" w:hint="eastAsia"/>
          <w:sz w:val="24"/>
        </w:rPr>
        <w:t>或临时基金托管人与基金管理人核对基金资产总值和基金资产净值；</w:t>
      </w:r>
    </w:p>
    <w:p w14:paraId="4DAF5FFA" w14:textId="77777777" w:rsidR="000A7F8D" w:rsidRDefault="000A7F8D">
      <w:pPr>
        <w:numPr>
          <w:ilvl w:val="0"/>
          <w:numId w:val="32"/>
        </w:numPr>
        <w:adjustRightInd w:val="0"/>
        <w:snapToGrid w:val="0"/>
        <w:spacing w:line="360" w:lineRule="auto"/>
        <w:ind w:left="0" w:firstLine="480"/>
        <w:rPr>
          <w:rFonts w:ascii="宋体" w:hAnsi="宋体" w:cs="Arial"/>
          <w:sz w:val="24"/>
        </w:rPr>
      </w:pPr>
      <w:r>
        <w:rPr>
          <w:rFonts w:ascii="宋体" w:hAnsi="宋体" w:cs="Arial" w:hint="eastAsia"/>
          <w:sz w:val="24"/>
        </w:rPr>
        <w:t>审计：基金托管人职责终止的，应当按照法律法规规定聘请</w:t>
      </w:r>
      <w:r w:rsidR="00DD7BC0" w:rsidRPr="00DD7BC0">
        <w:rPr>
          <w:rFonts w:ascii="宋体" w:hAnsi="宋体" w:cs="Arial" w:hint="eastAsia"/>
          <w:sz w:val="24"/>
        </w:rPr>
        <w:t>符合《中华人民共和国证券法》规定的</w:t>
      </w:r>
      <w:r>
        <w:rPr>
          <w:rFonts w:ascii="宋体" w:hAnsi="宋体" w:cs="Arial" w:hint="eastAsia"/>
          <w:sz w:val="24"/>
        </w:rPr>
        <w:t>会计师事务所对基金财产进行审计，并将审计结果予以公告，同时报中国证监会备案，审计费用从基金财产中列支。</w:t>
      </w:r>
    </w:p>
    <w:p w14:paraId="5C01E591"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（三）基金管理人与基金托管人同时更换</w:t>
      </w:r>
    </w:p>
    <w:p w14:paraId="4FD0CD28" w14:textId="77777777" w:rsidR="000A7F8D" w:rsidRDefault="000A7F8D">
      <w:pPr>
        <w:numPr>
          <w:ilvl w:val="0"/>
          <w:numId w:val="33"/>
        </w:numPr>
        <w:adjustRightInd w:val="0"/>
        <w:snapToGrid w:val="0"/>
        <w:spacing w:line="360" w:lineRule="auto"/>
        <w:ind w:left="0" w:firstLine="480"/>
        <w:rPr>
          <w:rStyle w:val="read"/>
          <w:rFonts w:ascii="宋体" w:hAnsi="宋体"/>
          <w:sz w:val="24"/>
        </w:rPr>
      </w:pPr>
      <w:r>
        <w:rPr>
          <w:rStyle w:val="read"/>
          <w:rFonts w:ascii="宋体" w:hAnsi="宋体"/>
          <w:sz w:val="24"/>
        </w:rPr>
        <w:t>提名：如果基金管理人和基金托管人同时更换，由单独或合计持有基金总份额10%以上</w:t>
      </w:r>
      <w:r>
        <w:rPr>
          <w:rFonts w:ascii="宋体" w:hAnsi="宋体" w:cs="Arial" w:hint="eastAsia"/>
          <w:sz w:val="24"/>
        </w:rPr>
        <w:t>(含10%)</w:t>
      </w:r>
      <w:r>
        <w:rPr>
          <w:rStyle w:val="read"/>
          <w:rFonts w:ascii="宋体" w:hAnsi="宋体"/>
          <w:sz w:val="24"/>
        </w:rPr>
        <w:t>的基金份额持有人提名新的基金管理人和基金托管人；</w:t>
      </w:r>
    </w:p>
    <w:p w14:paraId="185B5D70" w14:textId="77777777" w:rsidR="000A7F8D" w:rsidRDefault="000A7F8D">
      <w:pPr>
        <w:numPr>
          <w:ilvl w:val="0"/>
          <w:numId w:val="33"/>
        </w:numPr>
        <w:adjustRightInd w:val="0"/>
        <w:snapToGrid w:val="0"/>
        <w:spacing w:line="360" w:lineRule="auto"/>
        <w:ind w:left="0" w:firstLine="480"/>
        <w:rPr>
          <w:rStyle w:val="read"/>
          <w:rFonts w:ascii="宋体" w:hAnsi="宋体"/>
          <w:sz w:val="24"/>
        </w:rPr>
      </w:pPr>
      <w:r>
        <w:rPr>
          <w:rStyle w:val="read"/>
          <w:rFonts w:ascii="宋体" w:hAnsi="宋体"/>
          <w:sz w:val="24"/>
        </w:rPr>
        <w:t>基金管理人和基金托管人的更换分别按上述程序进行；</w:t>
      </w:r>
    </w:p>
    <w:p w14:paraId="041C465E" w14:textId="77777777" w:rsidR="000A7F8D" w:rsidRDefault="000A7F8D">
      <w:pPr>
        <w:numPr>
          <w:ilvl w:val="0"/>
          <w:numId w:val="33"/>
        </w:numPr>
        <w:adjustRightInd w:val="0"/>
        <w:snapToGrid w:val="0"/>
        <w:spacing w:line="360" w:lineRule="auto"/>
        <w:ind w:left="0" w:firstLine="480"/>
        <w:rPr>
          <w:rStyle w:val="read"/>
          <w:rFonts w:ascii="宋体" w:hAnsi="宋体"/>
          <w:sz w:val="24"/>
        </w:rPr>
      </w:pPr>
      <w:r>
        <w:rPr>
          <w:rStyle w:val="read"/>
          <w:rFonts w:ascii="宋体" w:hAnsi="宋体"/>
          <w:sz w:val="24"/>
        </w:rPr>
        <w:t>公告：</w:t>
      </w:r>
      <w:proofErr w:type="gramStart"/>
      <w:r>
        <w:rPr>
          <w:rStyle w:val="read"/>
          <w:rFonts w:ascii="宋体" w:hAnsi="宋体" w:hint="eastAsia"/>
          <w:sz w:val="24"/>
        </w:rPr>
        <w:t>新任基金</w:t>
      </w:r>
      <w:proofErr w:type="gramEnd"/>
      <w:r>
        <w:rPr>
          <w:rStyle w:val="read"/>
          <w:rFonts w:ascii="宋体" w:hAnsi="宋体" w:hint="eastAsia"/>
          <w:sz w:val="24"/>
        </w:rPr>
        <w:t>管理人和</w:t>
      </w:r>
      <w:proofErr w:type="gramStart"/>
      <w:r>
        <w:rPr>
          <w:rStyle w:val="read"/>
          <w:rFonts w:ascii="宋体" w:hAnsi="宋体" w:hint="eastAsia"/>
          <w:sz w:val="24"/>
        </w:rPr>
        <w:t>新任基金</w:t>
      </w:r>
      <w:proofErr w:type="gramEnd"/>
      <w:r>
        <w:rPr>
          <w:rStyle w:val="read"/>
          <w:rFonts w:ascii="宋体" w:hAnsi="宋体" w:hint="eastAsia"/>
          <w:sz w:val="24"/>
        </w:rPr>
        <w:t>托管人应在更换基金管理人和基金托</w:t>
      </w:r>
      <w:r>
        <w:rPr>
          <w:rStyle w:val="read"/>
          <w:rFonts w:ascii="宋体" w:hAnsi="宋体" w:hint="eastAsia"/>
          <w:sz w:val="24"/>
        </w:rPr>
        <w:lastRenderedPageBreak/>
        <w:t>管人的基金份额持有人大会决议生效后</w:t>
      </w:r>
      <w:r w:rsidR="00FA7F73">
        <w:rPr>
          <w:rFonts w:ascii="宋体" w:hAnsi="宋体" w:hint="eastAsia"/>
          <w:sz w:val="24"/>
        </w:rPr>
        <w:t>2日内</w:t>
      </w:r>
      <w:r>
        <w:rPr>
          <w:rStyle w:val="read"/>
          <w:rFonts w:ascii="宋体" w:hAnsi="宋体" w:hint="eastAsia"/>
          <w:sz w:val="24"/>
        </w:rPr>
        <w:t>在</w:t>
      </w:r>
      <w:r w:rsidR="00175FD9">
        <w:rPr>
          <w:rStyle w:val="read"/>
          <w:rFonts w:ascii="宋体" w:hAnsi="宋体" w:hint="eastAsia"/>
          <w:sz w:val="24"/>
        </w:rPr>
        <w:t>规定媒介</w:t>
      </w:r>
      <w:r>
        <w:rPr>
          <w:rStyle w:val="read"/>
          <w:rFonts w:ascii="宋体" w:hAnsi="宋体" w:hint="eastAsia"/>
          <w:sz w:val="24"/>
        </w:rPr>
        <w:t>上联合公告</w:t>
      </w:r>
      <w:r>
        <w:rPr>
          <w:rStyle w:val="read"/>
          <w:rFonts w:ascii="宋体" w:hAnsi="宋体"/>
          <w:sz w:val="24"/>
        </w:rPr>
        <w:t>。</w:t>
      </w:r>
    </w:p>
    <w:p w14:paraId="4BC42BDC" w14:textId="56DBF034"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（四）新基金管理人</w:t>
      </w:r>
      <w:r>
        <w:rPr>
          <w:rFonts w:ascii="宋体" w:hAnsi="宋体" w:hint="eastAsia"/>
          <w:sz w:val="24"/>
        </w:rPr>
        <w:t>或临时基金管理人</w:t>
      </w:r>
      <w:r>
        <w:rPr>
          <w:rFonts w:ascii="宋体" w:hAnsi="宋体" w:cs="Arial" w:hint="eastAsia"/>
          <w:sz w:val="24"/>
        </w:rPr>
        <w:t>接收基金管理业务，或新基金托管人</w:t>
      </w:r>
      <w:r>
        <w:rPr>
          <w:rFonts w:ascii="宋体" w:hAnsi="宋体" w:hint="eastAsia"/>
          <w:sz w:val="24"/>
        </w:rPr>
        <w:t>或临时基金托管人</w:t>
      </w:r>
      <w:r>
        <w:rPr>
          <w:rFonts w:ascii="宋体" w:hAnsi="宋体" w:cs="Arial" w:hint="eastAsia"/>
          <w:sz w:val="24"/>
        </w:rPr>
        <w:t>接收基金财产和基金托管业务前，</w:t>
      </w:r>
      <w:r>
        <w:rPr>
          <w:rFonts w:ascii="宋体" w:hAnsi="宋体" w:hint="eastAsia"/>
          <w:sz w:val="24"/>
          <w:szCs w:val="20"/>
        </w:rPr>
        <w:t>原任</w:t>
      </w:r>
      <w:r>
        <w:rPr>
          <w:rFonts w:ascii="宋体" w:hAnsi="宋体" w:cs="Arial" w:hint="eastAsia"/>
          <w:sz w:val="24"/>
        </w:rPr>
        <w:t>基金管理人或</w:t>
      </w:r>
      <w:r>
        <w:rPr>
          <w:rFonts w:ascii="宋体" w:hAnsi="宋体" w:hint="eastAsia"/>
          <w:sz w:val="24"/>
          <w:szCs w:val="20"/>
        </w:rPr>
        <w:t>原任</w:t>
      </w:r>
      <w:r>
        <w:rPr>
          <w:rFonts w:ascii="宋体" w:hAnsi="宋体" w:cs="Arial" w:hint="eastAsia"/>
          <w:sz w:val="24"/>
        </w:rPr>
        <w:t>基金托管人应</w:t>
      </w:r>
      <w:r w:rsidR="009C17F2">
        <w:rPr>
          <w:rFonts w:ascii="宋体" w:hAnsi="宋体" w:cs="Arial" w:hint="eastAsia"/>
          <w:sz w:val="24"/>
        </w:rPr>
        <w:t>依据法律法规和基金合同的规定</w:t>
      </w:r>
      <w:r>
        <w:rPr>
          <w:rFonts w:ascii="宋体" w:hAnsi="宋体" w:cs="Arial" w:hint="eastAsia"/>
          <w:sz w:val="24"/>
        </w:rPr>
        <w:t>继续履行相关职责，并保证不对基金份额持有人的利益造成损害。</w:t>
      </w:r>
      <w:proofErr w:type="gramStart"/>
      <w:r>
        <w:rPr>
          <w:rFonts w:ascii="宋体" w:hAnsi="宋体" w:hint="eastAsia"/>
          <w:sz w:val="24"/>
        </w:rPr>
        <w:t>原基金</w:t>
      </w:r>
      <w:proofErr w:type="gramEnd"/>
      <w:r>
        <w:rPr>
          <w:rFonts w:ascii="宋体" w:hAnsi="宋体" w:hint="eastAsia"/>
          <w:sz w:val="24"/>
        </w:rPr>
        <w:t>管理人或</w:t>
      </w:r>
      <w:proofErr w:type="gramStart"/>
      <w:r>
        <w:rPr>
          <w:rFonts w:ascii="宋体" w:hAnsi="宋体" w:hint="eastAsia"/>
          <w:sz w:val="24"/>
        </w:rPr>
        <w:t>原基金</w:t>
      </w:r>
      <w:proofErr w:type="gramEnd"/>
      <w:r>
        <w:rPr>
          <w:rFonts w:ascii="宋体" w:hAnsi="宋体" w:hint="eastAsia"/>
          <w:sz w:val="24"/>
        </w:rPr>
        <w:t>托管人在继续履行相关职责期间，仍有权按照基金合同的规定收取基金管理费</w:t>
      </w:r>
      <w:r w:rsidR="00154728" w:rsidRPr="00154728">
        <w:rPr>
          <w:rFonts w:ascii="宋体" w:hAnsi="宋体" w:hint="eastAsia"/>
          <w:sz w:val="24"/>
        </w:rPr>
        <w:t>（包括</w:t>
      </w:r>
      <w:r w:rsidR="002D40B3">
        <w:rPr>
          <w:rFonts w:ascii="宋体" w:hAnsi="宋体" w:hint="eastAsia"/>
          <w:sz w:val="24"/>
        </w:rPr>
        <w:t>固定</w:t>
      </w:r>
      <w:r w:rsidR="00154728" w:rsidRPr="00154728">
        <w:rPr>
          <w:rFonts w:ascii="宋体" w:hAnsi="宋体" w:hint="eastAsia"/>
          <w:sz w:val="24"/>
        </w:rPr>
        <w:t>管理费</w:t>
      </w:r>
      <w:r w:rsidR="002D40B3">
        <w:rPr>
          <w:rFonts w:ascii="宋体" w:hAnsi="宋体" w:hint="eastAsia"/>
          <w:sz w:val="24"/>
        </w:rPr>
        <w:t>、</w:t>
      </w:r>
      <w:r w:rsidR="002D40B3" w:rsidRPr="002D40B3">
        <w:rPr>
          <w:rFonts w:ascii="宋体" w:hAnsi="宋体" w:hint="eastAsia"/>
          <w:bCs/>
          <w:sz w:val="24"/>
        </w:rPr>
        <w:t>或有管理费和超额管理费</w:t>
      </w:r>
      <w:r w:rsidR="00154728" w:rsidRPr="00154728">
        <w:rPr>
          <w:rFonts w:ascii="宋体" w:hAnsi="宋体" w:hint="eastAsia"/>
          <w:sz w:val="24"/>
        </w:rPr>
        <w:t>）</w:t>
      </w:r>
      <w:r>
        <w:rPr>
          <w:rFonts w:ascii="宋体" w:hAnsi="宋体" w:hint="eastAsia"/>
          <w:sz w:val="24"/>
        </w:rPr>
        <w:t>或基金托管费。</w:t>
      </w:r>
    </w:p>
    <w:p w14:paraId="3FD37B1A" w14:textId="77777777" w:rsidR="000A7F8D" w:rsidRDefault="000A7F8D">
      <w:pPr>
        <w:spacing w:line="360" w:lineRule="auto"/>
        <w:ind w:firstLineChars="200" w:firstLine="480"/>
        <w:rPr>
          <w:rFonts w:ascii="宋体" w:hAnsi="宋体"/>
          <w:bCs/>
          <w:sz w:val="24"/>
        </w:rPr>
      </w:pPr>
      <w:r>
        <w:rPr>
          <w:rFonts w:ascii="宋体" w:hAnsi="宋体" w:hint="eastAsia"/>
          <w:bCs/>
          <w:sz w:val="24"/>
        </w:rPr>
        <w:t>（五）本部</w:t>
      </w:r>
      <w:proofErr w:type="gramStart"/>
      <w:r>
        <w:rPr>
          <w:rFonts w:ascii="宋体" w:hAnsi="宋体" w:hint="eastAsia"/>
          <w:bCs/>
          <w:sz w:val="24"/>
        </w:rPr>
        <w:t>分关于</w:t>
      </w:r>
      <w:proofErr w:type="gramEnd"/>
      <w:r>
        <w:rPr>
          <w:rFonts w:ascii="宋体" w:hAnsi="宋体" w:hint="eastAsia"/>
          <w:bCs/>
          <w:sz w:val="24"/>
        </w:rPr>
        <w:t>基金管理人、基金托管人更换条件和程序的约定，凡是直</w:t>
      </w:r>
    </w:p>
    <w:p w14:paraId="2F2668AB" w14:textId="77777777" w:rsidR="000A7F8D" w:rsidRDefault="000A7F8D">
      <w:pPr>
        <w:spacing w:line="360" w:lineRule="auto"/>
        <w:rPr>
          <w:rFonts w:ascii="宋体" w:hAnsi="宋体"/>
          <w:bCs/>
          <w:sz w:val="24"/>
        </w:rPr>
      </w:pPr>
      <w:r>
        <w:rPr>
          <w:rFonts w:ascii="宋体" w:hAnsi="宋体" w:hint="eastAsia"/>
          <w:bCs/>
          <w:sz w:val="24"/>
        </w:rPr>
        <w:t>接引用法律法规的部分，如法律法规修改导致相关内容被取消或变更的，基金管理人与基金托管人协商一致并提前公告后，可直接对相应内容进行修改和调整，无需召开基金份额持有人大会审议。</w:t>
      </w:r>
    </w:p>
    <w:p w14:paraId="6F8A21E3" w14:textId="77777777" w:rsidR="000A7F8D" w:rsidRDefault="000A7F8D">
      <w:pPr>
        <w:adjustRightInd w:val="0"/>
        <w:snapToGrid w:val="0"/>
        <w:spacing w:line="360" w:lineRule="auto"/>
        <w:ind w:firstLineChars="200" w:firstLine="480"/>
        <w:rPr>
          <w:rFonts w:ascii="宋体" w:hAnsi="宋体" w:cs="Arial"/>
          <w:sz w:val="24"/>
        </w:rPr>
      </w:pPr>
    </w:p>
    <w:p w14:paraId="21430365"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243" w:name="_Toc295833032"/>
      <w:bookmarkStart w:id="244" w:name="_Toc295833703"/>
      <w:bookmarkStart w:id="245" w:name="_Toc295832972"/>
      <w:bookmarkStart w:id="246" w:name="_Toc450839481"/>
      <w:bookmarkStart w:id="247" w:name="_Toc270669866"/>
      <w:bookmarkStart w:id="248" w:name="_Toc124325899"/>
      <w:bookmarkEnd w:id="243"/>
      <w:bookmarkEnd w:id="244"/>
      <w:bookmarkEnd w:id="245"/>
      <w:r>
        <w:rPr>
          <w:rFonts w:ascii="宋体" w:hAnsi="宋体" w:hint="eastAsia"/>
          <w:sz w:val="28"/>
          <w:szCs w:val="28"/>
        </w:rPr>
        <w:lastRenderedPageBreak/>
        <w:t>禁止行为</w:t>
      </w:r>
      <w:bookmarkEnd w:id="246"/>
      <w:bookmarkEnd w:id="247"/>
      <w:bookmarkEnd w:id="248"/>
    </w:p>
    <w:p w14:paraId="22E5EBF8"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本协议当事人禁止从事的行为，包括但不限于：</w:t>
      </w:r>
    </w:p>
    <w:p w14:paraId="699A5E5C"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（一）基金管理人、基金托管人将其固有财产或者他人财产混同于基金财产从事证券投资。</w:t>
      </w:r>
    </w:p>
    <w:p w14:paraId="6222E462"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（二）基金管理人不公平地对待其管理的不同基金财产，基金托管人不公平地对待其托管的不同基金财产。</w:t>
      </w:r>
    </w:p>
    <w:p w14:paraId="6FA07231"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（三）基金管理人、基金托管人利用基金财产为基金份额持有人以外的第三人牟取利益。</w:t>
      </w:r>
    </w:p>
    <w:p w14:paraId="7949C5E5" w14:textId="77777777" w:rsidR="000A7F8D" w:rsidRDefault="000A7F8D">
      <w:pPr>
        <w:snapToGrid w:val="0"/>
        <w:spacing w:line="360" w:lineRule="auto"/>
        <w:ind w:firstLineChars="200" w:firstLine="480"/>
        <w:rPr>
          <w:rFonts w:ascii="宋体" w:hAnsi="宋体"/>
          <w:sz w:val="24"/>
        </w:rPr>
      </w:pPr>
      <w:r>
        <w:rPr>
          <w:rFonts w:ascii="宋体" w:hAnsi="宋体" w:hint="eastAsia"/>
          <w:sz w:val="24"/>
        </w:rPr>
        <w:t>（四）基金管理人、基金托管人向基金份额持有人违规承诺收益或者承担损失。</w:t>
      </w:r>
    </w:p>
    <w:p w14:paraId="1E39EB6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（五）基金管理人、基金托管人对他人泄露基金运作和管理过程中任何尚未按法律法规规定的方式公开披露的信息。</w:t>
      </w:r>
    </w:p>
    <w:p w14:paraId="2F07FEE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sz w:val="24"/>
        </w:rPr>
        <w:t>（六）基金管理人在没有充足资金的情况下向基金托管人发出投资指令和赎回、分红资金的划拨指令，或违规向基金托管人发出指令。</w:t>
      </w:r>
    </w:p>
    <w:p w14:paraId="60CB61EC"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（七）基金管理人、基金托管人在行政上、财务上不</w:t>
      </w:r>
      <w:proofErr w:type="gramStart"/>
      <w:r>
        <w:rPr>
          <w:rFonts w:ascii="宋体" w:hAnsi="宋体" w:cs="Arial" w:hint="eastAsia"/>
          <w:sz w:val="24"/>
        </w:rPr>
        <w:t>独立,</w:t>
      </w:r>
      <w:proofErr w:type="gramEnd"/>
      <w:r>
        <w:rPr>
          <w:rFonts w:ascii="宋体" w:hAnsi="宋体" w:cs="Arial" w:hint="eastAsia"/>
          <w:sz w:val="24"/>
        </w:rPr>
        <w:t xml:space="preserve"> 其高级管理人员和其他从业人员相互兼职。</w:t>
      </w:r>
    </w:p>
    <w:p w14:paraId="757891CB"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（八）基金托管人私自动用或处分基金财产，根据基金管理人的合法指令、基金合同或托管协议的规定进行处分的除外。</w:t>
      </w:r>
    </w:p>
    <w:p w14:paraId="2D7E0AA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（九）基金财产用于下列投资或者活动：</w:t>
      </w:r>
    </w:p>
    <w:p w14:paraId="576AECA6"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承销证券；</w:t>
      </w:r>
    </w:p>
    <w:p w14:paraId="3C05898D"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违反规定向他人贷款或者提供担保；</w:t>
      </w:r>
    </w:p>
    <w:p w14:paraId="3B7AB99E"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从事承担无限责任的投资；</w:t>
      </w:r>
    </w:p>
    <w:p w14:paraId="6E2FC29B"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买卖其他基金份额，但是</w:t>
      </w:r>
      <w:r w:rsidR="009B4ACD">
        <w:rPr>
          <w:rStyle w:val="read"/>
          <w:rFonts w:ascii="宋体" w:hAnsi="宋体" w:hint="eastAsia"/>
          <w:sz w:val="24"/>
        </w:rPr>
        <w:t>法律法规或</w:t>
      </w:r>
      <w:r>
        <w:rPr>
          <w:rStyle w:val="read"/>
          <w:rFonts w:ascii="宋体" w:hAnsi="宋体" w:hint="eastAsia"/>
          <w:sz w:val="24"/>
        </w:rPr>
        <w:t>中国证监会另有规定的除外；</w:t>
      </w:r>
    </w:p>
    <w:p w14:paraId="394996D7"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向其基金管理人、基金托管人出资；</w:t>
      </w:r>
    </w:p>
    <w:p w14:paraId="572C8A8C"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从事内幕交易、操纵证券交易价格及其他不正当的证券交易活动；</w:t>
      </w:r>
    </w:p>
    <w:p w14:paraId="62CC11E5" w14:textId="77777777" w:rsidR="000A7F8D" w:rsidRDefault="000A7F8D">
      <w:pPr>
        <w:numPr>
          <w:ilvl w:val="0"/>
          <w:numId w:val="34"/>
        </w:numPr>
        <w:adjustRightInd w:val="0"/>
        <w:snapToGrid w:val="0"/>
        <w:spacing w:line="360" w:lineRule="auto"/>
        <w:ind w:left="0" w:firstLine="480"/>
        <w:rPr>
          <w:rStyle w:val="read"/>
          <w:rFonts w:ascii="宋体" w:hAnsi="宋体"/>
          <w:sz w:val="24"/>
        </w:rPr>
      </w:pPr>
      <w:r>
        <w:rPr>
          <w:rStyle w:val="read"/>
          <w:rFonts w:ascii="宋体" w:hAnsi="宋体" w:hint="eastAsia"/>
          <w:sz w:val="24"/>
        </w:rPr>
        <w:t>法律、行政法规和中国证监会规定禁止的其他活动；</w:t>
      </w:r>
    </w:p>
    <w:p w14:paraId="49D773C1" w14:textId="77777777" w:rsidR="000A7F8D" w:rsidRDefault="000A7F8D">
      <w:pPr>
        <w:adjustRightInd w:val="0"/>
        <w:snapToGrid w:val="0"/>
        <w:spacing w:line="360" w:lineRule="auto"/>
        <w:ind w:firstLineChars="200" w:firstLine="480"/>
        <w:rPr>
          <w:rStyle w:val="read"/>
          <w:rFonts w:ascii="宋体" w:hAnsi="宋体"/>
          <w:sz w:val="24"/>
        </w:rPr>
      </w:pPr>
      <w:r>
        <w:rPr>
          <w:rStyle w:val="read"/>
          <w:rFonts w:ascii="宋体" w:hAnsi="宋体"/>
          <w:sz w:val="24"/>
        </w:rPr>
        <w:t>法律</w:t>
      </w:r>
      <w:r>
        <w:rPr>
          <w:rStyle w:val="read"/>
          <w:rFonts w:ascii="宋体" w:hAnsi="宋体" w:hint="eastAsia"/>
          <w:sz w:val="24"/>
        </w:rPr>
        <w:t>、行政</w:t>
      </w:r>
      <w:r>
        <w:rPr>
          <w:rStyle w:val="read"/>
          <w:rFonts w:ascii="宋体" w:hAnsi="宋体"/>
          <w:sz w:val="24"/>
        </w:rPr>
        <w:t>法规或</w:t>
      </w:r>
      <w:r>
        <w:rPr>
          <w:rStyle w:val="read"/>
          <w:rFonts w:ascii="宋体" w:hAnsi="宋体" w:hint="eastAsia"/>
          <w:sz w:val="24"/>
        </w:rPr>
        <w:t>监管部门取消</w:t>
      </w:r>
      <w:r w:rsidR="006B573B">
        <w:rPr>
          <w:rStyle w:val="read"/>
          <w:rFonts w:ascii="宋体" w:hAnsi="宋体" w:hint="eastAsia"/>
          <w:sz w:val="24"/>
        </w:rPr>
        <w:t>或调整</w:t>
      </w:r>
      <w:r>
        <w:rPr>
          <w:rStyle w:val="read"/>
          <w:rFonts w:ascii="宋体" w:hAnsi="宋体"/>
          <w:sz w:val="24"/>
        </w:rPr>
        <w:t>上述限制，</w:t>
      </w:r>
      <w:r>
        <w:rPr>
          <w:rStyle w:val="read"/>
          <w:rFonts w:ascii="宋体" w:hAnsi="宋体" w:hint="eastAsia"/>
          <w:sz w:val="24"/>
        </w:rPr>
        <w:t>如适用于本基金，</w:t>
      </w:r>
      <w:r>
        <w:rPr>
          <w:rFonts w:ascii="宋体" w:hAnsi="宋体" w:hint="eastAsia"/>
          <w:bCs/>
          <w:sz w:val="24"/>
        </w:rPr>
        <w:t>基金管理人在履行适当程序后</w:t>
      </w:r>
      <w:r>
        <w:rPr>
          <w:rStyle w:val="read"/>
          <w:rFonts w:ascii="宋体" w:hAnsi="宋体" w:hint="eastAsia"/>
          <w:sz w:val="24"/>
        </w:rPr>
        <w:t>，则本基金投资</w:t>
      </w:r>
      <w:r w:rsidR="006B573B" w:rsidRPr="006B573B">
        <w:rPr>
          <w:rStyle w:val="read"/>
          <w:rFonts w:ascii="宋体" w:hAnsi="宋体" w:hint="eastAsia"/>
          <w:sz w:val="24"/>
        </w:rPr>
        <w:t>按照取消或调整后的规定执行</w:t>
      </w:r>
      <w:r>
        <w:rPr>
          <w:rStyle w:val="read"/>
          <w:rFonts w:ascii="宋体" w:hAnsi="宋体" w:hint="eastAsia"/>
          <w:sz w:val="24"/>
        </w:rPr>
        <w:t>。</w:t>
      </w:r>
    </w:p>
    <w:p w14:paraId="69808CB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（十）法律法规和基金合同禁止的其他行为，以及依照法律、行政法规有关</w:t>
      </w:r>
      <w:r>
        <w:rPr>
          <w:rFonts w:ascii="宋体" w:hAnsi="宋体" w:cs="Arial" w:hint="eastAsia"/>
          <w:sz w:val="24"/>
        </w:rPr>
        <w:lastRenderedPageBreak/>
        <w:t>规定，由</w:t>
      </w:r>
      <w:r>
        <w:rPr>
          <w:rStyle w:val="read"/>
          <w:rFonts w:ascii="宋体" w:hAnsi="宋体" w:hint="eastAsia"/>
          <w:sz w:val="24"/>
        </w:rPr>
        <w:t>中国证监会</w:t>
      </w:r>
      <w:r>
        <w:rPr>
          <w:rFonts w:ascii="宋体" w:hAnsi="宋体" w:cs="Arial" w:hint="eastAsia"/>
          <w:sz w:val="24"/>
        </w:rPr>
        <w:t>规定禁止基金管理人、基金托管人从事的其他行为。</w:t>
      </w:r>
    </w:p>
    <w:p w14:paraId="03A39EB4" w14:textId="77777777" w:rsidR="000A7F8D" w:rsidRDefault="000A7F8D">
      <w:pPr>
        <w:adjustRightInd w:val="0"/>
        <w:snapToGrid w:val="0"/>
        <w:spacing w:line="360" w:lineRule="auto"/>
        <w:ind w:firstLineChars="200" w:firstLine="480"/>
        <w:rPr>
          <w:rFonts w:ascii="宋体" w:hAnsi="宋体" w:cs="Arial"/>
          <w:sz w:val="24"/>
        </w:rPr>
      </w:pPr>
    </w:p>
    <w:p w14:paraId="370C1EC8" w14:textId="77777777" w:rsidR="000A7F8D" w:rsidRDefault="000A7F8D">
      <w:pPr>
        <w:pStyle w:val="1"/>
        <w:numPr>
          <w:ilvl w:val="0"/>
          <w:numId w:val="1"/>
        </w:numPr>
        <w:spacing w:line="360" w:lineRule="auto"/>
        <w:jc w:val="center"/>
        <w:rPr>
          <w:rFonts w:ascii="宋体" w:hAnsi="宋体"/>
          <w:sz w:val="28"/>
          <w:szCs w:val="28"/>
        </w:rPr>
      </w:pPr>
      <w:r>
        <w:rPr>
          <w:rFonts w:ascii="宋体" w:hAnsi="宋体"/>
          <w:sz w:val="24"/>
          <w:szCs w:val="24"/>
        </w:rPr>
        <w:br w:type="page"/>
      </w:r>
      <w:bookmarkStart w:id="249" w:name="_Toc295833705"/>
      <w:bookmarkStart w:id="250" w:name="_Toc295833034"/>
      <w:bookmarkStart w:id="251" w:name="_Toc295832974"/>
      <w:bookmarkStart w:id="252" w:name="_Toc270669867"/>
      <w:bookmarkStart w:id="253" w:name="_Toc450839482"/>
      <w:bookmarkStart w:id="254" w:name="_Toc124325900"/>
      <w:bookmarkEnd w:id="249"/>
      <w:bookmarkEnd w:id="250"/>
      <w:bookmarkEnd w:id="251"/>
      <w:r>
        <w:rPr>
          <w:rFonts w:ascii="宋体" w:hAnsi="宋体" w:hint="eastAsia"/>
          <w:sz w:val="28"/>
          <w:szCs w:val="28"/>
        </w:rPr>
        <w:lastRenderedPageBreak/>
        <w:t>托管协议的变更、终止与基金财产的清算</w:t>
      </w:r>
      <w:bookmarkEnd w:id="252"/>
      <w:bookmarkEnd w:id="253"/>
      <w:bookmarkEnd w:id="254"/>
    </w:p>
    <w:p w14:paraId="6705ABC1"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（一）本托管协议的变更程序</w:t>
      </w:r>
    </w:p>
    <w:p w14:paraId="5F9B07CB" w14:textId="77777777" w:rsidR="000A7F8D" w:rsidRDefault="000A7F8D">
      <w:pPr>
        <w:adjustRightInd w:val="0"/>
        <w:snapToGrid w:val="0"/>
        <w:spacing w:line="360" w:lineRule="auto"/>
        <w:ind w:firstLineChars="200" w:firstLine="480"/>
        <w:rPr>
          <w:rFonts w:ascii="宋体" w:hAnsi="宋体"/>
          <w:sz w:val="24"/>
        </w:rPr>
      </w:pPr>
      <w:r>
        <w:rPr>
          <w:rFonts w:ascii="宋体" w:hAnsi="宋体" w:cs="Arial" w:hint="eastAsia"/>
          <w:sz w:val="24"/>
        </w:rPr>
        <w:t>本托管协议双方当事人经协商一致，可以对本托管协议进行修改。修改后的新托管协议，其内容不得与基金合同的规定有任何冲突。</w:t>
      </w:r>
    </w:p>
    <w:p w14:paraId="5986DA2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（二）基金托管协议终止出现的情形</w:t>
      </w:r>
    </w:p>
    <w:p w14:paraId="256CCB9D" w14:textId="77777777" w:rsidR="000A7F8D" w:rsidRDefault="000A7F8D">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基金合同终止；</w:t>
      </w:r>
    </w:p>
    <w:p w14:paraId="59CC02A7" w14:textId="77777777" w:rsidR="000A7F8D" w:rsidRDefault="000A7F8D">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基金托管人解散、依法被撤销、破产或由其他基金托管人接管基金资产；</w:t>
      </w:r>
    </w:p>
    <w:p w14:paraId="028E987D" w14:textId="77777777" w:rsidR="000A7F8D" w:rsidRDefault="000A7F8D">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hint="eastAsia"/>
          <w:sz w:val="24"/>
        </w:rPr>
        <w:t>基金管理人解散、依法被撤销、破产或由其他基金管理人接管基金管理权；</w:t>
      </w:r>
    </w:p>
    <w:p w14:paraId="337CA264" w14:textId="77777777" w:rsidR="000A7F8D" w:rsidRDefault="000A7F8D">
      <w:pPr>
        <w:numPr>
          <w:ilvl w:val="0"/>
          <w:numId w:val="35"/>
        </w:numPr>
        <w:adjustRightInd w:val="0"/>
        <w:snapToGrid w:val="0"/>
        <w:spacing w:line="360" w:lineRule="auto"/>
        <w:ind w:left="0" w:firstLine="480"/>
        <w:rPr>
          <w:rStyle w:val="read"/>
          <w:rFonts w:ascii="宋体" w:hAnsi="宋体"/>
          <w:sz w:val="24"/>
        </w:rPr>
      </w:pPr>
      <w:r>
        <w:rPr>
          <w:rStyle w:val="read"/>
          <w:rFonts w:ascii="宋体" w:hAnsi="宋体" w:hint="eastAsia"/>
          <w:sz w:val="24"/>
        </w:rPr>
        <w:t>发生法律法规、中国证监会或基金合同规定的终止事项。</w:t>
      </w:r>
    </w:p>
    <w:p w14:paraId="4F6EABE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（三）基金财产的清算</w:t>
      </w:r>
    </w:p>
    <w:p w14:paraId="63C571AA" w14:textId="77777777" w:rsidR="000A7F8D" w:rsidRDefault="000A7F8D">
      <w:pPr>
        <w:numPr>
          <w:ilvl w:val="0"/>
          <w:numId w:val="36"/>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w:t>
      </w:r>
    </w:p>
    <w:p w14:paraId="28A6822B" w14:textId="77777777" w:rsidR="000A7F8D" w:rsidRDefault="000A7F8D">
      <w:pPr>
        <w:numPr>
          <w:ilvl w:val="0"/>
          <w:numId w:val="37"/>
        </w:numPr>
        <w:autoSpaceDE w:val="0"/>
        <w:autoSpaceDN w:val="0"/>
        <w:adjustRightInd w:val="0"/>
        <w:spacing w:line="360" w:lineRule="auto"/>
        <w:ind w:left="0" w:firstLine="426"/>
        <w:jc w:val="left"/>
        <w:rPr>
          <w:rFonts w:ascii="宋体" w:hAnsi="宋体"/>
          <w:sz w:val="24"/>
        </w:rPr>
      </w:pPr>
      <w:r>
        <w:rPr>
          <w:bCs/>
          <w:sz w:val="24"/>
        </w:rPr>
        <w:t>自出现基金合同终止事由之日起</w:t>
      </w:r>
      <w:r>
        <w:rPr>
          <w:bCs/>
          <w:sz w:val="24"/>
        </w:rPr>
        <w:t>30</w:t>
      </w:r>
      <w:r>
        <w:rPr>
          <w:bCs/>
          <w:sz w:val="24"/>
        </w:rPr>
        <w:t>个工作日</w:t>
      </w:r>
      <w:r>
        <w:rPr>
          <w:rFonts w:hint="eastAsia"/>
          <w:bCs/>
          <w:sz w:val="24"/>
        </w:rPr>
        <w:t>内</w:t>
      </w:r>
      <w:r>
        <w:rPr>
          <w:sz w:val="24"/>
        </w:rPr>
        <w:t>成立清算</w:t>
      </w:r>
      <w:r>
        <w:rPr>
          <w:bCs/>
          <w:sz w:val="24"/>
        </w:rPr>
        <w:t>小组</w:t>
      </w:r>
      <w:r>
        <w:rPr>
          <w:rFonts w:ascii="宋体" w:hAnsi="宋体" w:hint="eastAsia"/>
          <w:sz w:val="24"/>
        </w:rPr>
        <w:t>，</w:t>
      </w:r>
      <w:r>
        <w:rPr>
          <w:bCs/>
          <w:sz w:val="24"/>
        </w:rPr>
        <w:t>基金管理人组织</w:t>
      </w:r>
      <w:r>
        <w:rPr>
          <w:sz w:val="24"/>
        </w:rPr>
        <w:t>基金财产清算</w:t>
      </w:r>
      <w:r>
        <w:rPr>
          <w:bCs/>
          <w:sz w:val="24"/>
        </w:rPr>
        <w:t>小组并</w:t>
      </w:r>
      <w:r>
        <w:rPr>
          <w:sz w:val="24"/>
        </w:rPr>
        <w:t>在中国证监会的监督下进行基金清算</w:t>
      </w:r>
      <w:r>
        <w:rPr>
          <w:rFonts w:ascii="宋体" w:hAnsi="宋体" w:hint="eastAsia"/>
          <w:sz w:val="24"/>
        </w:rPr>
        <w:t>。</w:t>
      </w:r>
    </w:p>
    <w:p w14:paraId="16DC6552" w14:textId="77777777" w:rsidR="000A7F8D" w:rsidRDefault="000A7F8D">
      <w:pPr>
        <w:numPr>
          <w:ilvl w:val="0"/>
          <w:numId w:val="37"/>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基金财产清算小组成员由基金管理人、基金托管人、</w:t>
      </w:r>
      <w:r w:rsidR="000A46CB" w:rsidRPr="000A46CB">
        <w:rPr>
          <w:rFonts w:ascii="宋体" w:hAnsi="宋体" w:hint="eastAsia"/>
          <w:sz w:val="24"/>
        </w:rPr>
        <w:t>符合《中华人民共和国证券法》规定</w:t>
      </w:r>
      <w:r>
        <w:rPr>
          <w:rFonts w:ascii="宋体" w:hAnsi="宋体" w:hint="eastAsia"/>
          <w:sz w:val="24"/>
        </w:rPr>
        <w:t>的注册会计师、律师以及中国证监会指定的人员组成。基金财产清算小组可以聘用必要的工作人员。</w:t>
      </w:r>
    </w:p>
    <w:p w14:paraId="2027A906" w14:textId="77777777" w:rsidR="000A7F8D" w:rsidRDefault="000A7F8D">
      <w:pPr>
        <w:numPr>
          <w:ilvl w:val="0"/>
          <w:numId w:val="37"/>
        </w:numPr>
        <w:autoSpaceDE w:val="0"/>
        <w:autoSpaceDN w:val="0"/>
        <w:adjustRightInd w:val="0"/>
        <w:spacing w:line="360" w:lineRule="auto"/>
        <w:ind w:left="0" w:firstLine="425"/>
        <w:jc w:val="left"/>
        <w:rPr>
          <w:rFonts w:ascii="宋体" w:hAnsi="宋体"/>
          <w:sz w:val="24"/>
        </w:rPr>
      </w:pPr>
      <w:r>
        <w:rPr>
          <w:rFonts w:ascii="宋体" w:hAnsi="宋体" w:hint="eastAsia"/>
          <w:sz w:val="24"/>
        </w:rPr>
        <w:t>基金财产清算小组负责基金财产的保管、清理、估价、变现和分配。基金财产清算小组可以依法进行必要的民事活动。</w:t>
      </w:r>
    </w:p>
    <w:p w14:paraId="2C8C016E" w14:textId="77777777" w:rsidR="000A7F8D" w:rsidRDefault="000A7F8D">
      <w:pPr>
        <w:numPr>
          <w:ilvl w:val="0"/>
          <w:numId w:val="36"/>
        </w:numPr>
        <w:autoSpaceDE w:val="0"/>
        <w:autoSpaceDN w:val="0"/>
        <w:adjustRightInd w:val="0"/>
        <w:spacing w:line="360" w:lineRule="auto"/>
        <w:ind w:left="0" w:firstLineChars="177" w:firstLine="425"/>
        <w:jc w:val="left"/>
        <w:rPr>
          <w:rFonts w:ascii="宋体" w:hAnsi="宋体"/>
          <w:sz w:val="24"/>
        </w:rPr>
      </w:pPr>
      <w:r>
        <w:rPr>
          <w:rFonts w:ascii="宋体" w:hAnsi="宋体" w:hint="eastAsia"/>
          <w:sz w:val="24"/>
        </w:rPr>
        <w:t>基金财产清算程序</w:t>
      </w:r>
    </w:p>
    <w:p w14:paraId="121F9FEC" w14:textId="77777777" w:rsidR="000A7F8D" w:rsidRDefault="000A7F8D">
      <w:pPr>
        <w:autoSpaceDE w:val="0"/>
        <w:autoSpaceDN w:val="0"/>
        <w:adjustRightInd w:val="0"/>
        <w:spacing w:line="360" w:lineRule="auto"/>
        <w:ind w:firstLine="425"/>
        <w:jc w:val="left"/>
        <w:rPr>
          <w:rFonts w:ascii="宋体" w:hAnsi="宋体"/>
          <w:sz w:val="24"/>
        </w:rPr>
      </w:pPr>
      <w:r>
        <w:rPr>
          <w:rFonts w:ascii="宋体" w:hAnsi="宋体" w:hint="eastAsia"/>
          <w:sz w:val="24"/>
        </w:rPr>
        <w:t>基金合同终止，应当按法律法规和基金合同的有关规定对基金财产进行清算。基金财产清算程序主要包括：</w:t>
      </w:r>
    </w:p>
    <w:p w14:paraId="6246D4BC"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基金合同终止</w:t>
      </w:r>
      <w:r w:rsidR="00936018">
        <w:rPr>
          <w:rFonts w:hint="eastAsia"/>
          <w:bCs/>
          <w:sz w:val="24"/>
        </w:rPr>
        <w:t>情形出现</w:t>
      </w:r>
      <w:r>
        <w:rPr>
          <w:rFonts w:hint="eastAsia"/>
          <w:bCs/>
          <w:sz w:val="24"/>
        </w:rPr>
        <w:t>时，由基金财产清算小组统一接管基金</w:t>
      </w:r>
      <w:r>
        <w:rPr>
          <w:rFonts w:ascii="宋体" w:hAnsi="宋体" w:hint="eastAsia"/>
          <w:sz w:val="24"/>
        </w:rPr>
        <w:t>；</w:t>
      </w:r>
    </w:p>
    <w:p w14:paraId="525C0C62"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对基金财产和债权债务进行清理和确认</w:t>
      </w:r>
      <w:r>
        <w:rPr>
          <w:rFonts w:ascii="宋体" w:hAnsi="宋体" w:hint="eastAsia"/>
          <w:sz w:val="24"/>
        </w:rPr>
        <w:t>；</w:t>
      </w:r>
    </w:p>
    <w:p w14:paraId="3053EE82"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对基金财产进行估值和变现</w:t>
      </w:r>
      <w:r>
        <w:rPr>
          <w:rFonts w:ascii="宋体" w:hAnsi="宋体" w:hint="eastAsia"/>
          <w:sz w:val="24"/>
        </w:rPr>
        <w:t>；</w:t>
      </w:r>
    </w:p>
    <w:p w14:paraId="1EF1C214"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制作清算报告</w:t>
      </w:r>
      <w:r>
        <w:rPr>
          <w:rFonts w:ascii="宋体" w:hAnsi="宋体" w:hint="eastAsia"/>
          <w:bCs/>
          <w:sz w:val="24"/>
        </w:rPr>
        <w:t>；</w:t>
      </w:r>
    </w:p>
    <w:p w14:paraId="3BAF2C5E"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聘请</w:t>
      </w:r>
      <w:r w:rsidR="00524848" w:rsidRPr="00524848">
        <w:rPr>
          <w:rFonts w:hint="eastAsia"/>
          <w:bCs/>
          <w:sz w:val="24"/>
        </w:rPr>
        <w:t>符合《中华人民共和国证券法》规定</w:t>
      </w:r>
      <w:r w:rsidR="00524848">
        <w:rPr>
          <w:rFonts w:hint="eastAsia"/>
          <w:bCs/>
          <w:sz w:val="24"/>
        </w:rPr>
        <w:t>的</w:t>
      </w:r>
      <w:r>
        <w:rPr>
          <w:rFonts w:hint="eastAsia"/>
          <w:bCs/>
          <w:sz w:val="24"/>
        </w:rPr>
        <w:t>会计师事务所对清算报告进行外部审计，聘请律师事务所</w:t>
      </w:r>
      <w:r>
        <w:rPr>
          <w:bCs/>
          <w:sz w:val="24"/>
        </w:rPr>
        <w:t>对清算报告</w:t>
      </w:r>
      <w:r>
        <w:rPr>
          <w:rFonts w:hint="eastAsia"/>
          <w:bCs/>
          <w:sz w:val="24"/>
        </w:rPr>
        <w:t>出具法律意见书</w:t>
      </w:r>
      <w:r>
        <w:rPr>
          <w:rFonts w:ascii="宋体" w:hAnsi="宋体" w:hint="eastAsia"/>
          <w:sz w:val="24"/>
        </w:rPr>
        <w:t>；</w:t>
      </w:r>
    </w:p>
    <w:p w14:paraId="4A45E757" w14:textId="77777777" w:rsidR="000A7F8D" w:rsidRDefault="000A7F8D">
      <w:pPr>
        <w:numPr>
          <w:ilvl w:val="0"/>
          <w:numId w:val="38"/>
        </w:numPr>
        <w:spacing w:line="360" w:lineRule="auto"/>
        <w:ind w:left="0" w:firstLineChars="177" w:firstLine="425"/>
        <w:rPr>
          <w:rFonts w:ascii="宋体" w:hAnsi="宋体"/>
          <w:sz w:val="24"/>
        </w:rPr>
      </w:pPr>
      <w:r>
        <w:rPr>
          <w:bCs/>
          <w:sz w:val="24"/>
        </w:rPr>
        <w:lastRenderedPageBreak/>
        <w:t>将清算报告报中国证监会备案并公告</w:t>
      </w:r>
      <w:r>
        <w:rPr>
          <w:rFonts w:hint="eastAsia"/>
          <w:bCs/>
          <w:sz w:val="24"/>
        </w:rPr>
        <w:t>；</w:t>
      </w:r>
    </w:p>
    <w:p w14:paraId="76C8E299" w14:textId="77777777" w:rsidR="000A7F8D" w:rsidRDefault="000A7F8D">
      <w:pPr>
        <w:numPr>
          <w:ilvl w:val="0"/>
          <w:numId w:val="38"/>
        </w:numPr>
        <w:spacing w:line="360" w:lineRule="auto"/>
        <w:ind w:left="0" w:firstLineChars="177" w:firstLine="425"/>
        <w:rPr>
          <w:rFonts w:ascii="宋体" w:hAnsi="宋体"/>
          <w:sz w:val="24"/>
        </w:rPr>
      </w:pPr>
      <w:r>
        <w:rPr>
          <w:rFonts w:hint="eastAsia"/>
          <w:bCs/>
          <w:sz w:val="24"/>
        </w:rPr>
        <w:t>对基金剩余财产进行分配。</w:t>
      </w:r>
    </w:p>
    <w:p w14:paraId="13A9FA4D" w14:textId="327A79F8" w:rsidR="000A7F8D" w:rsidRPr="00412DB9" w:rsidRDefault="000A7F8D">
      <w:pPr>
        <w:spacing w:line="360" w:lineRule="auto"/>
        <w:ind w:firstLineChars="200" w:firstLine="480"/>
        <w:rPr>
          <w:rFonts w:ascii="宋体" w:hAnsi="宋体"/>
          <w:sz w:val="24"/>
        </w:rPr>
      </w:pPr>
      <w:r>
        <w:rPr>
          <w:bCs/>
          <w:sz w:val="24"/>
        </w:rPr>
        <w:t>基金财产清算的期限为</w:t>
      </w:r>
      <w:r>
        <w:rPr>
          <w:rFonts w:hint="eastAsia"/>
          <w:bCs/>
          <w:sz w:val="24"/>
        </w:rPr>
        <w:t>6</w:t>
      </w:r>
      <w:r>
        <w:rPr>
          <w:bCs/>
          <w:sz w:val="24"/>
        </w:rPr>
        <w:t>个月</w:t>
      </w:r>
      <w:r>
        <w:rPr>
          <w:rFonts w:hint="eastAsia"/>
          <w:bCs/>
          <w:sz w:val="24"/>
        </w:rPr>
        <w:t>，但因本基金所持证券的流动性受到限制而不能及时变现的，清算期限相应顺延</w:t>
      </w:r>
      <w:r>
        <w:rPr>
          <w:rFonts w:ascii="宋体" w:hAnsi="宋体" w:hint="eastAsia"/>
          <w:sz w:val="24"/>
        </w:rPr>
        <w:t>。</w:t>
      </w:r>
      <w:r w:rsidR="00412DB9">
        <w:rPr>
          <w:rFonts w:ascii="宋体" w:hAnsi="宋体" w:hint="eastAsia"/>
          <w:sz w:val="24"/>
        </w:rPr>
        <w:t>基金财产清算完毕后，资产管理人应及时注销证券类账户、开放式基金账户等投资账户，在清算完毕5个工作日内向资产托管人递交账户的销户资料，资产托管人按照规定注销基金财产的资金账户。</w:t>
      </w:r>
    </w:p>
    <w:p w14:paraId="7AF4130B" w14:textId="77777777" w:rsidR="000A7F8D" w:rsidRDefault="000A7F8D">
      <w:pPr>
        <w:numPr>
          <w:ilvl w:val="0"/>
          <w:numId w:val="36"/>
        </w:numPr>
        <w:autoSpaceDE w:val="0"/>
        <w:autoSpaceDN w:val="0"/>
        <w:adjustRightInd w:val="0"/>
        <w:spacing w:line="360" w:lineRule="auto"/>
        <w:ind w:left="0" w:firstLineChars="177" w:firstLine="425"/>
        <w:jc w:val="left"/>
        <w:rPr>
          <w:rFonts w:ascii="宋体" w:hAnsi="宋体"/>
          <w:sz w:val="24"/>
        </w:rPr>
      </w:pPr>
      <w:r>
        <w:rPr>
          <w:rFonts w:ascii="宋体" w:hAnsi="宋体" w:hint="eastAsia"/>
          <w:sz w:val="24"/>
        </w:rPr>
        <w:t>清算费用</w:t>
      </w:r>
    </w:p>
    <w:p w14:paraId="008B7A3F" w14:textId="77777777" w:rsidR="000A7F8D" w:rsidRDefault="000A7F8D">
      <w:pPr>
        <w:spacing w:line="360" w:lineRule="auto"/>
        <w:ind w:firstLineChars="200" w:firstLine="480"/>
        <w:rPr>
          <w:rFonts w:ascii="宋体" w:hAnsi="宋体"/>
          <w:sz w:val="24"/>
        </w:rPr>
      </w:pPr>
      <w:r>
        <w:rPr>
          <w:rFonts w:ascii="宋体" w:hAnsi="宋体" w:hint="eastAsia"/>
          <w:sz w:val="24"/>
        </w:rPr>
        <w:t>清算费用是指基金财产清算小组在进行基金财产清算过程中发生的所有合理费用，清算费用由基金财产清算小组优先从基金剩余财产中支付。</w:t>
      </w:r>
    </w:p>
    <w:p w14:paraId="01DD7013" w14:textId="77777777" w:rsidR="000A7F8D" w:rsidRDefault="000A7F8D">
      <w:pPr>
        <w:numPr>
          <w:ilvl w:val="0"/>
          <w:numId w:val="36"/>
        </w:numPr>
        <w:autoSpaceDE w:val="0"/>
        <w:autoSpaceDN w:val="0"/>
        <w:adjustRightInd w:val="0"/>
        <w:spacing w:line="360" w:lineRule="auto"/>
        <w:ind w:left="0" w:firstLineChars="177" w:firstLine="425"/>
        <w:jc w:val="left"/>
        <w:rPr>
          <w:rFonts w:ascii="宋体" w:hAnsi="宋体"/>
          <w:sz w:val="24"/>
        </w:rPr>
      </w:pPr>
      <w:r>
        <w:rPr>
          <w:rFonts w:ascii="宋体" w:hAnsi="宋体"/>
          <w:sz w:val="24"/>
        </w:rPr>
        <w:t>基金财产清算剩余资产的分配</w:t>
      </w:r>
      <w:r>
        <w:rPr>
          <w:rFonts w:ascii="宋体" w:hAnsi="宋体" w:hint="eastAsia"/>
          <w:sz w:val="24"/>
        </w:rPr>
        <w:t>：</w:t>
      </w:r>
    </w:p>
    <w:p w14:paraId="27212A53" w14:textId="77777777" w:rsidR="000A7F8D" w:rsidRDefault="000A7F8D">
      <w:pPr>
        <w:autoSpaceDE w:val="0"/>
        <w:autoSpaceDN w:val="0"/>
        <w:adjustRightInd w:val="0"/>
        <w:spacing w:line="360" w:lineRule="auto"/>
        <w:ind w:firstLineChars="200" w:firstLine="480"/>
        <w:jc w:val="left"/>
        <w:rPr>
          <w:rFonts w:ascii="宋体" w:hAnsi="宋体"/>
          <w:sz w:val="24"/>
        </w:rPr>
      </w:pPr>
      <w:r>
        <w:rPr>
          <w:rFonts w:ascii="宋体" w:hAnsi="宋体"/>
          <w:bCs/>
          <w:sz w:val="24"/>
        </w:rPr>
        <w:t>依据基金财产清算的分配方案，将基金财产清算后的全部剩余资产扣除基金财产清算费用、交纳所欠税款并清偿基金债务后，按基金份额持有人持有的基金份额比例进行分配</w:t>
      </w:r>
      <w:r w:rsidR="00F20790" w:rsidRPr="00F20790">
        <w:rPr>
          <w:rFonts w:ascii="宋体" w:hAnsi="宋体" w:hint="eastAsia"/>
          <w:bCs/>
          <w:sz w:val="24"/>
        </w:rPr>
        <w:t>，并扣除相应的超额管理费（如涉及）</w:t>
      </w:r>
      <w:r>
        <w:rPr>
          <w:rFonts w:ascii="宋体" w:hAnsi="宋体" w:hint="eastAsia"/>
          <w:bCs/>
          <w:sz w:val="24"/>
        </w:rPr>
        <w:t>。</w:t>
      </w:r>
    </w:p>
    <w:p w14:paraId="3E617194" w14:textId="77777777" w:rsidR="000A7F8D" w:rsidRDefault="000A7F8D">
      <w:pPr>
        <w:numPr>
          <w:ilvl w:val="0"/>
          <w:numId w:val="36"/>
        </w:numPr>
        <w:autoSpaceDE w:val="0"/>
        <w:autoSpaceDN w:val="0"/>
        <w:adjustRightInd w:val="0"/>
        <w:spacing w:line="360" w:lineRule="auto"/>
        <w:ind w:left="0" w:firstLineChars="177" w:firstLine="425"/>
        <w:jc w:val="left"/>
        <w:rPr>
          <w:rFonts w:ascii="宋体" w:hAnsi="宋体"/>
          <w:sz w:val="24"/>
        </w:rPr>
      </w:pPr>
      <w:r>
        <w:rPr>
          <w:rFonts w:ascii="宋体" w:hAnsi="宋体" w:hint="eastAsia"/>
          <w:sz w:val="24"/>
        </w:rPr>
        <w:t>基金财产清算的公告</w:t>
      </w:r>
    </w:p>
    <w:p w14:paraId="3B4F0788" w14:textId="77777777" w:rsidR="000A7F8D" w:rsidRDefault="000A7F8D">
      <w:pPr>
        <w:spacing w:line="360" w:lineRule="auto"/>
        <w:ind w:firstLineChars="200" w:firstLine="480"/>
        <w:rPr>
          <w:rFonts w:ascii="宋体" w:hAnsi="宋体"/>
          <w:sz w:val="24"/>
        </w:rPr>
      </w:pPr>
      <w:r>
        <w:rPr>
          <w:sz w:val="24"/>
        </w:rPr>
        <w:t>清算过程中的有关重大事项须及时公告；基金财产清算</w:t>
      </w:r>
      <w:r>
        <w:rPr>
          <w:bCs/>
          <w:sz w:val="24"/>
        </w:rPr>
        <w:t>报告</w:t>
      </w:r>
      <w:proofErr w:type="gramStart"/>
      <w:r>
        <w:rPr>
          <w:sz w:val="24"/>
        </w:rPr>
        <w:t>经</w:t>
      </w:r>
      <w:r w:rsidR="00A054B7" w:rsidRPr="00A054B7">
        <w:rPr>
          <w:rFonts w:hint="eastAsia"/>
          <w:sz w:val="24"/>
        </w:rPr>
        <w:t>符合</w:t>
      </w:r>
      <w:proofErr w:type="gramEnd"/>
      <w:r w:rsidR="00A054B7" w:rsidRPr="00A054B7">
        <w:rPr>
          <w:rFonts w:hint="eastAsia"/>
          <w:sz w:val="24"/>
        </w:rPr>
        <w:t>《中华人民共和国证券法》规定的</w:t>
      </w:r>
      <w:r>
        <w:rPr>
          <w:sz w:val="24"/>
        </w:rPr>
        <w:t>会计师事务所审计</w:t>
      </w:r>
      <w:r>
        <w:rPr>
          <w:bCs/>
          <w:sz w:val="24"/>
        </w:rPr>
        <w:t>并由</w:t>
      </w:r>
      <w:r>
        <w:rPr>
          <w:sz w:val="24"/>
        </w:rPr>
        <w:t>律师事务所出具法律意见书后报中国证监会备案并公告。</w:t>
      </w:r>
      <w:r>
        <w:rPr>
          <w:bCs/>
          <w:sz w:val="24"/>
        </w:rPr>
        <w:t>基金财产清算公告于基金财产清算报告报中国证监会备案后</w:t>
      </w:r>
      <w:r>
        <w:rPr>
          <w:rFonts w:hint="eastAsia"/>
          <w:bCs/>
          <w:sz w:val="24"/>
        </w:rPr>
        <w:t>5</w:t>
      </w:r>
      <w:r>
        <w:rPr>
          <w:bCs/>
          <w:sz w:val="24"/>
        </w:rPr>
        <w:t>个工作日内由基金财产清算小组进行公告</w:t>
      </w:r>
      <w:r>
        <w:rPr>
          <w:rFonts w:ascii="宋体" w:hAnsi="宋体" w:hint="eastAsia"/>
          <w:sz w:val="24"/>
        </w:rPr>
        <w:t>。</w:t>
      </w:r>
      <w:r>
        <w:rPr>
          <w:rFonts w:ascii="宋体" w:hAnsi="宋体" w:hint="eastAsia"/>
          <w:bCs/>
          <w:sz w:val="24"/>
        </w:rPr>
        <w:t>基金财产清算小组应当将清算报告登载在</w:t>
      </w:r>
      <w:r w:rsidR="00175FD9">
        <w:rPr>
          <w:rFonts w:ascii="宋体" w:hAnsi="宋体" w:hint="eastAsia"/>
          <w:bCs/>
          <w:sz w:val="24"/>
        </w:rPr>
        <w:t>规定网站</w:t>
      </w:r>
      <w:r>
        <w:rPr>
          <w:rFonts w:ascii="宋体" w:hAnsi="宋体" w:hint="eastAsia"/>
          <w:bCs/>
          <w:sz w:val="24"/>
        </w:rPr>
        <w:t>上，并将清算报告提示性公告登载在</w:t>
      </w:r>
      <w:r w:rsidR="00175FD9">
        <w:rPr>
          <w:rFonts w:ascii="宋体" w:hAnsi="宋体" w:hint="eastAsia"/>
          <w:bCs/>
          <w:sz w:val="24"/>
        </w:rPr>
        <w:t>规定报刊</w:t>
      </w:r>
      <w:r>
        <w:rPr>
          <w:rFonts w:ascii="宋体" w:hAnsi="宋体" w:hint="eastAsia"/>
          <w:bCs/>
          <w:sz w:val="24"/>
        </w:rPr>
        <w:t>上</w:t>
      </w:r>
      <w:r>
        <w:rPr>
          <w:rFonts w:ascii="宋体" w:hAnsi="宋体"/>
          <w:bCs/>
          <w:sz w:val="24"/>
        </w:rPr>
        <w:t>。</w:t>
      </w:r>
    </w:p>
    <w:p w14:paraId="61E0B695" w14:textId="77777777" w:rsidR="000A7F8D" w:rsidRDefault="000A7F8D">
      <w:pPr>
        <w:numPr>
          <w:ilvl w:val="0"/>
          <w:numId w:val="36"/>
        </w:numPr>
        <w:autoSpaceDE w:val="0"/>
        <w:autoSpaceDN w:val="0"/>
        <w:adjustRightInd w:val="0"/>
        <w:spacing w:line="360" w:lineRule="auto"/>
        <w:ind w:left="0" w:firstLineChars="177" w:firstLine="425"/>
        <w:jc w:val="left"/>
        <w:rPr>
          <w:rFonts w:ascii="宋体" w:hAnsi="宋体"/>
          <w:sz w:val="24"/>
        </w:rPr>
      </w:pPr>
      <w:r>
        <w:rPr>
          <w:rFonts w:ascii="宋体" w:hAnsi="宋体" w:hint="eastAsia"/>
          <w:sz w:val="24"/>
        </w:rPr>
        <w:t>基金财产清算账册及文件的保存</w:t>
      </w:r>
    </w:p>
    <w:p w14:paraId="04C96B97" w14:textId="77777777" w:rsidR="000A7F8D" w:rsidRDefault="000A7F8D">
      <w:pPr>
        <w:spacing w:line="360" w:lineRule="auto"/>
        <w:ind w:firstLineChars="200" w:firstLine="480"/>
        <w:rPr>
          <w:rFonts w:ascii="宋体" w:hAnsi="宋体"/>
          <w:sz w:val="24"/>
        </w:rPr>
      </w:pPr>
      <w:r>
        <w:rPr>
          <w:rFonts w:ascii="宋体" w:hAnsi="宋体" w:hint="eastAsia"/>
          <w:sz w:val="24"/>
        </w:rPr>
        <w:t>基金财产清算账册及有关文件由基金托管人保存</w:t>
      </w:r>
      <w:r w:rsidR="000A46CB" w:rsidRPr="000A46CB">
        <w:rPr>
          <w:rFonts w:ascii="宋体" w:hAnsi="宋体" w:hint="eastAsia"/>
          <w:sz w:val="24"/>
        </w:rPr>
        <w:t>，保存期限不少于法定最低期限</w:t>
      </w:r>
      <w:r>
        <w:rPr>
          <w:rFonts w:ascii="宋体" w:hAnsi="宋体" w:hint="eastAsia"/>
          <w:sz w:val="24"/>
        </w:rPr>
        <w:t>。</w:t>
      </w:r>
    </w:p>
    <w:p w14:paraId="3E314431"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255" w:name="_Toc295833707"/>
      <w:bookmarkStart w:id="256" w:name="_Toc295832976"/>
      <w:bookmarkStart w:id="257" w:name="_Toc295833036"/>
      <w:bookmarkStart w:id="258" w:name="_Toc124325901"/>
      <w:bookmarkStart w:id="259" w:name="_Toc450839483"/>
      <w:bookmarkStart w:id="260" w:name="_Toc270669868"/>
      <w:bookmarkEnd w:id="255"/>
      <w:bookmarkEnd w:id="256"/>
      <w:bookmarkEnd w:id="257"/>
      <w:r>
        <w:rPr>
          <w:rFonts w:ascii="宋体" w:hAnsi="宋体" w:hint="eastAsia"/>
          <w:sz w:val="28"/>
          <w:szCs w:val="28"/>
        </w:rPr>
        <w:lastRenderedPageBreak/>
        <w:t>违约责任</w:t>
      </w:r>
      <w:bookmarkEnd w:id="258"/>
      <w:bookmarkEnd w:id="259"/>
      <w:bookmarkEnd w:id="260"/>
    </w:p>
    <w:p w14:paraId="0311D875"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w:t>
      </w:r>
      <w:r>
        <w:rPr>
          <w:rFonts w:ascii="宋体" w:hAnsi="宋体" w:cs="Arial"/>
          <w:sz w:val="24"/>
        </w:rPr>
        <w:t>基金管理人、基金托管人</w:t>
      </w:r>
      <w:r>
        <w:rPr>
          <w:rFonts w:ascii="宋体" w:hAnsi="宋体" w:cs="Arial" w:hint="eastAsia"/>
          <w:sz w:val="24"/>
        </w:rPr>
        <w:t>不</w:t>
      </w:r>
      <w:r>
        <w:rPr>
          <w:rFonts w:ascii="宋体" w:hAnsi="宋体" w:cs="Arial"/>
          <w:sz w:val="24"/>
        </w:rPr>
        <w:t>履行</w:t>
      </w:r>
      <w:r>
        <w:rPr>
          <w:rFonts w:ascii="宋体" w:hAnsi="宋体" w:cs="Arial" w:hint="eastAsia"/>
          <w:sz w:val="24"/>
        </w:rPr>
        <w:t>本协议或履行本协议不符合约定的，应当承担违约责任。</w:t>
      </w:r>
    </w:p>
    <w:p w14:paraId="5EA9AD0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w:t>
      </w:r>
      <w:r>
        <w:rPr>
          <w:rFonts w:ascii="宋体" w:hAnsi="宋体" w:cs="Arial"/>
          <w:sz w:val="24"/>
        </w:rPr>
        <w:t>基金管理人、基金托管人在履行各自职责的过程中，违反</w:t>
      </w:r>
      <w:r>
        <w:rPr>
          <w:rFonts w:ascii="宋体" w:hAnsi="宋体" w:cs="Arial" w:hint="eastAsia"/>
          <w:sz w:val="24"/>
        </w:rPr>
        <w:t>《基金法》</w:t>
      </w:r>
      <w:r>
        <w:rPr>
          <w:rFonts w:ascii="宋体" w:hAnsi="宋体" w:cs="Arial"/>
          <w:sz w:val="24"/>
        </w:rPr>
        <w:t>或者</w:t>
      </w:r>
      <w:r>
        <w:rPr>
          <w:rFonts w:ascii="宋体" w:hAnsi="宋体" w:cs="Arial" w:hint="eastAsia"/>
          <w:sz w:val="24"/>
        </w:rPr>
        <w:t>基金合同和本托管协议</w:t>
      </w:r>
      <w:r>
        <w:rPr>
          <w:rFonts w:ascii="宋体" w:hAnsi="宋体" w:cs="Arial"/>
          <w:sz w:val="24"/>
        </w:rPr>
        <w:t>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bCs/>
          <w:sz w:val="24"/>
        </w:rPr>
        <w:t>对损失的赔偿，仅限于直接损失。</w:t>
      </w:r>
    </w:p>
    <w:p w14:paraId="2E5F21E3"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当事人可以免责：</w:t>
      </w:r>
    </w:p>
    <w:p w14:paraId="12A3CB1F" w14:textId="77777777" w:rsidR="000A7F8D" w:rsidRDefault="000A7F8D">
      <w:pPr>
        <w:spacing w:line="360" w:lineRule="auto"/>
        <w:ind w:firstLineChars="200" w:firstLine="480"/>
        <w:rPr>
          <w:bCs/>
          <w:sz w:val="24"/>
        </w:rPr>
      </w:pPr>
      <w:r>
        <w:rPr>
          <w:rFonts w:hint="eastAsia"/>
          <w:bCs/>
          <w:sz w:val="24"/>
        </w:rPr>
        <w:t>1</w:t>
      </w:r>
      <w:r>
        <w:rPr>
          <w:rFonts w:hint="eastAsia"/>
          <w:bCs/>
          <w:sz w:val="24"/>
        </w:rPr>
        <w:t>、不可抗力；</w:t>
      </w:r>
    </w:p>
    <w:p w14:paraId="30B42CF2" w14:textId="77777777" w:rsidR="000A7F8D" w:rsidRDefault="000A7F8D">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0B2CFABC" w14:textId="77777777" w:rsidR="000A7F8D" w:rsidRPr="009E3F1A" w:rsidRDefault="000A7F8D" w:rsidP="002D40B3">
      <w:pPr>
        <w:spacing w:line="360" w:lineRule="auto"/>
        <w:ind w:firstLineChars="200" w:firstLine="480"/>
      </w:pPr>
      <w:r>
        <w:rPr>
          <w:rFonts w:hint="eastAsia"/>
          <w:bCs/>
          <w:sz w:val="24"/>
        </w:rPr>
        <w:t>3</w:t>
      </w:r>
      <w:r>
        <w:rPr>
          <w:rFonts w:hint="eastAsia"/>
          <w:bCs/>
          <w:sz w:val="24"/>
        </w:rPr>
        <w:t>、基金管理人由于按照基金合同规定的投资原则</w:t>
      </w:r>
      <w:r w:rsidR="00B30F07" w:rsidRPr="00B30F07">
        <w:rPr>
          <w:rFonts w:hint="eastAsia"/>
          <w:bCs/>
          <w:sz w:val="24"/>
        </w:rPr>
        <w:t>行使或不行使其投资权</w:t>
      </w:r>
      <w:r w:rsidR="00B30F07">
        <w:rPr>
          <w:rFonts w:hint="eastAsia"/>
          <w:bCs/>
          <w:sz w:val="24"/>
        </w:rPr>
        <w:t>而</w:t>
      </w:r>
      <w:r>
        <w:rPr>
          <w:rFonts w:hint="eastAsia"/>
          <w:bCs/>
          <w:sz w:val="24"/>
        </w:rPr>
        <w:t>造成的损失等。</w:t>
      </w:r>
    </w:p>
    <w:p w14:paraId="579BC853" w14:textId="77777777" w:rsidR="00412DB9" w:rsidRDefault="00412DB9" w:rsidP="00412DB9">
      <w:pPr>
        <w:spacing w:line="360" w:lineRule="auto"/>
        <w:ind w:firstLineChars="200" w:firstLine="480"/>
        <w:rPr>
          <w:bCs/>
          <w:sz w:val="24"/>
        </w:rPr>
      </w:pPr>
      <w:r>
        <w:rPr>
          <w:bCs/>
          <w:sz w:val="24"/>
        </w:rPr>
        <w:t>4</w:t>
      </w:r>
      <w:r>
        <w:rPr>
          <w:rFonts w:hint="eastAsia"/>
          <w:bCs/>
          <w:sz w:val="24"/>
        </w:rPr>
        <w:t>、非因基金管理人、基金托管人的故意或重大过失造成的计算机系统故障、网络故障、通讯故障、电力故障、计算机病毒攻击及其它意外事故所导致的损失等；</w:t>
      </w:r>
    </w:p>
    <w:p w14:paraId="0E6103AE" w14:textId="77777777" w:rsidR="00412DB9" w:rsidRPr="009E3F1A" w:rsidRDefault="00412DB9" w:rsidP="00412DB9">
      <w:pPr>
        <w:spacing w:line="360" w:lineRule="auto"/>
        <w:ind w:firstLineChars="200" w:firstLine="480"/>
        <w:rPr>
          <w:rStyle w:val="read"/>
          <w:sz w:val="24"/>
        </w:rPr>
      </w:pPr>
      <w:r>
        <w:rPr>
          <w:bCs/>
          <w:sz w:val="24"/>
        </w:rPr>
        <w:t>5</w:t>
      </w:r>
      <w:r>
        <w:rPr>
          <w:rFonts w:hint="eastAsia"/>
          <w:bCs/>
          <w:sz w:val="24"/>
        </w:rPr>
        <w:t>、基金托管人对存放或存管在基金托管人以外机构的基金资产，或交由证券公司、期货公司等其他机构负责清算交收的基金资产（包括但不限于期货保证金账户内的资金、期货合约等）及其收益，由于该机构欺诈、故意、疏忽、过失或破产等原因给本基金资产造成的损失等。</w:t>
      </w:r>
    </w:p>
    <w:p w14:paraId="3AD6D06D"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（四）一方当事人违约，另一方当事人在职责范围内有义务及时采取必要的措施，尽力防止损失的扩大。</w:t>
      </w:r>
      <w:r>
        <w:rPr>
          <w:sz w:val="24"/>
        </w:rPr>
        <w:t>没有采取适当措施致使损失扩大的，不得就扩大的损失要求赔偿。</w:t>
      </w:r>
      <w:r>
        <w:rPr>
          <w:rFonts w:hint="eastAsia"/>
          <w:sz w:val="24"/>
        </w:rPr>
        <w:t>非违</w:t>
      </w:r>
      <w:r>
        <w:rPr>
          <w:sz w:val="24"/>
        </w:rPr>
        <w:t>约方因防止损失扩大而支出的合理费用由违约方承担。</w:t>
      </w:r>
    </w:p>
    <w:p w14:paraId="5E06B18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（五）违约行为虽已发生，但本托管协议能够继续履行的，在最大限度地保护基金份额持有人利益的前提下，基金管理人和基金托管人应当继续履行本托管协议。</w:t>
      </w:r>
    </w:p>
    <w:p w14:paraId="41D4556A"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（六）由于基金管理人、基金托管人不可控制的因素导致业务出现差错，基</w:t>
      </w:r>
      <w:r>
        <w:rPr>
          <w:rFonts w:ascii="宋体" w:hAnsi="宋体" w:cs="Arial" w:hint="eastAsia"/>
          <w:sz w:val="24"/>
        </w:rPr>
        <w:lastRenderedPageBreak/>
        <w:t>金管理人和基金托管人虽然已经采取必要、适当、合理的措施进行检查，但是未能发现错误</w:t>
      </w:r>
      <w:r w:rsidR="0039693F" w:rsidRPr="0039693F">
        <w:rPr>
          <w:rFonts w:ascii="宋体" w:hAnsi="宋体" w:cs="Arial" w:hint="eastAsia"/>
          <w:sz w:val="24"/>
        </w:rPr>
        <w:t>或虽然发现但因前述原因而无法更正</w:t>
      </w:r>
      <w:r>
        <w:rPr>
          <w:rFonts w:ascii="宋体" w:hAnsi="宋体" w:cs="Arial" w:hint="eastAsia"/>
          <w:sz w:val="24"/>
        </w:rPr>
        <w:t>的，由此造成基金财产或投资人损失，基金管理人和基金托管人免除赔偿责任。但是基金管理人和基金托管人应积极采取必要的措施消除或减轻由此造成的影响。</w:t>
      </w:r>
    </w:p>
    <w:p w14:paraId="09DD9C27" w14:textId="77777777" w:rsidR="000A7F8D" w:rsidRDefault="000A7F8D">
      <w:pPr>
        <w:adjustRightInd w:val="0"/>
        <w:snapToGrid w:val="0"/>
        <w:spacing w:line="360" w:lineRule="auto"/>
        <w:ind w:firstLineChars="200" w:firstLine="480"/>
        <w:rPr>
          <w:rFonts w:ascii="宋体" w:hAnsi="宋体" w:cs="Arial"/>
          <w:sz w:val="24"/>
        </w:rPr>
      </w:pPr>
    </w:p>
    <w:p w14:paraId="15BC3313"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261" w:name="_Toc295833709"/>
      <w:bookmarkStart w:id="262" w:name="_Toc295832978"/>
      <w:bookmarkStart w:id="263" w:name="_Toc295833038"/>
      <w:bookmarkStart w:id="264" w:name="_Toc270669869"/>
      <w:bookmarkStart w:id="265" w:name="_Toc450839484"/>
      <w:bookmarkStart w:id="266" w:name="_Toc124325902"/>
      <w:bookmarkEnd w:id="261"/>
      <w:bookmarkEnd w:id="262"/>
      <w:bookmarkEnd w:id="263"/>
      <w:r>
        <w:rPr>
          <w:rFonts w:ascii="宋体" w:hAnsi="宋体" w:hint="eastAsia"/>
          <w:sz w:val="28"/>
          <w:szCs w:val="28"/>
        </w:rPr>
        <w:lastRenderedPageBreak/>
        <w:t>争议解决方式</w:t>
      </w:r>
      <w:bookmarkEnd w:id="264"/>
      <w:bookmarkEnd w:id="265"/>
      <w:bookmarkEnd w:id="266"/>
    </w:p>
    <w:p w14:paraId="70002E8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因本托管协议产生或与之相关的争议，双方当事人应通过协商、调解解决，协商、调解不能解决的，</w:t>
      </w:r>
      <w:r>
        <w:rPr>
          <w:rFonts w:hint="eastAsia"/>
          <w:bCs/>
          <w:sz w:val="24"/>
        </w:rPr>
        <w:t>任何一方均有权将争议提交</w:t>
      </w:r>
      <w:bookmarkStart w:id="267" w:name="_Hlk207099494"/>
      <w:bookmarkStart w:id="268" w:name="_Hlk207802980"/>
      <w:r>
        <w:rPr>
          <w:rFonts w:hint="eastAsia"/>
          <w:sz w:val="24"/>
        </w:rPr>
        <w:t>中国</w:t>
      </w:r>
      <w:r>
        <w:rPr>
          <w:sz w:val="24"/>
        </w:rPr>
        <w:t>国际经济贸易仲裁委员会</w:t>
      </w:r>
      <w:bookmarkEnd w:id="267"/>
      <w:r>
        <w:rPr>
          <w:rFonts w:hint="eastAsia"/>
          <w:bCs/>
          <w:sz w:val="24"/>
        </w:rPr>
        <w:t>，按照该会届时有效的仲裁规则进行仲裁。仲裁地点为北京市</w:t>
      </w:r>
      <w:bookmarkEnd w:id="268"/>
      <w:r>
        <w:rPr>
          <w:rFonts w:hint="eastAsia"/>
          <w:bCs/>
          <w:sz w:val="24"/>
        </w:rPr>
        <w:t>。仲裁裁决是终局的，对</w:t>
      </w:r>
      <w:r w:rsidR="00821B25">
        <w:rPr>
          <w:rFonts w:hint="eastAsia"/>
          <w:bCs/>
          <w:sz w:val="24"/>
        </w:rPr>
        <w:t>双方</w:t>
      </w:r>
      <w:r>
        <w:rPr>
          <w:rFonts w:hint="eastAsia"/>
          <w:bCs/>
          <w:sz w:val="24"/>
        </w:rPr>
        <w:t>当事人均有约束力</w:t>
      </w:r>
      <w:r w:rsidR="005C3CE3" w:rsidRPr="005C3CE3">
        <w:rPr>
          <w:rFonts w:hint="eastAsia"/>
          <w:bCs/>
          <w:sz w:val="24"/>
        </w:rPr>
        <w:t>。除非仲裁裁决另有决定</w:t>
      </w:r>
      <w:r>
        <w:rPr>
          <w:rFonts w:hint="eastAsia"/>
          <w:bCs/>
          <w:sz w:val="24"/>
        </w:rPr>
        <w:t>，仲裁费、律师费用由败诉方承担。</w:t>
      </w:r>
    </w:p>
    <w:p w14:paraId="5204D318"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争议处理期间，本托管协议双方当事人应恪守基金管理人和基金托管人职责，各自继续忠实、勤勉、尽责地履行基金合同和本托管协议规定的义务，维护基金份额持有人的合法权益。</w:t>
      </w:r>
    </w:p>
    <w:p w14:paraId="1E231D75" w14:textId="1F63E4DE"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本协议受中国法律</w:t>
      </w:r>
      <w:r w:rsidR="005C3CE3" w:rsidRPr="005C3CE3">
        <w:rPr>
          <w:rFonts w:ascii="宋体" w:hAnsi="宋体" w:cs="Arial" w:hint="eastAsia"/>
          <w:sz w:val="24"/>
        </w:rPr>
        <w:t>（为本</w:t>
      </w:r>
      <w:r w:rsidR="005C3CE3">
        <w:rPr>
          <w:rFonts w:ascii="宋体" w:hAnsi="宋体" w:cs="Arial" w:hint="eastAsia"/>
          <w:sz w:val="24"/>
        </w:rPr>
        <w:t>托管协议</w:t>
      </w:r>
      <w:r w:rsidR="005C3CE3" w:rsidRPr="005C3CE3">
        <w:rPr>
          <w:rFonts w:ascii="宋体" w:hAnsi="宋体" w:cs="Arial" w:hint="eastAsia"/>
          <w:sz w:val="24"/>
        </w:rPr>
        <w:t>之目的，在此不包括香港特别行政区、澳门特别行政区和台湾地区有关规定）</w:t>
      </w:r>
      <w:r>
        <w:rPr>
          <w:rFonts w:ascii="宋体" w:hAnsi="宋体" w:cs="Arial" w:hint="eastAsia"/>
          <w:sz w:val="24"/>
        </w:rPr>
        <w:t>管辖。</w:t>
      </w:r>
    </w:p>
    <w:p w14:paraId="442DCDE5" w14:textId="77777777" w:rsidR="000A7F8D" w:rsidRDefault="000A7F8D">
      <w:pPr>
        <w:adjustRightInd w:val="0"/>
        <w:snapToGrid w:val="0"/>
        <w:spacing w:line="360" w:lineRule="auto"/>
        <w:ind w:firstLineChars="200" w:firstLine="480"/>
        <w:rPr>
          <w:rFonts w:ascii="宋体" w:hAnsi="宋体" w:cs="Arial"/>
          <w:sz w:val="24"/>
        </w:rPr>
      </w:pPr>
    </w:p>
    <w:p w14:paraId="2C40B378"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269" w:name="_Toc295833040"/>
      <w:bookmarkStart w:id="270" w:name="_Toc295833711"/>
      <w:bookmarkStart w:id="271" w:name="_Toc295832980"/>
      <w:bookmarkStart w:id="272" w:name="_Toc270669870"/>
      <w:bookmarkStart w:id="273" w:name="_Toc450839485"/>
      <w:bookmarkStart w:id="274" w:name="_Toc124325903"/>
      <w:bookmarkEnd w:id="269"/>
      <w:bookmarkEnd w:id="270"/>
      <w:bookmarkEnd w:id="271"/>
      <w:r>
        <w:rPr>
          <w:rFonts w:ascii="宋体" w:hAnsi="宋体" w:hint="eastAsia"/>
          <w:sz w:val="28"/>
          <w:szCs w:val="28"/>
        </w:rPr>
        <w:lastRenderedPageBreak/>
        <w:t>托管协议的效力</w:t>
      </w:r>
      <w:bookmarkEnd w:id="272"/>
      <w:bookmarkEnd w:id="273"/>
      <w:bookmarkEnd w:id="274"/>
    </w:p>
    <w:p w14:paraId="4931BDF0"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双方对托管协议的效力约定如下：</w:t>
      </w:r>
    </w:p>
    <w:p w14:paraId="145074A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人在向中国证监会申请发售基金份额时提交的托管协议草案，应经托管协议当事人双方盖章以及双方法定代表人或授权代表签字或签章，协议当事人双方根据中国证监会的意见修改托管协议草案。托管协议以经中国证监会注册的文本为正式文本。</w:t>
      </w:r>
    </w:p>
    <w:p w14:paraId="6D973986"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（二）托管协议</w:t>
      </w:r>
      <w:r w:rsidR="00412DB9">
        <w:rPr>
          <w:rFonts w:ascii="宋体" w:hAnsi="宋体" w:cs="Arial" w:hint="eastAsia"/>
          <w:sz w:val="24"/>
        </w:rPr>
        <w:t>应由基金管理人、基金托管人法定代表人或授权代表签字或盖章并加盖双方公章/合同专用章，并</w:t>
      </w:r>
      <w:r>
        <w:rPr>
          <w:rFonts w:ascii="宋体" w:hAnsi="宋体" w:cs="Arial" w:hint="eastAsia"/>
          <w:sz w:val="24"/>
        </w:rPr>
        <w:t>自</w:t>
      </w:r>
      <w:r w:rsidR="00417B68">
        <w:rPr>
          <w:rFonts w:ascii="宋体" w:hAnsi="宋体" w:cs="Arial" w:hint="eastAsia"/>
          <w:sz w:val="24"/>
        </w:rPr>
        <w:t>基金合同成立</w:t>
      </w:r>
      <w:r>
        <w:rPr>
          <w:rFonts w:ascii="宋体" w:hAnsi="宋体" w:cs="Arial" w:hint="eastAsia"/>
          <w:sz w:val="24"/>
        </w:rPr>
        <w:t>之日起成立，自基金合同生效之日起生效。托管协议的有效期自其生效之日起至基金财产清算结果报中国证监会备案并公告之日止。</w:t>
      </w:r>
    </w:p>
    <w:p w14:paraId="5D86BF3E"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（三）托管协议自生效之日起对托管协议当事人具有同等的法律约束力。</w:t>
      </w:r>
    </w:p>
    <w:p w14:paraId="15638737"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（四）本托管协议一式三份，协议双方各持一份，上报监管部门一份，每份具有同等的法律效力。</w:t>
      </w:r>
    </w:p>
    <w:p w14:paraId="26470CB8" w14:textId="77777777" w:rsidR="000A7F8D" w:rsidRDefault="000A7F8D">
      <w:pPr>
        <w:adjustRightInd w:val="0"/>
        <w:snapToGrid w:val="0"/>
        <w:spacing w:line="360" w:lineRule="auto"/>
        <w:ind w:firstLineChars="200" w:firstLine="480"/>
        <w:rPr>
          <w:rFonts w:ascii="宋体" w:hAnsi="宋体"/>
          <w:sz w:val="24"/>
        </w:rPr>
      </w:pPr>
    </w:p>
    <w:p w14:paraId="0EBFAA1E" w14:textId="77777777" w:rsidR="000A7F8D" w:rsidRDefault="000A7F8D">
      <w:pPr>
        <w:pStyle w:val="1"/>
        <w:numPr>
          <w:ilvl w:val="0"/>
          <w:numId w:val="1"/>
        </w:numPr>
        <w:spacing w:line="360" w:lineRule="auto"/>
        <w:jc w:val="center"/>
        <w:rPr>
          <w:rFonts w:ascii="宋体" w:hAnsi="宋体"/>
          <w:sz w:val="28"/>
          <w:szCs w:val="28"/>
        </w:rPr>
      </w:pPr>
      <w:r>
        <w:rPr>
          <w:rFonts w:ascii="宋体" w:hAnsi="宋体" w:cs="Arial"/>
          <w:sz w:val="24"/>
          <w:szCs w:val="24"/>
        </w:rPr>
        <w:br w:type="page"/>
      </w:r>
      <w:bookmarkStart w:id="275" w:name="_Toc295832982"/>
      <w:bookmarkStart w:id="276" w:name="_Toc295833713"/>
      <w:bookmarkStart w:id="277" w:name="_Toc295833042"/>
      <w:bookmarkStart w:id="278" w:name="_Toc270669871"/>
      <w:bookmarkStart w:id="279" w:name="_Toc450839486"/>
      <w:bookmarkStart w:id="280" w:name="_Toc124325904"/>
      <w:bookmarkEnd w:id="275"/>
      <w:bookmarkEnd w:id="276"/>
      <w:bookmarkEnd w:id="277"/>
      <w:r>
        <w:rPr>
          <w:rFonts w:ascii="宋体" w:hAnsi="宋体" w:hint="eastAsia"/>
          <w:sz w:val="28"/>
          <w:szCs w:val="28"/>
        </w:rPr>
        <w:lastRenderedPageBreak/>
        <w:t>其他事项</w:t>
      </w:r>
      <w:bookmarkEnd w:id="278"/>
      <w:bookmarkEnd w:id="279"/>
      <w:bookmarkEnd w:id="280"/>
    </w:p>
    <w:p w14:paraId="69EDE802" w14:textId="77777777" w:rsidR="000A7F8D" w:rsidRDefault="000A7F8D">
      <w:pPr>
        <w:adjustRightInd w:val="0"/>
        <w:snapToGrid w:val="0"/>
        <w:spacing w:line="360" w:lineRule="auto"/>
        <w:ind w:firstLineChars="200" w:firstLine="480"/>
        <w:rPr>
          <w:rFonts w:ascii="宋体" w:hAnsi="宋体" w:cs="Arial"/>
          <w:sz w:val="24"/>
        </w:rPr>
      </w:pPr>
      <w:r>
        <w:rPr>
          <w:rFonts w:ascii="宋体" w:hAnsi="宋体" w:cs="Arial" w:hint="eastAsia"/>
          <w:sz w:val="24"/>
        </w:rPr>
        <w:t>如发生有权司法机关依法冻结基金份额持有人的基金份额时，基金管理人应予以配合，承担司法协助义务。</w:t>
      </w:r>
    </w:p>
    <w:p w14:paraId="66EA8DE2" w14:textId="77777777" w:rsidR="000A7F8D" w:rsidRDefault="000A7F8D">
      <w:pPr>
        <w:snapToGrid w:val="0"/>
        <w:spacing w:line="360" w:lineRule="auto"/>
        <w:ind w:right="26" w:firstLineChars="200" w:firstLine="480"/>
        <w:rPr>
          <w:rFonts w:ascii="宋体" w:hAnsi="宋体" w:cs="Arial"/>
          <w:sz w:val="24"/>
        </w:rPr>
      </w:pPr>
      <w:r>
        <w:rPr>
          <w:rFonts w:ascii="宋体" w:hAnsi="宋体" w:cs="Arial" w:hint="eastAsia"/>
          <w:sz w:val="24"/>
        </w:rPr>
        <w:t>除本协议有明确定义外，本协议的用语定义适用基金合同的约定。本协议未尽事宜，当事人依据基金合同、有关法律法规等规定协商办理。</w:t>
      </w:r>
      <w:bookmarkStart w:id="281" w:name="_Toc295832984"/>
      <w:bookmarkStart w:id="282" w:name="_Toc295833716"/>
      <w:bookmarkStart w:id="283" w:name="_Toc295832985"/>
      <w:bookmarkStart w:id="284" w:name="_Toc295833044"/>
      <w:bookmarkStart w:id="285" w:name="_Toc295833717"/>
      <w:bookmarkStart w:id="286" w:name="_Toc295833715"/>
      <w:bookmarkStart w:id="287" w:name="_Toc295833045"/>
      <w:bookmarkStart w:id="288" w:name="_Toc295833046"/>
      <w:bookmarkStart w:id="289" w:name="_Toc295832986"/>
      <w:bookmarkEnd w:id="281"/>
      <w:bookmarkEnd w:id="282"/>
      <w:bookmarkEnd w:id="283"/>
      <w:bookmarkEnd w:id="284"/>
      <w:bookmarkEnd w:id="285"/>
      <w:bookmarkEnd w:id="286"/>
      <w:bookmarkEnd w:id="287"/>
      <w:bookmarkEnd w:id="288"/>
      <w:bookmarkEnd w:id="289"/>
    </w:p>
    <w:p w14:paraId="4F520C4A" w14:textId="77777777" w:rsidR="000A7F8D" w:rsidRDefault="000A7F8D">
      <w:pPr>
        <w:snapToGrid w:val="0"/>
        <w:spacing w:line="360" w:lineRule="auto"/>
        <w:ind w:right="26" w:firstLineChars="200" w:firstLine="480"/>
        <w:rPr>
          <w:sz w:val="24"/>
        </w:rPr>
        <w:sectPr w:rsidR="000A7F8D">
          <w:headerReference w:type="default" r:id="rId8"/>
          <w:footerReference w:type="default" r:id="rId9"/>
          <w:type w:val="continuous"/>
          <w:pgSz w:w="11906" w:h="16838"/>
          <w:pgMar w:top="1440" w:right="1800" w:bottom="1440" w:left="1800" w:header="851" w:footer="992" w:gutter="0"/>
          <w:pgNumType w:start="0"/>
          <w:cols w:space="720"/>
          <w:docGrid w:type="lines" w:linePitch="312"/>
        </w:sectPr>
      </w:pPr>
    </w:p>
    <w:p w14:paraId="19AE5005" w14:textId="77777777" w:rsidR="000A7F8D" w:rsidRDefault="000A7F8D">
      <w:pPr>
        <w:snapToGrid w:val="0"/>
        <w:spacing w:line="360" w:lineRule="auto"/>
        <w:ind w:right="26" w:firstLineChars="200" w:firstLine="480"/>
        <w:rPr>
          <w:rFonts w:ascii="宋体" w:hAnsi="宋体"/>
          <w:sz w:val="24"/>
        </w:rPr>
      </w:pPr>
    </w:p>
    <w:p w14:paraId="4F40A130" w14:textId="4C5E8474" w:rsidR="000A7F8D" w:rsidRDefault="000A7F8D">
      <w:pPr>
        <w:snapToGrid w:val="0"/>
        <w:spacing w:line="360" w:lineRule="auto"/>
        <w:ind w:right="26"/>
        <w:rPr>
          <w:rFonts w:ascii="宋体" w:hAnsi="宋体"/>
          <w:sz w:val="24"/>
        </w:rPr>
        <w:sectPr w:rsidR="000A7F8D">
          <w:headerReference w:type="default" r:id="rId10"/>
          <w:footerReference w:type="default" r:id="rId11"/>
          <w:type w:val="continuous"/>
          <w:pgSz w:w="11906" w:h="16838"/>
          <w:pgMar w:top="1440" w:right="1800" w:bottom="1440" w:left="1800" w:header="851" w:footer="992" w:gutter="0"/>
          <w:pgNumType w:start="1"/>
          <w:cols w:space="720"/>
          <w:docGrid w:type="lines" w:linePitch="312"/>
        </w:sectPr>
      </w:pPr>
    </w:p>
    <w:p w14:paraId="6B05AD73" w14:textId="7AB9FE52" w:rsidR="000A7F8D" w:rsidRDefault="000A7F8D">
      <w:pPr>
        <w:snapToGrid w:val="0"/>
        <w:spacing w:line="360" w:lineRule="auto"/>
        <w:ind w:right="26"/>
      </w:pPr>
    </w:p>
    <w:sectPr w:rsidR="000A7F8D">
      <w:headerReference w:type="default" r:id="rId12"/>
      <w:footerReference w:type="default" r:id="rId13"/>
      <w:type w:val="continuous"/>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8F6DB" w14:textId="77777777" w:rsidR="00524C70" w:rsidRDefault="00524C70">
      <w:r>
        <w:separator/>
      </w:r>
    </w:p>
  </w:endnote>
  <w:endnote w:type="continuationSeparator" w:id="0">
    <w:p w14:paraId="11621B38" w14:textId="77777777" w:rsidR="00524C70" w:rsidRDefault="00524C70">
      <w:r>
        <w:continuationSeparator/>
      </w:r>
    </w:p>
  </w:endnote>
  <w:endnote w:type="continuationNotice" w:id="1">
    <w:p w14:paraId="4E85FD52" w14:textId="77777777" w:rsidR="00524C70" w:rsidRDefault="00524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微软雅黑"/>
    <w:charset w:val="00"/>
    <w:family w:val="swiss"/>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96B16" w14:textId="77777777" w:rsidR="000A7F8D" w:rsidRDefault="000A7F8D">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AD20" w14:textId="77777777" w:rsidR="000A7F8D" w:rsidRDefault="000A7F8D">
    <w:pPr>
      <w:pStyle w:val="a9"/>
      <w:jc w:val="center"/>
    </w:pPr>
    <w:r>
      <w:t>4-</w:t>
    </w:r>
    <w:r>
      <w:fldChar w:fldCharType="begin"/>
    </w:r>
    <w:r>
      <w:instrText xml:space="preserve"> PAGE   \* MERGEFORMAT </w:instrText>
    </w:r>
    <w:r>
      <w:fldChar w:fldCharType="separate"/>
    </w:r>
    <w:r w:rsidR="00F61A2A" w:rsidRPr="00F61A2A">
      <w:rPr>
        <w:noProof/>
        <w:lang w:val="zh-CN"/>
      </w:rPr>
      <w:t>14</w:t>
    </w:r>
    <w:r>
      <w:rPr>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EF192" w14:textId="77777777" w:rsidR="000A7F8D" w:rsidRDefault="000A7F8D">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1692" w14:textId="77777777" w:rsidR="000A7F8D" w:rsidRDefault="000A7F8D">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6A27F" w14:textId="77777777" w:rsidR="00524C70" w:rsidRDefault="00524C70">
      <w:r>
        <w:separator/>
      </w:r>
    </w:p>
  </w:footnote>
  <w:footnote w:type="continuationSeparator" w:id="0">
    <w:p w14:paraId="5B858F8C" w14:textId="77777777" w:rsidR="00524C70" w:rsidRDefault="00524C70">
      <w:r>
        <w:continuationSeparator/>
      </w:r>
    </w:p>
  </w:footnote>
  <w:footnote w:type="continuationNotice" w:id="1">
    <w:p w14:paraId="232BF1C5" w14:textId="77777777" w:rsidR="00524C70" w:rsidRDefault="00524C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70ECC" w14:textId="50B839E3" w:rsidR="000A7F8D" w:rsidRDefault="00E2605A">
    <w:pPr>
      <w:pStyle w:val="aa"/>
      <w:tabs>
        <w:tab w:val="clear" w:pos="4153"/>
        <w:tab w:val="clear" w:pos="8306"/>
        <w:tab w:val="center" w:pos="4252"/>
        <w:tab w:val="right" w:pos="8504"/>
      </w:tabs>
      <w:jc w:val="both"/>
      <w:rPr>
        <w:rFonts w:ascii="宋体" w:hAnsi="宋体"/>
      </w:rPr>
    </w:pPr>
    <w:r>
      <w:rPr>
        <w:rFonts w:ascii="宋体" w:hAnsi="宋体" w:hint="eastAsia"/>
      </w:rPr>
      <w:t>中欧</w:t>
    </w:r>
    <w:proofErr w:type="gramStart"/>
    <w:r>
      <w:rPr>
        <w:rFonts w:ascii="宋体" w:hAnsi="宋体" w:hint="eastAsia"/>
      </w:rPr>
      <w:t>价值</w:t>
    </w:r>
    <w:r w:rsidR="002D40B3">
      <w:rPr>
        <w:rFonts w:ascii="宋体" w:hAnsi="宋体" w:hint="eastAsia"/>
      </w:rPr>
      <w:t>裕享</w:t>
    </w:r>
    <w:r>
      <w:rPr>
        <w:rFonts w:ascii="宋体" w:hAnsi="宋体" w:hint="eastAsia"/>
      </w:rPr>
      <w:t>混合</w:t>
    </w:r>
    <w:r w:rsidR="000A7F8D">
      <w:rPr>
        <w:rFonts w:ascii="宋体" w:hAnsi="宋体" w:hint="eastAsia"/>
      </w:rPr>
      <w:t>型</w:t>
    </w:r>
    <w:proofErr w:type="gramEnd"/>
    <w:r w:rsidR="000A7F8D">
      <w:rPr>
        <w:rFonts w:ascii="宋体" w:hAnsi="宋体" w:hint="eastAsia"/>
      </w:rPr>
      <w:t>证券投资基金</w:t>
    </w:r>
    <w:r w:rsidR="000A7F8D">
      <w:rPr>
        <w:rFonts w:ascii="宋体" w:hAnsi="宋体"/>
      </w:rPr>
      <w:tab/>
    </w:r>
    <w:r w:rsidR="000A7F8D">
      <w:rPr>
        <w:rFonts w:ascii="宋体" w:hAnsi="宋体" w:hint="eastAsia"/>
      </w:rPr>
      <w:tab/>
      <w:t>托管协议</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BDB7" w14:textId="77777777" w:rsidR="000A7F8D" w:rsidRDefault="000A7F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3313" w14:textId="77777777" w:rsidR="000A7F8D" w:rsidRDefault="000A7F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000000D"/>
    <w:multiLevelType w:val="multilevel"/>
    <w:tmpl w:val="0000000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000000E"/>
    <w:multiLevelType w:val="multilevel"/>
    <w:tmpl w:val="0000000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0000000F"/>
    <w:multiLevelType w:val="multilevel"/>
    <w:tmpl w:val="0000000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00000010"/>
    <w:multiLevelType w:val="multilevel"/>
    <w:tmpl w:val="0000001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00000012"/>
    <w:multiLevelType w:val="multilevel"/>
    <w:tmpl w:val="0000001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00000013"/>
    <w:multiLevelType w:val="multilevel"/>
    <w:tmpl w:val="0000001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00000014"/>
    <w:multiLevelType w:val="multilevel"/>
    <w:tmpl w:val="0000001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00000016"/>
    <w:multiLevelType w:val="multilevel"/>
    <w:tmpl w:val="0000001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00000017"/>
    <w:multiLevelType w:val="multilevel"/>
    <w:tmpl w:val="0000001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00000018"/>
    <w:multiLevelType w:val="multilevel"/>
    <w:tmpl w:val="00000018"/>
    <w:lvl w:ilvl="0">
      <w:start w:val="1"/>
      <w:numFmt w:val="chineseCountingThousand"/>
      <w:lvlText w:val="%1、"/>
      <w:lvlJc w:val="left"/>
      <w:pPr>
        <w:ind w:left="420" w:hanging="420"/>
      </w:pPr>
      <w:rPr>
        <w:sz w:val="28"/>
        <w:szCs w:val="28"/>
      </w:rPr>
    </w:lvl>
    <w:lvl w:ilvl="1">
      <w:start w:val="1"/>
      <w:numFmt w:val="decimal"/>
      <w:lvlText w:val="%2."/>
      <w:lvlJc w:val="left"/>
      <w:pPr>
        <w:tabs>
          <w:tab w:val="num" w:pos="840"/>
        </w:tabs>
        <w:ind w:left="840" w:hanging="420"/>
      </w:pPr>
      <w:rPr>
        <w:b w:val="0"/>
        <w:sz w:val="24"/>
        <w:szCs w:val="28"/>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00000019"/>
    <w:multiLevelType w:val="multilevel"/>
    <w:tmpl w:val="0000001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0000001A"/>
    <w:multiLevelType w:val="multilevel"/>
    <w:tmpl w:val="0000001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0000001B"/>
    <w:multiLevelType w:val="multilevel"/>
    <w:tmpl w:val="0000001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0000001C"/>
    <w:multiLevelType w:val="multilevel"/>
    <w:tmpl w:val="0000001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0000001D"/>
    <w:multiLevelType w:val="multilevel"/>
    <w:tmpl w:val="0000001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0000001F"/>
    <w:multiLevelType w:val="multilevel"/>
    <w:tmpl w:val="0000001F"/>
    <w:lvl w:ilvl="0">
      <w:start w:val="1"/>
      <w:numFmt w:val="decimal"/>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7" w15:restartNumberingAfterBreak="0">
    <w:nsid w:val="00000020"/>
    <w:multiLevelType w:val="multilevel"/>
    <w:tmpl w:val="0000002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00000021"/>
    <w:multiLevelType w:val="multilevel"/>
    <w:tmpl w:val="0000002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15:restartNumberingAfterBreak="0">
    <w:nsid w:val="00000022"/>
    <w:multiLevelType w:val="multilevel"/>
    <w:tmpl w:val="0000002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00000023"/>
    <w:multiLevelType w:val="multilevel"/>
    <w:tmpl w:val="0000002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00000024"/>
    <w:multiLevelType w:val="multilevel"/>
    <w:tmpl w:val="0000002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00000025"/>
    <w:multiLevelType w:val="multilevel"/>
    <w:tmpl w:val="00000025"/>
    <w:lvl w:ilvl="0">
      <w:start w:val="1"/>
      <w:numFmt w:val="decimal"/>
      <w:lvlText w:val="%1."/>
      <w:lvlJc w:val="left"/>
      <w:pPr>
        <w:ind w:left="900" w:hanging="420"/>
      </w:pPr>
      <w:rPr>
        <w:rFonts w:ascii="宋体" w:eastAsia="宋体" w:hAnsi="宋体"/>
        <w:sz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15:restartNumberingAfterBreak="0">
    <w:nsid w:val="00000027"/>
    <w:multiLevelType w:val="multilevel"/>
    <w:tmpl w:val="0000002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00000028"/>
    <w:multiLevelType w:val="multilevel"/>
    <w:tmpl w:val="00000028"/>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00000029"/>
    <w:multiLevelType w:val="multilevel"/>
    <w:tmpl w:val="0000002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0000002A"/>
    <w:multiLevelType w:val="multilevel"/>
    <w:tmpl w:val="0000002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0000002B"/>
    <w:multiLevelType w:val="multilevel"/>
    <w:tmpl w:val="0000002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0000002C"/>
    <w:multiLevelType w:val="multilevel"/>
    <w:tmpl w:val="0000002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0000002D"/>
    <w:multiLevelType w:val="multilevel"/>
    <w:tmpl w:val="0000002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0000002E"/>
    <w:multiLevelType w:val="multilevel"/>
    <w:tmpl w:val="0000002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1" w15:restartNumberingAfterBreak="0">
    <w:nsid w:val="0000002F"/>
    <w:multiLevelType w:val="multilevel"/>
    <w:tmpl w:val="0000002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2" w15:restartNumberingAfterBreak="0">
    <w:nsid w:val="00000030"/>
    <w:multiLevelType w:val="multilevel"/>
    <w:tmpl w:val="00000030"/>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3" w15:restartNumberingAfterBreak="0">
    <w:nsid w:val="00000031"/>
    <w:multiLevelType w:val="multilevel"/>
    <w:tmpl w:val="0000003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4" w15:restartNumberingAfterBreak="0">
    <w:nsid w:val="00000032"/>
    <w:multiLevelType w:val="multilevel"/>
    <w:tmpl w:val="0000003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5" w15:restartNumberingAfterBreak="0">
    <w:nsid w:val="446F7D7A"/>
    <w:multiLevelType w:val="singleLevel"/>
    <w:tmpl w:val="446F7D7A"/>
    <w:lvl w:ilvl="0">
      <w:start w:val="4"/>
      <w:numFmt w:val="decimal"/>
      <w:suff w:val="nothing"/>
      <w:lvlText w:val="（%1）"/>
      <w:lvlJc w:val="left"/>
    </w:lvl>
  </w:abstractNum>
  <w:abstractNum w:abstractNumId="36" w15:restartNumberingAfterBreak="0">
    <w:nsid w:val="5A961F0B"/>
    <w:multiLevelType w:val="singleLevel"/>
    <w:tmpl w:val="5A961F0B"/>
    <w:lvl w:ilvl="0">
      <w:start w:val="4"/>
      <w:numFmt w:val="chineseCounting"/>
      <w:suff w:val="nothing"/>
      <w:lvlText w:val="（%1）"/>
      <w:lvlJc w:val="left"/>
    </w:lvl>
  </w:abstractNum>
  <w:abstractNum w:abstractNumId="37" w15:restartNumberingAfterBreak="0">
    <w:nsid w:val="5F6341B4"/>
    <w:multiLevelType w:val="singleLevel"/>
    <w:tmpl w:val="5F6341B4"/>
    <w:lvl w:ilvl="0">
      <w:start w:val="8"/>
      <w:numFmt w:val="chineseCounting"/>
      <w:suff w:val="nothing"/>
      <w:lvlText w:val="（%1）"/>
      <w:lvlJc w:val="left"/>
    </w:lvl>
  </w:abstractNum>
  <w:num w:numId="1">
    <w:abstractNumId w:val="10"/>
  </w:num>
  <w:num w:numId="2">
    <w:abstractNumId w:val="9"/>
  </w:num>
  <w:num w:numId="3">
    <w:abstractNumId w:val="6"/>
  </w:num>
  <w:num w:numId="4">
    <w:abstractNumId w:val="31"/>
  </w:num>
  <w:num w:numId="5">
    <w:abstractNumId w:val="15"/>
  </w:num>
  <w:num w:numId="6">
    <w:abstractNumId w:val="30"/>
  </w:num>
  <w:num w:numId="7">
    <w:abstractNumId w:val="27"/>
  </w:num>
  <w:num w:numId="8">
    <w:abstractNumId w:val="7"/>
  </w:num>
  <w:num w:numId="9">
    <w:abstractNumId w:val="2"/>
  </w:num>
  <w:num w:numId="10">
    <w:abstractNumId w:val="5"/>
  </w:num>
  <w:num w:numId="11">
    <w:abstractNumId w:val="20"/>
  </w:num>
  <w:num w:numId="12">
    <w:abstractNumId w:val="35"/>
  </w:num>
  <w:num w:numId="13">
    <w:abstractNumId w:val="8"/>
  </w:num>
  <w:num w:numId="14">
    <w:abstractNumId w:val="29"/>
  </w:num>
  <w:num w:numId="15">
    <w:abstractNumId w:val="34"/>
  </w:num>
  <w:num w:numId="16">
    <w:abstractNumId w:val="13"/>
  </w:num>
  <w:num w:numId="17">
    <w:abstractNumId w:val="22"/>
  </w:num>
  <w:num w:numId="18">
    <w:abstractNumId w:val="33"/>
  </w:num>
  <w:num w:numId="19">
    <w:abstractNumId w:val="37"/>
  </w:num>
  <w:num w:numId="20">
    <w:abstractNumId w:val="1"/>
  </w:num>
  <w:num w:numId="21">
    <w:abstractNumId w:val="23"/>
  </w:num>
  <w:num w:numId="22">
    <w:abstractNumId w:val="14"/>
  </w:num>
  <w:num w:numId="23">
    <w:abstractNumId w:val="36"/>
  </w:num>
  <w:num w:numId="24">
    <w:abstractNumId w:val="25"/>
  </w:num>
  <w:num w:numId="25">
    <w:abstractNumId w:val="0"/>
  </w:num>
  <w:num w:numId="26">
    <w:abstractNumId w:val="26"/>
  </w:num>
  <w:num w:numId="27">
    <w:abstractNumId w:val="28"/>
  </w:num>
  <w:num w:numId="28">
    <w:abstractNumId w:val="4"/>
  </w:num>
  <w:num w:numId="29">
    <w:abstractNumId w:val="12"/>
  </w:num>
  <w:num w:numId="30">
    <w:abstractNumId w:val="3"/>
  </w:num>
  <w:num w:numId="31">
    <w:abstractNumId w:val="11"/>
  </w:num>
  <w:num w:numId="32">
    <w:abstractNumId w:val="32"/>
  </w:num>
  <w:num w:numId="33">
    <w:abstractNumId w:val="18"/>
  </w:num>
  <w:num w:numId="34">
    <w:abstractNumId w:val="19"/>
  </w:num>
  <w:num w:numId="35">
    <w:abstractNumId w:val="17"/>
  </w:num>
  <w:num w:numId="36">
    <w:abstractNumId w:val="21"/>
  </w:num>
  <w:num w:numId="37">
    <w:abstractNumId w:val="1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4294"/>
    <w:rsid w:val="0002290E"/>
    <w:rsid w:val="000372D2"/>
    <w:rsid w:val="00046418"/>
    <w:rsid w:val="00052BFC"/>
    <w:rsid w:val="0007599F"/>
    <w:rsid w:val="000A0FE8"/>
    <w:rsid w:val="000A46CB"/>
    <w:rsid w:val="000A73F1"/>
    <w:rsid w:val="000A7F8D"/>
    <w:rsid w:val="000B310C"/>
    <w:rsid w:val="000C3A85"/>
    <w:rsid w:val="00117908"/>
    <w:rsid w:val="0012345C"/>
    <w:rsid w:val="00154728"/>
    <w:rsid w:val="001643A1"/>
    <w:rsid w:val="00172A27"/>
    <w:rsid w:val="00175FD9"/>
    <w:rsid w:val="00183A33"/>
    <w:rsid w:val="00193F41"/>
    <w:rsid w:val="00196746"/>
    <w:rsid w:val="001C4D52"/>
    <w:rsid w:val="001C57CF"/>
    <w:rsid w:val="001D2223"/>
    <w:rsid w:val="001D565A"/>
    <w:rsid w:val="002013F8"/>
    <w:rsid w:val="00217AE6"/>
    <w:rsid w:val="00220FDC"/>
    <w:rsid w:val="00250FC4"/>
    <w:rsid w:val="00254462"/>
    <w:rsid w:val="00254E29"/>
    <w:rsid w:val="002639F1"/>
    <w:rsid w:val="00287D49"/>
    <w:rsid w:val="00291C07"/>
    <w:rsid w:val="002A35A9"/>
    <w:rsid w:val="002D40B3"/>
    <w:rsid w:val="002F3AE0"/>
    <w:rsid w:val="00305D23"/>
    <w:rsid w:val="00327563"/>
    <w:rsid w:val="00363D34"/>
    <w:rsid w:val="00373FA8"/>
    <w:rsid w:val="0038725E"/>
    <w:rsid w:val="0039693F"/>
    <w:rsid w:val="003A1DF7"/>
    <w:rsid w:val="003A7D6D"/>
    <w:rsid w:val="003D7002"/>
    <w:rsid w:val="003E73E0"/>
    <w:rsid w:val="00412DB9"/>
    <w:rsid w:val="00416D13"/>
    <w:rsid w:val="00417B68"/>
    <w:rsid w:val="0047491D"/>
    <w:rsid w:val="00482D77"/>
    <w:rsid w:val="004E3B64"/>
    <w:rsid w:val="004E53D1"/>
    <w:rsid w:val="00510D51"/>
    <w:rsid w:val="00524848"/>
    <w:rsid w:val="00524C70"/>
    <w:rsid w:val="0054560B"/>
    <w:rsid w:val="005535E8"/>
    <w:rsid w:val="005707FA"/>
    <w:rsid w:val="005B24EC"/>
    <w:rsid w:val="005C3CE3"/>
    <w:rsid w:val="005D1D50"/>
    <w:rsid w:val="005E5C6E"/>
    <w:rsid w:val="005F0919"/>
    <w:rsid w:val="00603636"/>
    <w:rsid w:val="00643F79"/>
    <w:rsid w:val="0068793C"/>
    <w:rsid w:val="006B331A"/>
    <w:rsid w:val="006B56DF"/>
    <w:rsid w:val="006B573B"/>
    <w:rsid w:val="006D232C"/>
    <w:rsid w:val="006D717B"/>
    <w:rsid w:val="007162CE"/>
    <w:rsid w:val="00753F7E"/>
    <w:rsid w:val="00761C71"/>
    <w:rsid w:val="007714CD"/>
    <w:rsid w:val="007A77EF"/>
    <w:rsid w:val="007B0308"/>
    <w:rsid w:val="007B6319"/>
    <w:rsid w:val="007D6747"/>
    <w:rsid w:val="007F3C03"/>
    <w:rsid w:val="00821B25"/>
    <w:rsid w:val="00824081"/>
    <w:rsid w:val="008314BC"/>
    <w:rsid w:val="00855218"/>
    <w:rsid w:val="00864786"/>
    <w:rsid w:val="00874436"/>
    <w:rsid w:val="00877B38"/>
    <w:rsid w:val="00896F77"/>
    <w:rsid w:val="008A45C7"/>
    <w:rsid w:val="008A649D"/>
    <w:rsid w:val="009060E8"/>
    <w:rsid w:val="00915A6D"/>
    <w:rsid w:val="00924359"/>
    <w:rsid w:val="00936018"/>
    <w:rsid w:val="009378D7"/>
    <w:rsid w:val="009B4ACD"/>
    <w:rsid w:val="009C17F2"/>
    <w:rsid w:val="009E3F1A"/>
    <w:rsid w:val="00A054B7"/>
    <w:rsid w:val="00A62EF6"/>
    <w:rsid w:val="00A7711A"/>
    <w:rsid w:val="00AB46C7"/>
    <w:rsid w:val="00AD4A63"/>
    <w:rsid w:val="00AD5A70"/>
    <w:rsid w:val="00AF155B"/>
    <w:rsid w:val="00B06D89"/>
    <w:rsid w:val="00B11F0C"/>
    <w:rsid w:val="00B15191"/>
    <w:rsid w:val="00B30F07"/>
    <w:rsid w:val="00B46DFD"/>
    <w:rsid w:val="00B57A58"/>
    <w:rsid w:val="00B65491"/>
    <w:rsid w:val="00B75C62"/>
    <w:rsid w:val="00B7655D"/>
    <w:rsid w:val="00BB5DE6"/>
    <w:rsid w:val="00BC117E"/>
    <w:rsid w:val="00BC3093"/>
    <w:rsid w:val="00BC35E6"/>
    <w:rsid w:val="00BE3CFA"/>
    <w:rsid w:val="00C15F5A"/>
    <w:rsid w:val="00C42FFB"/>
    <w:rsid w:val="00C444C5"/>
    <w:rsid w:val="00C77BD4"/>
    <w:rsid w:val="00CC4A8D"/>
    <w:rsid w:val="00CE2806"/>
    <w:rsid w:val="00D00572"/>
    <w:rsid w:val="00D0642F"/>
    <w:rsid w:val="00D064CF"/>
    <w:rsid w:val="00D2347B"/>
    <w:rsid w:val="00D357E3"/>
    <w:rsid w:val="00D41BBD"/>
    <w:rsid w:val="00DA3C63"/>
    <w:rsid w:val="00DC0F86"/>
    <w:rsid w:val="00DD7BC0"/>
    <w:rsid w:val="00DE0463"/>
    <w:rsid w:val="00DE1AEF"/>
    <w:rsid w:val="00DE76D8"/>
    <w:rsid w:val="00DF2244"/>
    <w:rsid w:val="00E2605A"/>
    <w:rsid w:val="00E46124"/>
    <w:rsid w:val="00E51D8A"/>
    <w:rsid w:val="00EB2080"/>
    <w:rsid w:val="00EC650D"/>
    <w:rsid w:val="00EE20AB"/>
    <w:rsid w:val="00F06190"/>
    <w:rsid w:val="00F20790"/>
    <w:rsid w:val="00F250E2"/>
    <w:rsid w:val="00F27DE6"/>
    <w:rsid w:val="00F61A2A"/>
    <w:rsid w:val="00F86C43"/>
    <w:rsid w:val="00F909A5"/>
    <w:rsid w:val="00FA356A"/>
    <w:rsid w:val="00FA527A"/>
    <w:rsid w:val="00FA6F77"/>
    <w:rsid w:val="00FA7F73"/>
    <w:rsid w:val="00FE0D17"/>
    <w:rsid w:val="00FF18DD"/>
    <w:rsid w:val="01C95533"/>
    <w:rsid w:val="021C5595"/>
    <w:rsid w:val="025F6044"/>
    <w:rsid w:val="02BF2BF0"/>
    <w:rsid w:val="02F13C05"/>
    <w:rsid w:val="0353765E"/>
    <w:rsid w:val="035B421D"/>
    <w:rsid w:val="03A47598"/>
    <w:rsid w:val="054A7844"/>
    <w:rsid w:val="07136139"/>
    <w:rsid w:val="075975A4"/>
    <w:rsid w:val="07B3103E"/>
    <w:rsid w:val="08EA464F"/>
    <w:rsid w:val="0980317A"/>
    <w:rsid w:val="0A1D177B"/>
    <w:rsid w:val="0A347A61"/>
    <w:rsid w:val="0A785907"/>
    <w:rsid w:val="0AC21480"/>
    <w:rsid w:val="0B1B5A20"/>
    <w:rsid w:val="0BF45ECC"/>
    <w:rsid w:val="0C94239B"/>
    <w:rsid w:val="0D0977FE"/>
    <w:rsid w:val="105F09FA"/>
    <w:rsid w:val="12166642"/>
    <w:rsid w:val="12C95AE5"/>
    <w:rsid w:val="13C7051F"/>
    <w:rsid w:val="16C75D2B"/>
    <w:rsid w:val="171276F5"/>
    <w:rsid w:val="17DA52CF"/>
    <w:rsid w:val="18212848"/>
    <w:rsid w:val="18D16135"/>
    <w:rsid w:val="19D13C11"/>
    <w:rsid w:val="1A3D71D5"/>
    <w:rsid w:val="1AB32301"/>
    <w:rsid w:val="1B6A3AE6"/>
    <w:rsid w:val="1BD13529"/>
    <w:rsid w:val="1C8A284F"/>
    <w:rsid w:val="1C9B408D"/>
    <w:rsid w:val="1CDD4EBA"/>
    <w:rsid w:val="1E280DA6"/>
    <w:rsid w:val="1EA94619"/>
    <w:rsid w:val="1FDD315D"/>
    <w:rsid w:val="1FF25B6A"/>
    <w:rsid w:val="20400536"/>
    <w:rsid w:val="218D08C7"/>
    <w:rsid w:val="21A248C7"/>
    <w:rsid w:val="21B304CD"/>
    <w:rsid w:val="220B75DA"/>
    <w:rsid w:val="22BD634B"/>
    <w:rsid w:val="233C383D"/>
    <w:rsid w:val="241F02C8"/>
    <w:rsid w:val="248D4D05"/>
    <w:rsid w:val="25CB4DFB"/>
    <w:rsid w:val="278770B7"/>
    <w:rsid w:val="27B92B88"/>
    <w:rsid w:val="27DB4342"/>
    <w:rsid w:val="299815A0"/>
    <w:rsid w:val="2FD44258"/>
    <w:rsid w:val="3148243A"/>
    <w:rsid w:val="31A30F92"/>
    <w:rsid w:val="360033D2"/>
    <w:rsid w:val="36B910C7"/>
    <w:rsid w:val="36C351AC"/>
    <w:rsid w:val="386C396D"/>
    <w:rsid w:val="3872673E"/>
    <w:rsid w:val="397A1666"/>
    <w:rsid w:val="3ACC0DE8"/>
    <w:rsid w:val="3B9B12F6"/>
    <w:rsid w:val="3EEB7CF4"/>
    <w:rsid w:val="41D43310"/>
    <w:rsid w:val="44171D7D"/>
    <w:rsid w:val="45532288"/>
    <w:rsid w:val="45BE6898"/>
    <w:rsid w:val="49051422"/>
    <w:rsid w:val="4938364B"/>
    <w:rsid w:val="49B25743"/>
    <w:rsid w:val="4A4C5C6E"/>
    <w:rsid w:val="4AC74496"/>
    <w:rsid w:val="4B60715A"/>
    <w:rsid w:val="4D330087"/>
    <w:rsid w:val="4DE16C62"/>
    <w:rsid w:val="4EE335AB"/>
    <w:rsid w:val="506B26D5"/>
    <w:rsid w:val="51181F6A"/>
    <w:rsid w:val="51B10E5A"/>
    <w:rsid w:val="53ED1A66"/>
    <w:rsid w:val="56703770"/>
    <w:rsid w:val="573812F7"/>
    <w:rsid w:val="58B97A99"/>
    <w:rsid w:val="5BA32393"/>
    <w:rsid w:val="5DD93E5E"/>
    <w:rsid w:val="5DF24C25"/>
    <w:rsid w:val="5E05200A"/>
    <w:rsid w:val="5F464182"/>
    <w:rsid w:val="5FFF3D9C"/>
    <w:rsid w:val="60EB1E29"/>
    <w:rsid w:val="61B61810"/>
    <w:rsid w:val="65302672"/>
    <w:rsid w:val="65FE7311"/>
    <w:rsid w:val="668911E4"/>
    <w:rsid w:val="669D7599"/>
    <w:rsid w:val="66BD0B90"/>
    <w:rsid w:val="67213C91"/>
    <w:rsid w:val="67A171F5"/>
    <w:rsid w:val="692E250D"/>
    <w:rsid w:val="69367802"/>
    <w:rsid w:val="6B9B7C51"/>
    <w:rsid w:val="6C3B0C11"/>
    <w:rsid w:val="6F190E7B"/>
    <w:rsid w:val="704702CC"/>
    <w:rsid w:val="70585920"/>
    <w:rsid w:val="70810978"/>
    <w:rsid w:val="72D1360C"/>
    <w:rsid w:val="73C90658"/>
    <w:rsid w:val="75D70BF1"/>
    <w:rsid w:val="76CF5D0B"/>
    <w:rsid w:val="774B2229"/>
    <w:rsid w:val="775017B8"/>
    <w:rsid w:val="778F486C"/>
    <w:rsid w:val="788B7B98"/>
    <w:rsid w:val="78EA7EE5"/>
    <w:rsid w:val="7A3045F1"/>
    <w:rsid w:val="7B9939AD"/>
    <w:rsid w:val="7DC759FE"/>
    <w:rsid w:val="7EE72B59"/>
    <w:rsid w:val="7F29721C"/>
    <w:rsid w:val="7F644568"/>
    <w:rsid w:val="7FC64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E802527"/>
  <w15:chartTrackingRefBased/>
  <w15:docId w15:val="{556490ED-4738-4909-AC73-A6ED819FC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caption" w:semiHidden="1" w:unhideWhenUsed="1" w:qFormat="1"/>
    <w:lsdException w:name="annotation reference"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9E3F1A"/>
    <w:pPr>
      <w:keepNext/>
      <w:keepLines/>
      <w:spacing w:before="340" w:after="330" w:line="576" w:lineRule="auto"/>
      <w:outlineLvl w:val="0"/>
    </w:pPr>
    <w:rPr>
      <w:b/>
      <w:bCs/>
      <w:kern w:val="44"/>
      <w:sz w:val="44"/>
      <w:szCs w:val="44"/>
    </w:rPr>
  </w:style>
  <w:style w:type="paragraph" w:styleId="2">
    <w:name w:val="heading 2"/>
    <w:basedOn w:val="a"/>
    <w:next w:val="a"/>
    <w:link w:val="20"/>
    <w:qFormat/>
    <w:rsid w:val="009E3F1A"/>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b/>
      <w:bCs/>
      <w:kern w:val="44"/>
      <w:sz w:val="44"/>
      <w:szCs w:val="44"/>
    </w:rPr>
  </w:style>
  <w:style w:type="character" w:customStyle="1" w:styleId="20">
    <w:name w:val="标题 2 字符"/>
    <w:link w:val="2"/>
    <w:rPr>
      <w:rFonts w:ascii="Arial" w:eastAsia="黑体" w:hAnsi="Arial"/>
      <w:b/>
      <w:bCs/>
      <w:kern w:val="2"/>
      <w:sz w:val="32"/>
      <w:szCs w:val="32"/>
    </w:rPr>
  </w:style>
  <w:style w:type="paragraph" w:styleId="a3">
    <w:name w:val="annotation text"/>
    <w:basedOn w:val="a"/>
    <w:link w:val="a4"/>
    <w:uiPriority w:val="99"/>
    <w:qFormat/>
    <w:rsid w:val="009E3F1A"/>
    <w:pPr>
      <w:jc w:val="left"/>
    </w:pPr>
  </w:style>
  <w:style w:type="character" w:customStyle="1" w:styleId="a4">
    <w:name w:val="批注文字 字符"/>
    <w:link w:val="a3"/>
    <w:uiPriority w:val="99"/>
    <w:qFormat/>
    <w:rPr>
      <w:kern w:val="2"/>
      <w:sz w:val="21"/>
      <w:szCs w:val="24"/>
    </w:rPr>
  </w:style>
  <w:style w:type="paragraph" w:styleId="a5">
    <w:name w:val="Body Text"/>
    <w:basedOn w:val="a"/>
    <w:link w:val="a6"/>
    <w:rsid w:val="009E3F1A"/>
    <w:pPr>
      <w:spacing w:line="360" w:lineRule="auto"/>
    </w:pPr>
    <w:rPr>
      <w:sz w:val="24"/>
    </w:rPr>
  </w:style>
  <w:style w:type="character" w:customStyle="1" w:styleId="a6">
    <w:name w:val="正文文本 字符"/>
    <w:link w:val="a5"/>
    <w:rPr>
      <w:kern w:val="2"/>
      <w:sz w:val="24"/>
      <w:szCs w:val="24"/>
    </w:rPr>
  </w:style>
  <w:style w:type="paragraph" w:styleId="21">
    <w:name w:val="Body Text Indent 2"/>
    <w:basedOn w:val="a"/>
    <w:rsid w:val="009E3F1A"/>
    <w:pPr>
      <w:spacing w:after="120" w:line="480" w:lineRule="auto"/>
      <w:ind w:leftChars="200" w:left="420"/>
    </w:pPr>
  </w:style>
  <w:style w:type="paragraph" w:styleId="a7">
    <w:name w:val="Balloon Text"/>
    <w:basedOn w:val="a"/>
    <w:link w:val="a8"/>
    <w:rsid w:val="009E3F1A"/>
    <w:rPr>
      <w:sz w:val="18"/>
      <w:szCs w:val="18"/>
    </w:rPr>
  </w:style>
  <w:style w:type="character" w:customStyle="1" w:styleId="a8">
    <w:name w:val="批注框文本 字符"/>
    <w:link w:val="a7"/>
    <w:rPr>
      <w:kern w:val="2"/>
      <w:sz w:val="18"/>
      <w:szCs w:val="18"/>
    </w:rPr>
  </w:style>
  <w:style w:type="paragraph" w:styleId="a9">
    <w:name w:val="footer"/>
    <w:basedOn w:val="a"/>
    <w:rsid w:val="009E3F1A"/>
    <w:pPr>
      <w:tabs>
        <w:tab w:val="center" w:pos="4153"/>
        <w:tab w:val="right" w:pos="8306"/>
      </w:tabs>
      <w:snapToGrid w:val="0"/>
      <w:jc w:val="left"/>
    </w:pPr>
    <w:rPr>
      <w:sz w:val="18"/>
      <w:szCs w:val="18"/>
    </w:rPr>
  </w:style>
  <w:style w:type="paragraph" w:styleId="aa">
    <w:name w:val="header"/>
    <w:basedOn w:val="a"/>
    <w:link w:val="ab"/>
    <w:rsid w:val="009E3F1A"/>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TOC1">
    <w:name w:val="toc 1"/>
    <w:basedOn w:val="a"/>
    <w:next w:val="a"/>
    <w:pPr>
      <w:tabs>
        <w:tab w:val="left" w:pos="840"/>
        <w:tab w:val="right" w:leader="dot" w:pos="8296"/>
      </w:tabs>
      <w:spacing w:line="360" w:lineRule="auto"/>
    </w:pPr>
  </w:style>
  <w:style w:type="paragraph" w:styleId="TOC2">
    <w:name w:val="toc 2"/>
    <w:basedOn w:val="a"/>
    <w:next w:val="a"/>
    <w:pPr>
      <w:tabs>
        <w:tab w:val="left" w:pos="1050"/>
        <w:tab w:val="right" w:leader="dot" w:pos="8494"/>
      </w:tabs>
      <w:spacing w:line="360" w:lineRule="auto"/>
      <w:ind w:leftChars="200" w:left="420"/>
    </w:pPr>
  </w:style>
  <w:style w:type="paragraph" w:styleId="ac">
    <w:name w:val="Normal (Web)"/>
    <w:basedOn w:val="a"/>
    <w:rPr>
      <w:sz w:val="24"/>
    </w:rPr>
  </w:style>
  <w:style w:type="paragraph" w:styleId="ad">
    <w:name w:val="annotation subject"/>
    <w:basedOn w:val="a3"/>
    <w:next w:val="a3"/>
    <w:link w:val="ae"/>
    <w:rsid w:val="009E3F1A"/>
    <w:rPr>
      <w:b/>
      <w:bCs/>
    </w:rPr>
  </w:style>
  <w:style w:type="character" w:customStyle="1" w:styleId="ae">
    <w:name w:val="批注主题 字符"/>
    <w:link w:val="ad"/>
    <w:rPr>
      <w:b/>
      <w:bCs/>
      <w:kern w:val="2"/>
      <w:sz w:val="21"/>
      <w:szCs w:val="24"/>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rPr>
      <w:color w:val="3894C1"/>
      <w:u w:val="none"/>
    </w:rPr>
  </w:style>
  <w:style w:type="character" w:styleId="af1">
    <w:name w:val="Hyperlink"/>
    <w:rPr>
      <w:color w:val="3894C1"/>
      <w:u w:val="none"/>
    </w:rPr>
  </w:style>
  <w:style w:type="character" w:styleId="af2">
    <w:name w:val="annotation reference"/>
    <w:qFormat/>
    <w:rPr>
      <w:sz w:val="21"/>
      <w:szCs w:val="21"/>
    </w:rPr>
  </w:style>
  <w:style w:type="character" w:customStyle="1" w:styleId="3Char">
    <w:name w:val="正文文本缩进 3 Char"/>
    <w:link w:val="31"/>
    <w:rPr>
      <w:rFonts w:ascii="宋体"/>
      <w:kern w:val="2"/>
      <w:sz w:val="28"/>
    </w:rPr>
  </w:style>
  <w:style w:type="paragraph" w:customStyle="1" w:styleId="31">
    <w:name w:val="正文文本缩进 31"/>
    <w:basedOn w:val="a"/>
    <w:link w:val="3Char"/>
    <w:rsid w:val="009E3F1A"/>
    <w:pPr>
      <w:spacing w:line="400" w:lineRule="atLeast"/>
      <w:ind w:firstLine="600"/>
    </w:pPr>
    <w:rPr>
      <w:rFonts w:ascii="宋体"/>
      <w:sz w:val="28"/>
      <w:szCs w:val="20"/>
    </w:rPr>
  </w:style>
  <w:style w:type="character" w:customStyle="1" w:styleId="Char2">
    <w:name w:val="批注主题 Char2"/>
    <w:link w:val="11"/>
    <w:rPr>
      <w:rFonts w:ascii="Times New Roman" w:eastAsia="宋体" w:hAnsi="Times New Roman" w:cs="Times New Roman"/>
      <w:b/>
      <w:bCs/>
      <w:kern w:val="2"/>
      <w:sz w:val="21"/>
      <w:szCs w:val="24"/>
    </w:rPr>
  </w:style>
  <w:style w:type="paragraph" w:customStyle="1" w:styleId="11">
    <w:name w:val="批注主题1"/>
    <w:basedOn w:val="a3"/>
    <w:next w:val="a3"/>
    <w:link w:val="Char2"/>
    <w:rPr>
      <w:b/>
      <w:bCs/>
    </w:rPr>
  </w:style>
  <w:style w:type="character" w:customStyle="1" w:styleId="read">
    <w:name w:val="read"/>
  </w:style>
  <w:style w:type="character" w:customStyle="1" w:styleId="Char">
    <w:name w:val="正文文本缩进 Char"/>
    <w:link w:val="12"/>
    <w:rPr>
      <w:rFonts w:ascii="宋体"/>
      <w:sz w:val="24"/>
    </w:rPr>
  </w:style>
  <w:style w:type="paragraph" w:customStyle="1" w:styleId="12">
    <w:name w:val="正文文本缩进1"/>
    <w:basedOn w:val="a"/>
    <w:link w:val="Char"/>
    <w:rsid w:val="009E3F1A"/>
    <w:pPr>
      <w:autoSpaceDE w:val="0"/>
      <w:autoSpaceDN w:val="0"/>
      <w:adjustRightInd w:val="0"/>
      <w:spacing w:after="120" w:line="440" w:lineRule="atLeast"/>
      <w:ind w:firstLine="539"/>
    </w:pPr>
    <w:rPr>
      <w:rFonts w:ascii="宋体"/>
      <w:kern w:val="0"/>
      <w:sz w:val="24"/>
      <w:szCs w:val="20"/>
    </w:rPr>
  </w:style>
  <w:style w:type="character" w:customStyle="1" w:styleId="CharChar">
    <w:name w:val="批注主题 Char Char"/>
    <w:link w:val="13"/>
    <w:rPr>
      <w:b/>
      <w:bCs/>
      <w:kern w:val="2"/>
      <w:sz w:val="21"/>
      <w:szCs w:val="24"/>
    </w:rPr>
  </w:style>
  <w:style w:type="paragraph" w:customStyle="1" w:styleId="13">
    <w:name w:val="批注主题1"/>
    <w:basedOn w:val="a3"/>
    <w:next w:val="a3"/>
    <w:link w:val="CharChar"/>
    <w:rsid w:val="009E3F1A"/>
    <w:rPr>
      <w:b/>
      <w:bCs/>
    </w:rPr>
  </w:style>
  <w:style w:type="character" w:customStyle="1" w:styleId="highlight1">
    <w:name w:val="highlight1"/>
    <w:rPr>
      <w:color w:val="FF0000"/>
    </w:rPr>
  </w:style>
  <w:style w:type="character" w:customStyle="1" w:styleId="Char1">
    <w:name w:val="批注主题 Char1"/>
    <w:rPr>
      <w:rFonts w:ascii="Times New Roman" w:eastAsia="宋体" w:hAnsi="Times New Roman" w:cs="Times New Roman"/>
      <w:b/>
      <w:bCs/>
      <w:kern w:val="2"/>
      <w:sz w:val="21"/>
      <w:szCs w:val="24"/>
    </w:rPr>
  </w:style>
  <w:style w:type="character" w:customStyle="1" w:styleId="14">
    <w:name w:val="页码1"/>
  </w:style>
  <w:style w:type="character" w:customStyle="1" w:styleId="CharChar0">
    <w:name w:val="页脚 Char Char"/>
    <w:rPr>
      <w:rFonts w:ascii="Times New Roman" w:eastAsia="宋体" w:hAnsi="Times New Roman" w:cs="Times New Roman"/>
      <w:sz w:val="18"/>
      <w:szCs w:val="18"/>
    </w:rPr>
  </w:style>
  <w:style w:type="character" w:customStyle="1" w:styleId="Char0">
    <w:name w:val="文档结构图 Char"/>
    <w:link w:val="15"/>
    <w:rPr>
      <w:rFonts w:ascii="宋体"/>
      <w:kern w:val="2"/>
      <w:sz w:val="18"/>
      <w:szCs w:val="18"/>
    </w:rPr>
  </w:style>
  <w:style w:type="paragraph" w:customStyle="1" w:styleId="15">
    <w:name w:val="文档结构图1"/>
    <w:basedOn w:val="a"/>
    <w:link w:val="Char0"/>
    <w:rsid w:val="009E3F1A"/>
    <w:rPr>
      <w:rFonts w:ascii="宋体"/>
      <w:sz w:val="18"/>
      <w:szCs w:val="18"/>
    </w:rPr>
  </w:style>
  <w:style w:type="character" w:customStyle="1" w:styleId="Char10">
    <w:name w:val="正文文本缩进 Char1"/>
    <w:link w:val="22"/>
    <w:rPr>
      <w:kern w:val="2"/>
      <w:sz w:val="21"/>
      <w:szCs w:val="24"/>
    </w:rPr>
  </w:style>
  <w:style w:type="paragraph" w:customStyle="1" w:styleId="22">
    <w:name w:val="正文文本缩进2"/>
    <w:basedOn w:val="a"/>
    <w:link w:val="Char10"/>
    <w:pPr>
      <w:spacing w:after="120"/>
      <w:ind w:leftChars="200" w:left="420"/>
    </w:pPr>
  </w:style>
  <w:style w:type="character" w:customStyle="1" w:styleId="16">
    <w:name w:val="批注引用1"/>
    <w:rPr>
      <w:sz w:val="21"/>
      <w:szCs w:val="21"/>
    </w:rPr>
  </w:style>
  <w:style w:type="character" w:customStyle="1" w:styleId="23">
    <w:name w:val="批注引用2"/>
    <w:rPr>
      <w:sz w:val="21"/>
      <w:szCs w:val="21"/>
    </w:rPr>
  </w:style>
  <w:style w:type="paragraph" w:customStyle="1" w:styleId="TOC10">
    <w:name w:val="TOC 标题1"/>
    <w:basedOn w:val="1"/>
    <w:next w:val="a"/>
    <w:rsid w:val="009E3F1A"/>
    <w:pPr>
      <w:widowControl/>
      <w:spacing w:before="480" w:after="0" w:line="276" w:lineRule="auto"/>
      <w:jc w:val="left"/>
      <w:outlineLvl w:val="9"/>
    </w:pPr>
    <w:rPr>
      <w:rFonts w:ascii="Cambria" w:hAnsi="Cambria"/>
      <w:color w:val="365F91"/>
      <w:kern w:val="0"/>
      <w:sz w:val="28"/>
      <w:szCs w:val="28"/>
    </w:rPr>
  </w:style>
  <w:style w:type="paragraph" w:customStyle="1" w:styleId="17">
    <w:name w:val="正文缩进1"/>
    <w:basedOn w:val="a"/>
    <w:pPr>
      <w:ind w:firstLine="420"/>
    </w:pPr>
    <w:rPr>
      <w:szCs w:val="20"/>
    </w:rPr>
  </w:style>
  <w:style w:type="paragraph" w:customStyle="1" w:styleId="18">
    <w:name w:val="列表段落1"/>
    <w:basedOn w:val="a"/>
    <w:pPr>
      <w:ind w:firstLineChars="200" w:firstLine="420"/>
    </w:pPr>
  </w:style>
  <w:style w:type="paragraph" w:customStyle="1" w:styleId="CharCharChar">
    <w:name w:val="Char Char Char"/>
    <w:basedOn w:val="a"/>
  </w:style>
  <w:style w:type="paragraph" w:customStyle="1" w:styleId="19">
    <w:name w:val="修订1"/>
    <w:rPr>
      <w:szCs w:val="24"/>
    </w:rPr>
  </w:style>
  <w:style w:type="paragraph" w:styleId="af3">
    <w:name w:val="Revision"/>
    <w:rPr>
      <w:kern w:val="2"/>
      <w:sz w:val="21"/>
      <w:szCs w:val="24"/>
    </w:rPr>
  </w:style>
  <w:style w:type="table" w:customStyle="1" w:styleId="5">
    <w:name w:val="网格型5"/>
    <w:basedOn w:val="a1"/>
    <w:uiPriority w:val="39"/>
    <w:qFormat/>
    <w:rsid w:val="002D4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1"/>
    <w:uiPriority w:val="59"/>
    <w:qFormat/>
    <w:rsid w:val="002D4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正文文本缩进3"/>
    <w:basedOn w:val="a"/>
    <w:rsid w:val="009E3F1A"/>
    <w:pPr>
      <w:spacing w:after="120"/>
      <w:ind w:leftChars="200" w:left="420"/>
    </w:pPr>
  </w:style>
  <w:style w:type="character" w:customStyle="1" w:styleId="30">
    <w:name w:val="批注引用3"/>
    <w:rsid w:val="009E3F1A"/>
    <w:rPr>
      <w:sz w:val="21"/>
      <w:szCs w:val="21"/>
    </w:rPr>
  </w:style>
  <w:style w:type="paragraph" w:customStyle="1" w:styleId="24">
    <w:name w:val="批注主题2"/>
    <w:basedOn w:val="a3"/>
    <w:next w:val="a3"/>
    <w:rsid w:val="009E3F1A"/>
    <w:rPr>
      <w:b/>
      <w:bCs/>
    </w:rPr>
  </w:style>
  <w:style w:type="character" w:customStyle="1" w:styleId="25">
    <w:name w:val="页码2"/>
    <w:rsid w:val="009E3F1A"/>
  </w:style>
  <w:style w:type="paragraph" w:customStyle="1" w:styleId="26">
    <w:name w:val="列表段落2"/>
    <w:basedOn w:val="a"/>
    <w:rsid w:val="009E3F1A"/>
    <w:pPr>
      <w:ind w:firstLineChars="200" w:firstLine="420"/>
    </w:pPr>
  </w:style>
  <w:style w:type="paragraph" w:styleId="af4">
    <w:name w:val="List Paragraph"/>
    <w:basedOn w:val="a"/>
    <w:uiPriority w:val="99"/>
    <w:qFormat/>
    <w:rsid w:val="00D357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697441">
      <w:bodyDiv w:val="1"/>
      <w:marLeft w:val="0"/>
      <w:marRight w:val="0"/>
      <w:marTop w:val="0"/>
      <w:marBottom w:val="0"/>
      <w:divBdr>
        <w:top w:val="none" w:sz="0" w:space="0" w:color="auto"/>
        <w:left w:val="none" w:sz="0" w:space="0" w:color="auto"/>
        <w:bottom w:val="none" w:sz="0" w:space="0" w:color="auto"/>
        <w:right w:val="none" w:sz="0" w:space="0" w:color="auto"/>
      </w:divBdr>
    </w:div>
    <w:div w:id="130554547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5991</Words>
  <Characters>34151</Characters>
  <Application>Microsoft Office Word</Application>
  <DocSecurity>0</DocSecurity>
  <PresentationFormat/>
  <Lines>284</Lines>
  <Paragraphs>80</Paragraphs>
  <Slides>0</Slides>
  <Notes>0</Notes>
  <HiddenSlides>0</HiddenSlides>
  <MMClips>0</MMClips>
  <ScaleCrop>false</ScaleCrop>
  <Manager/>
  <Company/>
  <LinksUpToDate>false</LinksUpToDate>
  <CharactersWithSpaces>40062</CharactersWithSpaces>
  <SharedDoc>false</SharedDoc>
  <HLinks>
    <vt:vector size="120" baseType="variant">
      <vt:variant>
        <vt:i4>1769523</vt:i4>
      </vt:variant>
      <vt:variant>
        <vt:i4>116</vt:i4>
      </vt:variant>
      <vt:variant>
        <vt:i4>0</vt:i4>
      </vt:variant>
      <vt:variant>
        <vt:i4>5</vt:i4>
      </vt:variant>
      <vt:variant>
        <vt:lpwstr/>
      </vt:variant>
      <vt:variant>
        <vt:lpwstr>_Toc450839486</vt:lpwstr>
      </vt:variant>
      <vt:variant>
        <vt:i4>1769523</vt:i4>
      </vt:variant>
      <vt:variant>
        <vt:i4>110</vt:i4>
      </vt:variant>
      <vt:variant>
        <vt:i4>0</vt:i4>
      </vt:variant>
      <vt:variant>
        <vt:i4>5</vt:i4>
      </vt:variant>
      <vt:variant>
        <vt:lpwstr/>
      </vt:variant>
      <vt:variant>
        <vt:lpwstr>_Toc450839485</vt:lpwstr>
      </vt:variant>
      <vt:variant>
        <vt:i4>1769523</vt:i4>
      </vt:variant>
      <vt:variant>
        <vt:i4>104</vt:i4>
      </vt:variant>
      <vt:variant>
        <vt:i4>0</vt:i4>
      </vt:variant>
      <vt:variant>
        <vt:i4>5</vt:i4>
      </vt:variant>
      <vt:variant>
        <vt:lpwstr/>
      </vt:variant>
      <vt:variant>
        <vt:lpwstr>_Toc450839484</vt:lpwstr>
      </vt:variant>
      <vt:variant>
        <vt:i4>1769523</vt:i4>
      </vt:variant>
      <vt:variant>
        <vt:i4>98</vt:i4>
      </vt:variant>
      <vt:variant>
        <vt:i4>0</vt:i4>
      </vt:variant>
      <vt:variant>
        <vt:i4>5</vt:i4>
      </vt:variant>
      <vt:variant>
        <vt:lpwstr/>
      </vt:variant>
      <vt:variant>
        <vt:lpwstr>_Toc450839483</vt:lpwstr>
      </vt:variant>
      <vt:variant>
        <vt:i4>1769523</vt:i4>
      </vt:variant>
      <vt:variant>
        <vt:i4>92</vt:i4>
      </vt:variant>
      <vt:variant>
        <vt:i4>0</vt:i4>
      </vt:variant>
      <vt:variant>
        <vt:i4>5</vt:i4>
      </vt:variant>
      <vt:variant>
        <vt:lpwstr/>
      </vt:variant>
      <vt:variant>
        <vt:lpwstr>_Toc450839482</vt:lpwstr>
      </vt:variant>
      <vt:variant>
        <vt:i4>1769523</vt:i4>
      </vt:variant>
      <vt:variant>
        <vt:i4>86</vt:i4>
      </vt:variant>
      <vt:variant>
        <vt:i4>0</vt:i4>
      </vt:variant>
      <vt:variant>
        <vt:i4>5</vt:i4>
      </vt:variant>
      <vt:variant>
        <vt:lpwstr/>
      </vt:variant>
      <vt:variant>
        <vt:lpwstr>_Toc450839481</vt:lpwstr>
      </vt:variant>
      <vt:variant>
        <vt:i4>1769523</vt:i4>
      </vt:variant>
      <vt:variant>
        <vt:i4>80</vt:i4>
      </vt:variant>
      <vt:variant>
        <vt:i4>0</vt:i4>
      </vt:variant>
      <vt:variant>
        <vt:i4>5</vt:i4>
      </vt:variant>
      <vt:variant>
        <vt:lpwstr/>
      </vt:variant>
      <vt:variant>
        <vt:lpwstr>_Toc450839480</vt:lpwstr>
      </vt:variant>
      <vt:variant>
        <vt:i4>1310771</vt:i4>
      </vt:variant>
      <vt:variant>
        <vt:i4>74</vt:i4>
      </vt:variant>
      <vt:variant>
        <vt:i4>0</vt:i4>
      </vt:variant>
      <vt:variant>
        <vt:i4>5</vt:i4>
      </vt:variant>
      <vt:variant>
        <vt:lpwstr/>
      </vt:variant>
      <vt:variant>
        <vt:lpwstr>_Toc450839479</vt:lpwstr>
      </vt:variant>
      <vt:variant>
        <vt:i4>1310771</vt:i4>
      </vt:variant>
      <vt:variant>
        <vt:i4>68</vt:i4>
      </vt:variant>
      <vt:variant>
        <vt:i4>0</vt:i4>
      </vt:variant>
      <vt:variant>
        <vt:i4>5</vt:i4>
      </vt:variant>
      <vt:variant>
        <vt:lpwstr/>
      </vt:variant>
      <vt:variant>
        <vt:lpwstr>_Toc450839478</vt:lpwstr>
      </vt:variant>
      <vt:variant>
        <vt:i4>1310771</vt:i4>
      </vt:variant>
      <vt:variant>
        <vt:i4>62</vt:i4>
      </vt:variant>
      <vt:variant>
        <vt:i4>0</vt:i4>
      </vt:variant>
      <vt:variant>
        <vt:i4>5</vt:i4>
      </vt:variant>
      <vt:variant>
        <vt:lpwstr/>
      </vt:variant>
      <vt:variant>
        <vt:lpwstr>_Toc450839477</vt:lpwstr>
      </vt:variant>
      <vt:variant>
        <vt:i4>1310771</vt:i4>
      </vt:variant>
      <vt:variant>
        <vt:i4>56</vt:i4>
      </vt:variant>
      <vt:variant>
        <vt:i4>0</vt:i4>
      </vt:variant>
      <vt:variant>
        <vt:i4>5</vt:i4>
      </vt:variant>
      <vt:variant>
        <vt:lpwstr/>
      </vt:variant>
      <vt:variant>
        <vt:lpwstr>_Toc450839476</vt:lpwstr>
      </vt:variant>
      <vt:variant>
        <vt:i4>1310771</vt:i4>
      </vt:variant>
      <vt:variant>
        <vt:i4>50</vt:i4>
      </vt:variant>
      <vt:variant>
        <vt:i4>0</vt:i4>
      </vt:variant>
      <vt:variant>
        <vt:i4>5</vt:i4>
      </vt:variant>
      <vt:variant>
        <vt:lpwstr/>
      </vt:variant>
      <vt:variant>
        <vt:lpwstr>_Toc450839475</vt:lpwstr>
      </vt:variant>
      <vt:variant>
        <vt:i4>1310771</vt:i4>
      </vt:variant>
      <vt:variant>
        <vt:i4>44</vt:i4>
      </vt:variant>
      <vt:variant>
        <vt:i4>0</vt:i4>
      </vt:variant>
      <vt:variant>
        <vt:i4>5</vt:i4>
      </vt:variant>
      <vt:variant>
        <vt:lpwstr/>
      </vt:variant>
      <vt:variant>
        <vt:lpwstr>_Toc450839474</vt:lpwstr>
      </vt:variant>
      <vt:variant>
        <vt:i4>1310771</vt:i4>
      </vt:variant>
      <vt:variant>
        <vt:i4>38</vt:i4>
      </vt:variant>
      <vt:variant>
        <vt:i4>0</vt:i4>
      </vt:variant>
      <vt:variant>
        <vt:i4>5</vt:i4>
      </vt:variant>
      <vt:variant>
        <vt:lpwstr/>
      </vt:variant>
      <vt:variant>
        <vt:lpwstr>_Toc450839473</vt:lpwstr>
      </vt:variant>
      <vt:variant>
        <vt:i4>1310771</vt:i4>
      </vt:variant>
      <vt:variant>
        <vt:i4>32</vt:i4>
      </vt:variant>
      <vt:variant>
        <vt:i4>0</vt:i4>
      </vt:variant>
      <vt:variant>
        <vt:i4>5</vt:i4>
      </vt:variant>
      <vt:variant>
        <vt:lpwstr/>
      </vt:variant>
      <vt:variant>
        <vt:lpwstr>_Toc450839472</vt:lpwstr>
      </vt:variant>
      <vt:variant>
        <vt:i4>1310771</vt:i4>
      </vt:variant>
      <vt:variant>
        <vt:i4>26</vt:i4>
      </vt:variant>
      <vt:variant>
        <vt:i4>0</vt:i4>
      </vt:variant>
      <vt:variant>
        <vt:i4>5</vt:i4>
      </vt:variant>
      <vt:variant>
        <vt:lpwstr/>
      </vt:variant>
      <vt:variant>
        <vt:lpwstr>_Toc450839471</vt:lpwstr>
      </vt:variant>
      <vt:variant>
        <vt:i4>1310771</vt:i4>
      </vt:variant>
      <vt:variant>
        <vt:i4>20</vt:i4>
      </vt:variant>
      <vt:variant>
        <vt:i4>0</vt:i4>
      </vt:variant>
      <vt:variant>
        <vt:i4>5</vt:i4>
      </vt:variant>
      <vt:variant>
        <vt:lpwstr/>
      </vt:variant>
      <vt:variant>
        <vt:lpwstr>_Toc450839470</vt:lpwstr>
      </vt:variant>
      <vt:variant>
        <vt:i4>1376307</vt:i4>
      </vt:variant>
      <vt:variant>
        <vt:i4>14</vt:i4>
      </vt:variant>
      <vt:variant>
        <vt:i4>0</vt:i4>
      </vt:variant>
      <vt:variant>
        <vt:i4>5</vt:i4>
      </vt:variant>
      <vt:variant>
        <vt:lpwstr/>
      </vt:variant>
      <vt:variant>
        <vt:lpwstr>_Toc450839469</vt:lpwstr>
      </vt:variant>
      <vt:variant>
        <vt:i4>1376307</vt:i4>
      </vt:variant>
      <vt:variant>
        <vt:i4>8</vt:i4>
      </vt:variant>
      <vt:variant>
        <vt:i4>0</vt:i4>
      </vt:variant>
      <vt:variant>
        <vt:i4>5</vt:i4>
      </vt:variant>
      <vt:variant>
        <vt:lpwstr/>
      </vt:variant>
      <vt:variant>
        <vt:lpwstr>_Toc450839468</vt:lpwstr>
      </vt:variant>
      <vt:variant>
        <vt:i4>1376307</vt:i4>
      </vt:variant>
      <vt:variant>
        <vt:i4>2</vt:i4>
      </vt:variant>
      <vt:variant>
        <vt:i4>0</vt:i4>
      </vt:variant>
      <vt:variant>
        <vt:i4>5</vt:i4>
      </vt:variant>
      <vt:variant>
        <vt:lpwstr/>
      </vt:variant>
      <vt:variant>
        <vt:lpwstr>_Toc450839467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cmbc-linsheng0608</dc:title>
  <dc:subject/>
  <dc:creator>cmbc-linsheng0608</dc:creator>
  <cp:keywords/>
  <dc:description/>
  <cp:lastModifiedBy>粟旭</cp:lastModifiedBy>
  <cp:revision>3</cp:revision>
  <dcterms:created xsi:type="dcterms:W3CDTF">2025-10-24T03:26:00Z</dcterms:created>
  <dcterms:modified xsi:type="dcterms:W3CDTF">2025-10-24T11:05:00Z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_KSOProductBuildMID">
    <vt:lpwstr>75220894AD69F2EFB864215BA8D46674</vt:lpwstr>
  </property>
  <property fmtid="{D5CDD505-2E9C-101B-9397-08002B2CF9AE}" pid="4" name="_KSOProductBuildSID">
    <vt:lpwstr>F5724FB631E1C25693F4E74DBEB42755</vt:lpwstr>
  </property>
  <property fmtid="{D5CDD505-2E9C-101B-9397-08002B2CF9AE}" pid="5" name="ICV">
    <vt:lpwstr>777767F0A4CB4F8AA83B090835465300</vt:lpwstr>
  </property>
</Properties>
</file>