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xml" PartName="/customXml/item1.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header+xml" PartName="/word/header7.xml"/>
  <Override ContentType="application/vnd.openxmlformats-officedocument.wordprocessingml.header+xml" PartName="/word/header8.xml"/>
  <Override ContentType="application/vnd.openxmlformats-officedocument.wordprocessingml.header+xml" PartName="/word/header9.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 Id="rId4" Target="docProps/custom.xml" Type="http://schemas.openxmlformats.org/officeDocument/2006/relationships/custom-properties"/></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16.8.0.0 -->
  <w:body>
    <w:p w:rsidR="00AA3326">
      <w:pPr>
        <w:tabs>
          <w:tab w:pos="6660" w:val="left"/>
        </w:tabs>
        <w:spacing w:line="360" w:lineRule="auto"/>
        <w:jc w:val="center"/>
        <w:rPr>
          <w:bCs/>
          <w:color w:val="000000"/>
          <w:sz w:val="44"/>
        </w:rPr>
      </w:pPr>
    </w:p>
    <w:p w:rsidR="00AA3326">
      <w:pPr>
        <w:jc w:val="center"/>
        <w:rPr>
          <w:rFonts w:ascii="仿宋_GB2312" w:eastAsia="仿宋_GB2312"/>
          <w:color w:val="000000"/>
          <w:sz w:val="28"/>
          <w:szCs w:val="28"/>
        </w:rPr>
      </w:pPr>
    </w:p>
    <w:p w:rsidR="00AA3326">
      <w:pPr>
        <w:jc w:val="center"/>
        <w:rPr>
          <w:b/>
          <w:color w:val="000000"/>
          <w:sz w:val="52"/>
        </w:rPr>
      </w:pPr>
      <w:bookmarkStart w:id="0" w:name="_Toc123112261"/>
      <w:bookmarkStart w:id="1" w:name="_Toc139992299"/>
      <w:bookmarkStart w:id="2" w:name="_Toc123112222"/>
      <w:bookmarkStart w:id="3" w:name="_Toc139991724"/>
      <w:bookmarkStart w:id="4" w:name="_Toc123701381"/>
    </w:p>
    <w:p w:rsidR="00AA3326">
      <w:pPr>
        <w:jc w:val="center"/>
        <w:rPr>
          <w:b/>
          <w:color w:val="000000"/>
          <w:sz w:val="48"/>
          <w:szCs w:val="48"/>
        </w:rPr>
      </w:pPr>
      <w:r>
        <w:rPr>
          <w:rFonts w:hint="eastAsia"/>
          <w:b/>
          <w:color w:val="000000"/>
          <w:sz w:val="48"/>
          <w:szCs w:val="48"/>
        </w:rPr>
        <w:t>上海国泰海通证券资产管理有限公司</w:t>
      </w:r>
    </w:p>
    <w:p w:rsidR="00AA3326">
      <w:pPr>
        <w:jc w:val="center"/>
        <w:rPr>
          <w:b/>
          <w:color w:val="000000"/>
          <w:sz w:val="52"/>
        </w:rPr>
      </w:pPr>
    </w:p>
    <w:p w:rsidR="00AA3326">
      <w:pPr>
        <w:jc w:val="center"/>
        <w:rPr>
          <w:b/>
          <w:color w:val="000000"/>
          <w:sz w:val="52"/>
        </w:rPr>
      </w:pPr>
    </w:p>
    <w:p w:rsidR="00AA3326">
      <w:pPr>
        <w:jc w:val="center"/>
        <w:rPr>
          <w:b/>
          <w:color w:val="000000"/>
          <w:sz w:val="48"/>
        </w:rPr>
      </w:pPr>
      <w:bookmarkEnd w:id="0"/>
      <w:bookmarkEnd w:id="1"/>
      <w:bookmarkEnd w:id="2"/>
      <w:bookmarkEnd w:id="3"/>
      <w:bookmarkEnd w:id="4"/>
      <w:r>
        <w:rPr>
          <w:rFonts w:hint="eastAsia"/>
          <w:b/>
          <w:color w:val="000000"/>
          <w:sz w:val="48"/>
        </w:rPr>
        <w:t>国泰海通新锐量化选股混合型</w:t>
      </w:r>
    </w:p>
    <w:p w:rsidR="00AA3326">
      <w:pPr>
        <w:jc w:val="center"/>
        <w:rPr>
          <w:b/>
          <w:color w:val="000000"/>
          <w:sz w:val="48"/>
        </w:rPr>
      </w:pPr>
      <w:r>
        <w:rPr>
          <w:rFonts w:hint="eastAsia"/>
          <w:b/>
          <w:color w:val="000000"/>
          <w:sz w:val="48"/>
        </w:rPr>
        <w:t>证券投资基金</w:t>
      </w:r>
    </w:p>
    <w:p w:rsidR="00AA3326">
      <w:pPr>
        <w:jc w:val="center"/>
        <w:rPr>
          <w:b/>
          <w:color w:val="000000"/>
          <w:sz w:val="48"/>
        </w:rPr>
      </w:pPr>
      <w:r>
        <w:rPr>
          <w:rFonts w:hint="eastAsia"/>
          <w:b/>
          <w:color w:val="000000"/>
          <w:sz w:val="48"/>
        </w:rPr>
        <w:t>基金合同</w:t>
      </w:r>
    </w:p>
    <w:p w:rsidR="00AA3326">
      <w:pPr>
        <w:jc w:val="center"/>
        <w:rPr>
          <w:b/>
          <w:color w:val="000000"/>
          <w:sz w:val="52"/>
        </w:rPr>
      </w:pPr>
    </w:p>
    <w:p w:rsidR="00AA3326">
      <w:pPr>
        <w:jc w:val="center"/>
        <w:rPr>
          <w:b/>
          <w:color w:val="000000"/>
          <w:sz w:val="52"/>
        </w:rPr>
      </w:pPr>
    </w:p>
    <w:p w:rsidR="00AA3326">
      <w:pPr>
        <w:jc w:val="center"/>
        <w:rPr>
          <w:b/>
          <w:color w:val="000000"/>
          <w:sz w:val="52"/>
        </w:rPr>
      </w:pPr>
    </w:p>
    <w:p w:rsidR="00AA3326">
      <w:pPr>
        <w:jc w:val="center"/>
        <w:rPr>
          <w:b/>
          <w:color w:val="000000"/>
          <w:sz w:val="52"/>
        </w:rPr>
      </w:pPr>
    </w:p>
    <w:p w:rsidR="00AA3326">
      <w:pPr>
        <w:jc w:val="center"/>
        <w:rPr>
          <w:b/>
          <w:color w:val="000000"/>
          <w:sz w:val="52"/>
        </w:rPr>
      </w:pPr>
    </w:p>
    <w:p w:rsidR="00AA3326">
      <w:pPr>
        <w:jc w:val="center"/>
        <w:rPr>
          <w:b/>
          <w:color w:val="000000"/>
          <w:sz w:val="52"/>
        </w:rPr>
      </w:pPr>
    </w:p>
    <w:p w:rsidR="00AA3326">
      <w:pPr>
        <w:jc w:val="center"/>
        <w:rPr>
          <w:b/>
          <w:color w:val="000000"/>
          <w:sz w:val="32"/>
          <w:szCs w:val="32"/>
        </w:rPr>
      </w:pPr>
      <w:bookmarkStart w:id="5" w:name="_Toc139991726"/>
      <w:bookmarkStart w:id="6" w:name="_Toc123112263"/>
      <w:bookmarkStart w:id="7" w:name="_Toc139992301"/>
      <w:bookmarkStart w:id="8" w:name="_Toc123112224"/>
      <w:bookmarkStart w:id="9" w:name="_Toc123701383"/>
      <w:r>
        <w:rPr>
          <w:b/>
          <w:color w:val="000000"/>
          <w:sz w:val="32"/>
          <w:szCs w:val="32"/>
        </w:rPr>
        <w:t>基金管理人：</w:t>
      </w:r>
      <w:bookmarkStart w:id="10" w:name="_Hlk197501050"/>
      <w:bookmarkEnd w:id="5"/>
      <w:bookmarkEnd w:id="6"/>
      <w:bookmarkEnd w:id="7"/>
      <w:bookmarkEnd w:id="8"/>
      <w:bookmarkEnd w:id="9"/>
      <w:r>
        <w:rPr>
          <w:rFonts w:hint="eastAsia"/>
          <w:b/>
          <w:color w:val="000000"/>
          <w:sz w:val="32"/>
          <w:szCs w:val="32"/>
        </w:rPr>
        <w:t>上海国泰海通证券资产管理有限公司</w:t>
      </w:r>
      <w:bookmarkEnd w:id="10"/>
    </w:p>
    <w:p w:rsidR="00AA3326">
      <w:pPr>
        <w:jc w:val="center"/>
        <w:rPr>
          <w:b/>
          <w:color w:val="000000"/>
          <w:sz w:val="32"/>
          <w:szCs w:val="32"/>
        </w:rPr>
      </w:pPr>
      <w:bookmarkStart w:id="11" w:name="_Toc123112264"/>
      <w:bookmarkStart w:id="12" w:name="_Toc139992302"/>
      <w:bookmarkStart w:id="13" w:name="_Toc123112225"/>
      <w:bookmarkStart w:id="14" w:name="_Toc139991727"/>
      <w:bookmarkStart w:id="15" w:name="_Toc123701384"/>
      <w:r>
        <w:rPr>
          <w:b/>
          <w:color w:val="000000"/>
          <w:sz w:val="32"/>
          <w:szCs w:val="32"/>
        </w:rPr>
        <w:t>基金托管人：</w:t>
      </w:r>
      <w:bookmarkEnd w:id="11"/>
      <w:bookmarkEnd w:id="12"/>
      <w:bookmarkEnd w:id="13"/>
      <w:bookmarkEnd w:id="14"/>
      <w:bookmarkEnd w:id="15"/>
      <w:r>
        <w:rPr>
          <w:rFonts w:hint="eastAsia"/>
          <w:b/>
          <w:color w:val="000000"/>
          <w:sz w:val="32"/>
          <w:szCs w:val="32"/>
        </w:rPr>
        <w:t>中国民生银行股份有限公司</w:t>
      </w:r>
    </w:p>
    <w:p w:rsidR="00AA3326">
      <w:pPr>
        <w:jc w:val="center"/>
        <w:rPr>
          <w:bCs/>
          <w:color w:val="000000"/>
          <w:sz w:val="32"/>
        </w:rPr>
      </w:pPr>
    </w:p>
    <w:p w:rsidR="00AA3326">
      <w:pPr>
        <w:jc w:val="center"/>
        <w:rPr>
          <w:bCs/>
          <w:color w:val="000000"/>
          <w:sz w:val="28"/>
        </w:rPr>
      </w:pPr>
      <w:bookmarkStart w:id="16" w:name="_Toc139991729"/>
      <w:bookmarkStart w:id="17" w:name="_Toc123701386"/>
      <w:bookmarkStart w:id="18" w:name="_Toc123112266"/>
      <w:bookmarkStart w:id="19" w:name="_Toc123112227"/>
    </w:p>
    <w:p w:rsidR="00AA3326">
      <w:pPr>
        <w:jc w:val="center"/>
        <w:rPr>
          <w:bCs/>
          <w:color w:val="000000"/>
          <w:sz w:val="28"/>
        </w:rPr>
        <w:sectPr>
          <w:headerReference r:id="rId5" w:type="even"/>
          <w:headerReference r:id="rId6" w:type="default"/>
          <w:footerReference r:id="rId7" w:type="default"/>
          <w:headerReference r:id="rId8" w:type="first"/>
          <w:footerReference r:id="rId9" w:type="first"/>
          <w:pgSz w:h="16838" w:w="11906"/>
          <w:pgMar w:bottom="1440" w:footer="992" w:gutter="0" w:header="851" w:left="1800" w:right="1800" w:top="1440"/>
          <w:pgNumType w:start="1"/>
          <w:cols w:space="720"/>
          <w:titlePg/>
          <w:docGrid w:linePitch="312" w:type="lines"/>
        </w:sectPr>
      </w:pPr>
      <w:r>
        <w:rPr>
          <w:rFonts w:ascii="宋体" w:hint="eastAsia"/>
          <w:b/>
          <w:bCs/>
          <w:color w:val="000000"/>
          <w:sz w:val="30"/>
        </w:rPr>
        <w:t>二〇二五年</w:t>
      </w:r>
      <w:r w:rsidR="009A5C2E">
        <w:rPr>
          <w:rFonts w:ascii="宋体" w:hint="eastAsia"/>
          <w:b/>
          <w:bCs/>
          <w:color w:val="000000"/>
          <w:sz w:val="30"/>
        </w:rPr>
        <w:t>十</w:t>
      </w:r>
      <w:r>
        <w:rPr>
          <w:rFonts w:ascii="宋体" w:hint="eastAsia"/>
          <w:b/>
          <w:bCs/>
          <w:color w:val="000000"/>
          <w:sz w:val="30"/>
        </w:rPr>
        <w:t>月</w:t>
      </w:r>
    </w:p>
    <w:p w:rsidR="00AA3326">
      <w:pPr>
        <w:jc w:val="center"/>
        <w:rPr>
          <w:bCs/>
          <w:color w:val="000000"/>
          <w:sz w:val="28"/>
        </w:rPr>
      </w:pPr>
      <w:r>
        <w:rPr>
          <w:bCs/>
          <w:color w:val="000000"/>
          <w:sz w:val="28"/>
        </w:rPr>
        <w:t>目</w:t>
      </w:r>
      <w:r>
        <w:rPr>
          <w:bCs/>
          <w:color w:val="000000"/>
          <w:sz w:val="28"/>
        </w:rPr>
        <w:t xml:space="preserve">    </w:t>
      </w:r>
      <w:r>
        <w:rPr>
          <w:bCs/>
          <w:color w:val="000000"/>
          <w:sz w:val="28"/>
        </w:rPr>
        <w:t>录</w:t>
      </w:r>
      <w:bookmarkEnd w:id="16"/>
      <w:bookmarkEnd w:id="17"/>
      <w:bookmarkEnd w:id="18"/>
      <w:bookmarkEnd w:id="19"/>
    </w:p>
    <w:p w:rsidR="00AA3326">
      <w:pPr>
        <w:pStyle w:val="TOC1"/>
        <w:rPr>
          <w:rFonts w:asciiTheme="minorHAnsi" w:cstheme="minorBidi" w:eastAsiaTheme="minorEastAsia" w:hAnsiTheme="minorHAnsi"/>
          <w:color w:val="000000"/>
          <w:sz w:val="22"/>
          <w:szCs w:val="24"/>
          <w14:ligatures w14:val="standardContextual"/>
        </w:rPr>
      </w:pPr>
      <w:r>
        <w:rPr>
          <w:bCs/>
          <w:color w:val="000000"/>
          <w:sz w:val="24"/>
          <w:szCs w:val="24"/>
        </w:rPr>
        <w:fldChar w:fldCharType="begin"/>
      </w:r>
      <w:r>
        <w:rPr>
          <w:bCs/>
          <w:color w:val="000000"/>
          <w:sz w:val="24"/>
          <w:szCs w:val="24"/>
        </w:rPr>
        <w:instrText xml:space="preserve"> TOC \o "1-1" \h \z \u </w:instrText>
      </w:r>
      <w:r>
        <w:rPr>
          <w:bCs/>
          <w:color w:val="000000"/>
          <w:sz w:val="24"/>
          <w:szCs w:val="24"/>
        </w:rPr>
        <w:fldChar w:fldCharType="separate"/>
      </w:r>
      <w:r>
        <w:fldChar w:fldCharType="begin"/>
      </w:r>
      <w:r>
        <w:instrText xml:space="preserve"> HYPERLINK \l "_Toc207633399" </w:instrText>
      </w:r>
      <w:r>
        <w:fldChar w:fldCharType="separate"/>
      </w:r>
      <w:r>
        <w:rPr>
          <w:rStyle w:val="Hyperlink"/>
          <w:rFonts w:asciiTheme="minorEastAsia" w:hAnsiTheme="minorEastAsia" w:hint="eastAsia"/>
          <w:color w:val="000000"/>
        </w:rPr>
        <w:t>第一部分  前言</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_Toc207633399 \h</w:instrText>
      </w:r>
      <w:r>
        <w:rPr>
          <w:rFonts w:hint="eastAsia"/>
          <w:color w:val="000000"/>
        </w:rPr>
        <w:instrText xml:space="preserve"> </w:instrText>
      </w:r>
      <w:r>
        <w:rPr>
          <w:rFonts w:hint="eastAsia"/>
          <w:color w:val="000000"/>
        </w:rPr>
        <w:fldChar w:fldCharType="separate"/>
      </w:r>
      <w:r>
        <w:rPr>
          <w:color w:val="000000"/>
        </w:rPr>
        <w:t>1</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"_Toc207633400" </w:instrText>
      </w:r>
      <w:r>
        <w:fldChar w:fldCharType="separate"/>
      </w:r>
      <w:r>
        <w:rPr>
          <w:rStyle w:val="Hyperlink"/>
          <w:rFonts w:asciiTheme="minorEastAsia" w:hAnsiTheme="minorEastAsia" w:hint="eastAsia"/>
          <w:color w:val="000000"/>
        </w:rPr>
        <w:t>第二部分  释义</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_Toc207633400 \h</w:instrText>
      </w:r>
      <w:r>
        <w:rPr>
          <w:rFonts w:hint="eastAsia"/>
          <w:color w:val="000000"/>
        </w:rPr>
        <w:instrText xml:space="preserve"> </w:instrText>
      </w:r>
      <w:r>
        <w:rPr>
          <w:rFonts w:hint="eastAsia"/>
          <w:color w:val="000000"/>
        </w:rPr>
        <w:fldChar w:fldCharType="separate"/>
      </w:r>
      <w:r>
        <w:rPr>
          <w:color w:val="000000"/>
        </w:rPr>
        <w:t>3</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"_Toc207633401" </w:instrText>
      </w:r>
      <w:r>
        <w:fldChar w:fldCharType="separate"/>
      </w:r>
      <w:r>
        <w:rPr>
          <w:rStyle w:val="Hyperlink"/>
          <w:rFonts w:asciiTheme="minorEastAsia" w:hAnsiTheme="minorEastAsia" w:hint="eastAsia"/>
          <w:color w:val="000000"/>
        </w:rPr>
        <w:t>第三部分  基金的基本情况</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_Toc207633401 \h</w:instrText>
      </w:r>
      <w:r>
        <w:rPr>
          <w:rFonts w:hint="eastAsia"/>
          <w:color w:val="000000"/>
        </w:rPr>
        <w:instrText xml:space="preserve"> </w:instrText>
      </w:r>
      <w:r>
        <w:rPr>
          <w:rFonts w:hint="eastAsia"/>
          <w:color w:val="000000"/>
        </w:rPr>
        <w:fldChar w:fldCharType="separate"/>
      </w:r>
      <w:r>
        <w:rPr>
          <w:color w:val="000000"/>
        </w:rPr>
        <w:t>9</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"_Toc207633402" </w:instrText>
      </w:r>
      <w:r>
        <w:fldChar w:fldCharType="separate"/>
      </w:r>
      <w:r>
        <w:rPr>
          <w:rStyle w:val="Hyperlink"/>
          <w:rFonts w:asciiTheme="minorEastAsia" w:hAnsiTheme="minorEastAsia" w:hint="eastAsia"/>
          <w:color w:val="000000"/>
        </w:rPr>
        <w:t>第四部分  基金的历史沿革</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_Toc207633402 \h</w:instrText>
      </w:r>
      <w:r>
        <w:rPr>
          <w:rFonts w:hint="eastAsia"/>
          <w:color w:val="000000"/>
        </w:rPr>
        <w:instrText xml:space="preserve"> </w:instrText>
      </w:r>
      <w:r>
        <w:rPr>
          <w:rFonts w:hint="eastAsia"/>
          <w:color w:val="000000"/>
        </w:rPr>
        <w:fldChar w:fldCharType="separate"/>
      </w:r>
      <w:r>
        <w:rPr>
          <w:color w:val="000000"/>
        </w:rPr>
        <w:t>11</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"_Toc207633403" </w:instrText>
      </w:r>
      <w:r>
        <w:fldChar w:fldCharType="separate"/>
      </w:r>
      <w:r>
        <w:rPr>
          <w:rStyle w:val="Hyperlink"/>
          <w:rFonts w:asciiTheme="minorEastAsia" w:hAnsiTheme="minorEastAsia" w:hint="eastAsia"/>
          <w:color w:val="000000"/>
        </w:rPr>
        <w:t>第五部分  基金的存续</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_Toc207633403 \h</w:instrText>
      </w:r>
      <w:r>
        <w:rPr>
          <w:rFonts w:hint="eastAsia"/>
          <w:color w:val="000000"/>
        </w:rPr>
        <w:instrText xml:space="preserve"> </w:instrText>
      </w:r>
      <w:r>
        <w:rPr>
          <w:rFonts w:hint="eastAsia"/>
          <w:color w:val="000000"/>
        </w:rPr>
        <w:fldChar w:fldCharType="separate"/>
      </w:r>
      <w:r>
        <w:rPr>
          <w:color w:val="000000"/>
        </w:rPr>
        <w:t>13</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"_Toc207633404" </w:instrText>
      </w:r>
      <w:r>
        <w:fldChar w:fldCharType="separate"/>
      </w:r>
      <w:r>
        <w:rPr>
          <w:rStyle w:val="Hyperlink"/>
          <w:rFonts w:asciiTheme="minorEastAsia" w:hAnsiTheme="minorEastAsia" w:hint="eastAsia"/>
          <w:color w:val="000000"/>
        </w:rPr>
        <w:t>第六部分  基金份额的申购与赎回</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_Toc207633404 \h</w:instrText>
      </w:r>
      <w:r>
        <w:rPr>
          <w:rFonts w:hint="eastAsia"/>
          <w:color w:val="000000"/>
        </w:rPr>
        <w:instrText xml:space="preserve"> </w:instrText>
      </w:r>
      <w:r>
        <w:rPr>
          <w:rFonts w:hint="eastAsia"/>
          <w:color w:val="000000"/>
        </w:rPr>
        <w:fldChar w:fldCharType="separate"/>
      </w:r>
      <w:r>
        <w:rPr>
          <w:color w:val="000000"/>
        </w:rPr>
        <w:t>14</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"_Toc207633405" </w:instrText>
      </w:r>
      <w:r>
        <w:fldChar w:fldCharType="separate"/>
      </w:r>
      <w:r>
        <w:rPr>
          <w:rStyle w:val="Hyperlink"/>
          <w:rFonts w:asciiTheme="minorEastAsia" w:hAnsiTheme="minorEastAsia" w:hint="eastAsia"/>
          <w:color w:val="000000"/>
        </w:rPr>
        <w:t>第七部分  基金合同当事人及权利义务</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_Toc207633405 \h</w:instrText>
      </w:r>
      <w:r>
        <w:rPr>
          <w:rFonts w:hint="eastAsia"/>
          <w:color w:val="000000"/>
        </w:rPr>
        <w:instrText xml:space="preserve"> </w:instrText>
      </w:r>
      <w:r>
        <w:rPr>
          <w:rFonts w:hint="eastAsia"/>
          <w:color w:val="000000"/>
        </w:rPr>
        <w:fldChar w:fldCharType="separate"/>
      </w:r>
      <w:r>
        <w:rPr>
          <w:color w:val="000000"/>
        </w:rPr>
        <w:t>23</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"_Toc207633406" </w:instrText>
      </w:r>
      <w:r>
        <w:fldChar w:fldCharType="separate"/>
      </w:r>
      <w:r>
        <w:rPr>
          <w:rStyle w:val="Hyperlink"/>
          <w:rFonts w:asciiTheme="minorEastAsia" w:hAnsiTheme="minorEastAsia" w:hint="eastAsia"/>
          <w:color w:val="000000"/>
        </w:rPr>
        <w:t>第八部分  基金份额持有人大会</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_Toc207633406 \h</w:instrText>
      </w:r>
      <w:r>
        <w:rPr>
          <w:rFonts w:hint="eastAsia"/>
          <w:color w:val="000000"/>
        </w:rPr>
        <w:instrText xml:space="preserve"> </w:instrText>
      </w:r>
      <w:r>
        <w:rPr>
          <w:rFonts w:hint="eastAsia"/>
          <w:color w:val="000000"/>
        </w:rPr>
        <w:fldChar w:fldCharType="separate"/>
      </w:r>
      <w:r>
        <w:rPr>
          <w:color w:val="000000"/>
        </w:rPr>
        <w:t>30</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"_Toc207633407" </w:instrText>
      </w:r>
      <w:r>
        <w:fldChar w:fldCharType="separate"/>
      </w:r>
      <w:r>
        <w:rPr>
          <w:rStyle w:val="Hyperlink"/>
          <w:rFonts w:asciiTheme="minorEastAsia" w:hAnsiTheme="minorEastAsia" w:hint="eastAsia"/>
          <w:color w:val="000000"/>
        </w:rPr>
        <w:t>第九部分  基金管理人、基金托管人的更换条件和程序</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_Toc207633407 \h</w:instrText>
      </w:r>
      <w:r>
        <w:rPr>
          <w:rFonts w:hint="eastAsia"/>
          <w:color w:val="000000"/>
        </w:rPr>
        <w:instrText xml:space="preserve"> </w:instrText>
      </w:r>
      <w:r>
        <w:rPr>
          <w:rFonts w:hint="eastAsia"/>
          <w:color w:val="000000"/>
        </w:rPr>
        <w:fldChar w:fldCharType="separate"/>
      </w:r>
      <w:r>
        <w:rPr>
          <w:color w:val="000000"/>
        </w:rPr>
        <w:t>39</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"_Toc207633408" </w:instrText>
      </w:r>
      <w:r>
        <w:fldChar w:fldCharType="separate"/>
      </w:r>
      <w:r>
        <w:rPr>
          <w:rStyle w:val="Hyperlink"/>
          <w:rFonts w:asciiTheme="minorEastAsia" w:hAnsiTheme="minorEastAsia" w:hint="eastAsia"/>
          <w:color w:val="000000"/>
        </w:rPr>
        <w:t>第十部分  基金的托管</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_Toc207633408 \h</w:instrText>
      </w:r>
      <w:r>
        <w:rPr>
          <w:rFonts w:hint="eastAsia"/>
          <w:color w:val="000000"/>
        </w:rPr>
        <w:instrText xml:space="preserve"> </w:instrText>
      </w:r>
      <w:r>
        <w:rPr>
          <w:rFonts w:hint="eastAsia"/>
          <w:color w:val="000000"/>
        </w:rPr>
        <w:fldChar w:fldCharType="separate"/>
      </w:r>
      <w:r>
        <w:rPr>
          <w:color w:val="000000"/>
        </w:rPr>
        <w:t>42</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"_Toc207633409" </w:instrText>
      </w:r>
      <w:r>
        <w:fldChar w:fldCharType="separate"/>
      </w:r>
      <w:r>
        <w:rPr>
          <w:rStyle w:val="Hyperlink"/>
          <w:rFonts w:asciiTheme="minorEastAsia" w:hAnsiTheme="minorEastAsia" w:hint="eastAsia"/>
          <w:color w:val="000000"/>
        </w:rPr>
        <w:t>第十一部分  基金份额的登记</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_Toc207633409 \h</w:instrText>
      </w:r>
      <w:r>
        <w:rPr>
          <w:rFonts w:hint="eastAsia"/>
          <w:color w:val="000000"/>
        </w:rPr>
        <w:instrText xml:space="preserve"> </w:instrText>
      </w:r>
      <w:r>
        <w:rPr>
          <w:rFonts w:hint="eastAsia"/>
          <w:color w:val="000000"/>
        </w:rPr>
        <w:fldChar w:fldCharType="separate"/>
      </w:r>
      <w:r>
        <w:rPr>
          <w:color w:val="000000"/>
        </w:rPr>
        <w:t>43</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"_Toc207633410" </w:instrText>
      </w:r>
      <w:r>
        <w:fldChar w:fldCharType="separate"/>
      </w:r>
      <w:r>
        <w:rPr>
          <w:rStyle w:val="Hyperlink"/>
          <w:rFonts w:asciiTheme="minorEastAsia" w:hAnsiTheme="minorEastAsia" w:hint="eastAsia"/>
          <w:color w:val="000000"/>
        </w:rPr>
        <w:t>第十二部分  基金的投资</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_Toc207633410 \h</w:instrText>
      </w:r>
      <w:r>
        <w:rPr>
          <w:rFonts w:hint="eastAsia"/>
          <w:color w:val="000000"/>
        </w:rPr>
        <w:instrText xml:space="preserve"> </w:instrText>
      </w:r>
      <w:r>
        <w:rPr>
          <w:rFonts w:hint="eastAsia"/>
          <w:color w:val="000000"/>
        </w:rPr>
        <w:fldChar w:fldCharType="separate"/>
      </w:r>
      <w:r>
        <w:rPr>
          <w:color w:val="000000"/>
        </w:rPr>
        <w:t>45</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"_Toc207633411" </w:instrText>
      </w:r>
      <w:r>
        <w:fldChar w:fldCharType="separate"/>
      </w:r>
      <w:r>
        <w:rPr>
          <w:rStyle w:val="Hyperlink"/>
          <w:rFonts w:asciiTheme="minorEastAsia" w:hAnsiTheme="minorEastAsia" w:hint="eastAsia"/>
          <w:color w:val="000000"/>
        </w:rPr>
        <w:t>第十三部分  基金的财产</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_Toc207633411 \h</w:instrText>
      </w:r>
      <w:r>
        <w:rPr>
          <w:rFonts w:hint="eastAsia"/>
          <w:color w:val="000000"/>
        </w:rPr>
        <w:instrText xml:space="preserve"> </w:instrText>
      </w:r>
      <w:r>
        <w:rPr>
          <w:rFonts w:hint="eastAsia"/>
          <w:color w:val="000000"/>
        </w:rPr>
        <w:fldChar w:fldCharType="separate"/>
      </w:r>
      <w:r>
        <w:rPr>
          <w:color w:val="000000"/>
        </w:rPr>
        <w:t>53</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"_Toc207633412" </w:instrText>
      </w:r>
      <w:r>
        <w:fldChar w:fldCharType="separate"/>
      </w:r>
      <w:r>
        <w:rPr>
          <w:rStyle w:val="Hyperlink"/>
          <w:rFonts w:asciiTheme="minorEastAsia" w:hAnsiTheme="minorEastAsia" w:hint="eastAsia"/>
          <w:color w:val="000000"/>
        </w:rPr>
        <w:t>第十四部分  基金资产估值</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_Toc207633412 \h</w:instrText>
      </w:r>
      <w:r>
        <w:rPr>
          <w:rFonts w:hint="eastAsia"/>
          <w:color w:val="000000"/>
        </w:rPr>
        <w:instrText xml:space="preserve"> </w:instrText>
      </w:r>
      <w:r>
        <w:rPr>
          <w:rFonts w:hint="eastAsia"/>
          <w:color w:val="000000"/>
        </w:rPr>
        <w:fldChar w:fldCharType="separate"/>
      </w:r>
      <w:r>
        <w:rPr>
          <w:color w:val="000000"/>
        </w:rPr>
        <w:t>54</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"_Toc207633413" </w:instrText>
      </w:r>
      <w:r>
        <w:fldChar w:fldCharType="separate"/>
      </w:r>
      <w:r>
        <w:rPr>
          <w:rStyle w:val="Hyperlink"/>
          <w:rFonts w:asciiTheme="minorEastAsia" w:hAnsiTheme="minorEastAsia" w:hint="eastAsia"/>
          <w:color w:val="000000"/>
        </w:rPr>
        <w:t>第十五部分  基金费用与税收</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_Toc207633413 \h</w:instrText>
      </w:r>
      <w:r>
        <w:rPr>
          <w:rFonts w:hint="eastAsia"/>
          <w:color w:val="000000"/>
        </w:rPr>
        <w:instrText xml:space="preserve"> </w:instrText>
      </w:r>
      <w:r>
        <w:rPr>
          <w:rFonts w:hint="eastAsia"/>
          <w:color w:val="000000"/>
        </w:rPr>
        <w:fldChar w:fldCharType="separate"/>
      </w:r>
      <w:r>
        <w:rPr>
          <w:color w:val="000000"/>
        </w:rPr>
        <w:t>61</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"_Toc207633414" </w:instrText>
      </w:r>
      <w:r>
        <w:fldChar w:fldCharType="separate"/>
      </w:r>
      <w:r>
        <w:rPr>
          <w:rStyle w:val="Hyperlink"/>
          <w:rFonts w:asciiTheme="minorEastAsia" w:hAnsiTheme="minorEastAsia" w:hint="eastAsia"/>
          <w:color w:val="000000"/>
        </w:rPr>
        <w:t>第十六部分  基金的收益与分配</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_Toc207633414 \h</w:instrText>
      </w:r>
      <w:r>
        <w:rPr>
          <w:rFonts w:hint="eastAsia"/>
          <w:color w:val="000000"/>
        </w:rPr>
        <w:instrText xml:space="preserve"> </w:instrText>
      </w:r>
      <w:r>
        <w:rPr>
          <w:rFonts w:hint="eastAsia"/>
          <w:color w:val="000000"/>
        </w:rPr>
        <w:fldChar w:fldCharType="separate"/>
      </w:r>
      <w:r>
        <w:rPr>
          <w:color w:val="000000"/>
        </w:rPr>
        <w:t>64</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"_Toc207633415" </w:instrText>
      </w:r>
      <w:r>
        <w:fldChar w:fldCharType="separate"/>
      </w:r>
      <w:r>
        <w:rPr>
          <w:rStyle w:val="Hyperlink"/>
          <w:rFonts w:asciiTheme="minorEastAsia" w:hAnsiTheme="minorEastAsia" w:hint="eastAsia"/>
          <w:color w:val="000000"/>
        </w:rPr>
        <w:t>第十七部分  基金份额的折算</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_Toc207633415 \h</w:instrText>
      </w:r>
      <w:r>
        <w:rPr>
          <w:rFonts w:hint="eastAsia"/>
          <w:color w:val="000000"/>
        </w:rPr>
        <w:instrText xml:space="preserve"> </w:instrText>
      </w:r>
      <w:r>
        <w:rPr>
          <w:rFonts w:hint="eastAsia"/>
          <w:color w:val="000000"/>
        </w:rPr>
        <w:fldChar w:fldCharType="separate"/>
      </w:r>
      <w:r>
        <w:rPr>
          <w:color w:val="000000"/>
        </w:rPr>
        <w:t>66</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"_Toc207633416" </w:instrText>
      </w:r>
      <w:r>
        <w:fldChar w:fldCharType="separate"/>
      </w:r>
      <w:r>
        <w:rPr>
          <w:rStyle w:val="Hyperlink"/>
          <w:rFonts w:asciiTheme="minorEastAsia" w:hAnsiTheme="minorEastAsia" w:hint="eastAsia"/>
          <w:color w:val="000000"/>
        </w:rPr>
        <w:t>第十八部分  基金的会计与审计</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_Toc207633416 \h</w:instrText>
      </w:r>
      <w:r>
        <w:rPr>
          <w:rFonts w:hint="eastAsia"/>
          <w:color w:val="000000"/>
        </w:rPr>
        <w:instrText xml:space="preserve"> </w:instrText>
      </w:r>
      <w:r>
        <w:rPr>
          <w:rFonts w:hint="eastAsia"/>
          <w:color w:val="000000"/>
        </w:rPr>
        <w:fldChar w:fldCharType="separate"/>
      </w:r>
      <w:r>
        <w:rPr>
          <w:color w:val="000000"/>
        </w:rPr>
        <w:t>67</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"_Toc207633417" </w:instrText>
      </w:r>
      <w:r>
        <w:fldChar w:fldCharType="separate"/>
      </w:r>
      <w:r>
        <w:rPr>
          <w:rStyle w:val="Hyperlink"/>
          <w:rFonts w:asciiTheme="minorEastAsia" w:hAnsiTheme="minorEastAsia" w:hint="eastAsia"/>
          <w:color w:val="000000"/>
        </w:rPr>
        <w:t>第十九部分  基金的信息披露</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_Toc207633417 \h</w:instrText>
      </w:r>
      <w:r>
        <w:rPr>
          <w:rFonts w:hint="eastAsia"/>
          <w:color w:val="000000"/>
        </w:rPr>
        <w:instrText xml:space="preserve"> </w:instrText>
      </w:r>
      <w:r>
        <w:rPr>
          <w:rFonts w:hint="eastAsia"/>
          <w:color w:val="000000"/>
        </w:rPr>
        <w:fldChar w:fldCharType="separate"/>
      </w:r>
      <w:r>
        <w:rPr>
          <w:color w:val="000000"/>
        </w:rPr>
        <w:t>68</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"_Toc207633418" </w:instrText>
      </w:r>
      <w:r>
        <w:fldChar w:fldCharType="separate"/>
      </w:r>
      <w:r>
        <w:rPr>
          <w:rStyle w:val="Hyperlink"/>
          <w:rFonts w:asciiTheme="minorEastAsia" w:hAnsiTheme="minorEastAsia" w:hint="eastAsia"/>
          <w:color w:val="000000"/>
        </w:rPr>
        <w:t>第二十部分  基金合同的变更、终止与基金财产的清算</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_Toc207633418 \h</w:instrText>
      </w:r>
      <w:r>
        <w:rPr>
          <w:rFonts w:hint="eastAsia"/>
          <w:color w:val="000000"/>
        </w:rPr>
        <w:instrText xml:space="preserve"> </w:instrText>
      </w:r>
      <w:r>
        <w:rPr>
          <w:rFonts w:hint="eastAsia"/>
          <w:color w:val="000000"/>
        </w:rPr>
        <w:fldChar w:fldCharType="separate"/>
      </w:r>
      <w:r>
        <w:rPr>
          <w:color w:val="000000"/>
        </w:rPr>
        <w:t>75</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"_Toc207633419" </w:instrText>
      </w:r>
      <w:r>
        <w:fldChar w:fldCharType="separate"/>
      </w:r>
      <w:r>
        <w:rPr>
          <w:rStyle w:val="Hyperlink"/>
          <w:rFonts w:asciiTheme="minorEastAsia" w:hAnsiTheme="minorEastAsia" w:hint="eastAsia"/>
          <w:color w:val="000000"/>
        </w:rPr>
        <w:t>第二十一部分  违约责任</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_Toc207633419 \h</w:instrText>
      </w:r>
      <w:r>
        <w:rPr>
          <w:rFonts w:hint="eastAsia"/>
          <w:color w:val="000000"/>
        </w:rPr>
        <w:instrText xml:space="preserve"> </w:instrText>
      </w:r>
      <w:r>
        <w:rPr>
          <w:rFonts w:hint="eastAsia"/>
          <w:color w:val="000000"/>
        </w:rPr>
        <w:fldChar w:fldCharType="separate"/>
      </w:r>
      <w:r>
        <w:rPr>
          <w:color w:val="000000"/>
        </w:rPr>
        <w:t>77</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"_Toc207633420" </w:instrText>
      </w:r>
      <w:r>
        <w:fldChar w:fldCharType="separate"/>
      </w:r>
      <w:r>
        <w:rPr>
          <w:rStyle w:val="Hyperlink"/>
          <w:rFonts w:asciiTheme="minorEastAsia" w:hAnsiTheme="minorEastAsia" w:hint="eastAsia"/>
          <w:color w:val="000000"/>
        </w:rPr>
        <w:t>第二十二部分  争议的处理和适用的法律</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_Toc207633420 \h</w:instrText>
      </w:r>
      <w:r>
        <w:rPr>
          <w:rFonts w:hint="eastAsia"/>
          <w:color w:val="000000"/>
        </w:rPr>
        <w:instrText xml:space="preserve"> </w:instrText>
      </w:r>
      <w:r>
        <w:rPr>
          <w:rFonts w:hint="eastAsia"/>
          <w:color w:val="000000"/>
        </w:rPr>
        <w:fldChar w:fldCharType="separate"/>
      </w:r>
      <w:r>
        <w:rPr>
          <w:color w:val="000000"/>
        </w:rPr>
        <w:t>78</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"_Toc207633421" </w:instrText>
      </w:r>
      <w:r>
        <w:fldChar w:fldCharType="separate"/>
      </w:r>
      <w:r>
        <w:rPr>
          <w:rStyle w:val="Hyperlink"/>
          <w:rFonts w:asciiTheme="minorEastAsia" w:hAnsiTheme="minorEastAsia" w:hint="eastAsia"/>
          <w:color w:val="000000"/>
        </w:rPr>
        <w:t>第二十三部分  基金合同的效力</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_Toc207633421 \h</w:instrText>
      </w:r>
      <w:r>
        <w:rPr>
          <w:rFonts w:hint="eastAsia"/>
          <w:color w:val="000000"/>
        </w:rPr>
        <w:instrText xml:space="preserve"> </w:instrText>
      </w:r>
      <w:r>
        <w:rPr>
          <w:rFonts w:hint="eastAsia"/>
          <w:color w:val="000000"/>
        </w:rPr>
        <w:fldChar w:fldCharType="separate"/>
      </w:r>
      <w:r>
        <w:rPr>
          <w:color w:val="000000"/>
        </w:rPr>
        <w:t>79</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"_Toc207633422" </w:instrText>
      </w:r>
      <w:r>
        <w:fldChar w:fldCharType="separate"/>
      </w:r>
      <w:r>
        <w:rPr>
          <w:rStyle w:val="Hyperlink"/>
          <w:rFonts w:asciiTheme="minorEastAsia" w:hAnsiTheme="minorEastAsia" w:hint="eastAsia"/>
          <w:color w:val="000000"/>
        </w:rPr>
        <w:t>第二十四部分  其他事项</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_Toc207633422 \h</w:instrText>
      </w:r>
      <w:r>
        <w:rPr>
          <w:rFonts w:hint="eastAsia"/>
          <w:color w:val="000000"/>
        </w:rPr>
        <w:instrText xml:space="preserve"> </w:instrText>
      </w:r>
      <w:r>
        <w:rPr>
          <w:rFonts w:hint="eastAsia"/>
          <w:color w:val="000000"/>
        </w:rPr>
        <w:fldChar w:fldCharType="separate"/>
      </w:r>
      <w:r>
        <w:rPr>
          <w:color w:val="000000"/>
        </w:rPr>
        <w:t>80</w:t>
      </w:r>
      <w:r>
        <w:rPr>
          <w:rFonts w:hint="eastAsia"/>
          <w:color w:val="000000"/>
        </w:rPr>
        <w:fldChar w:fldCharType="end"/>
      </w:r>
      <w:r>
        <w:fldChar w:fldCharType="end"/>
      </w:r>
    </w:p>
    <w:p w:rsidR="00AA3326">
      <w:pPr>
        <w:pStyle w:val="TOC1"/>
        <w:rPr>
          <w:rFonts w:asciiTheme="minorHAnsi" w:cstheme="minorBidi" w:eastAsiaTheme="minorEastAsia" w:hAnsiTheme="minorHAnsi"/>
          <w:color w:val="000000"/>
          <w:sz w:val="22"/>
          <w:szCs w:val="24"/>
          <w14:ligatures w14:val="standardContextual"/>
        </w:rPr>
      </w:pPr>
      <w:r>
        <w:fldChar w:fldCharType="begin"/>
      </w:r>
      <w:r>
        <w:instrText xml:space="preserve"> HYPERLINK \l "_Toc207633423" </w:instrText>
      </w:r>
      <w:r>
        <w:fldChar w:fldCharType="separate"/>
      </w:r>
      <w:r>
        <w:rPr>
          <w:rStyle w:val="Hyperlink"/>
          <w:rFonts w:asciiTheme="minorEastAsia" w:hAnsiTheme="minorEastAsia" w:hint="eastAsia"/>
          <w:color w:val="000000"/>
        </w:rPr>
        <w:t>第二十五部分  基金合同内容摘要</w:t>
      </w:r>
      <w:r>
        <w:rPr>
          <w:rFonts w:hint="eastAsia"/>
          <w:color w:val="000000"/>
        </w:rPr>
        <w:tab/>
      </w:r>
      <w:r>
        <w:rPr>
          <w:rFonts w:hint="eastAsia"/>
          <w:color w:val="000000"/>
        </w:rPr>
        <w:fldChar w:fldCharType="begin"/>
      </w:r>
      <w:r>
        <w:rPr>
          <w:rFonts w:hint="eastAsia"/>
          <w:color w:val="000000"/>
        </w:rPr>
        <w:instrText xml:space="preserve"> </w:instrText>
      </w:r>
      <w:r>
        <w:rPr>
          <w:color w:val="000000"/>
        </w:rPr>
        <w:instrText>PAGEREF _Toc207633423 \h</w:instrText>
      </w:r>
      <w:r>
        <w:rPr>
          <w:rFonts w:hint="eastAsia"/>
          <w:color w:val="000000"/>
        </w:rPr>
        <w:instrText xml:space="preserve"> </w:instrText>
      </w:r>
      <w:r>
        <w:rPr>
          <w:rFonts w:hint="eastAsia"/>
          <w:color w:val="000000"/>
        </w:rPr>
        <w:fldChar w:fldCharType="separate"/>
      </w:r>
      <w:r>
        <w:rPr>
          <w:color w:val="000000"/>
        </w:rPr>
        <w:t>81</w:t>
      </w:r>
      <w:r>
        <w:rPr>
          <w:rFonts w:hint="eastAsia"/>
          <w:color w:val="000000"/>
        </w:rPr>
        <w:fldChar w:fldCharType="end"/>
      </w:r>
      <w:r>
        <w:fldChar w:fldCharType="end"/>
      </w:r>
    </w:p>
    <w:p w:rsidR="00AA3326">
      <w:pPr>
        <w:pStyle w:val="Heading1"/>
        <w:spacing w:after="0" w:before="0"/>
        <w:jc w:val="left"/>
        <w:rPr>
          <w:rFonts w:ascii="Times New Roman"/>
          <w:b w:val="0"/>
          <w:bCs/>
          <w:kern w:val="2"/>
          <w:szCs w:val="24"/>
        </w:rPr>
        <w:sectPr>
          <w:headerReference r:id="rId10" w:type="even"/>
          <w:headerReference r:id="rId11" w:type="default"/>
          <w:headerReference r:id="rId12" w:type="first"/>
          <w:pgSz w:h="16838" w:w="11906"/>
          <w:pgMar w:bottom="1440" w:footer="992" w:gutter="0" w:header="851" w:left="1800" w:right="1800" w:top="1440"/>
          <w:pgNumType w:start="1"/>
          <w:cols w:space="720"/>
          <w:docGrid w:linePitch="312" w:type="lines"/>
        </w:sectPr>
      </w:pPr>
      <w:r>
        <w:rPr>
          <w:rFonts w:ascii="Times New Roman"/>
          <w:bCs/>
          <w:kern w:val="2"/>
          <w:szCs w:val="24"/>
        </w:rPr>
        <w:fldChar w:fldCharType="end"/>
      </w:r>
      <w:bookmarkStart w:id="20" w:name="_Toc32639"/>
      <w:bookmarkStart w:id="21" w:name="_Toc26897"/>
      <w:bookmarkStart w:id="22" w:name="_Toc4966"/>
      <w:bookmarkStart w:id="23" w:name="_Toc15517"/>
      <w:bookmarkStart w:id="24" w:name="_Toc23386"/>
      <w:bookmarkStart w:id="25" w:name="_Toc141703880"/>
      <w:bookmarkStart w:id="26" w:name="_Toc4867"/>
      <w:bookmarkStart w:id="27" w:name="_Toc29629"/>
      <w:bookmarkStart w:id="28" w:name="_Toc6306"/>
      <w:bookmarkStart w:id="29" w:name="_Toc139991730"/>
      <w:bookmarkStart w:id="30" w:name="_Toc8727"/>
      <w:bookmarkStart w:id="31" w:name="_Toc30935"/>
      <w:bookmarkStart w:id="32" w:name="_Toc123112268"/>
      <w:bookmarkStart w:id="33" w:name="_Toc123701389"/>
      <w:bookmarkStart w:id="34" w:name="_Toc123112229"/>
      <w:bookmarkStart w:id="35" w:name="_Toc233456271"/>
    </w:p>
    <w:p w:rsidR="00AA3326">
      <w:pPr>
        <w:pStyle w:val="Heading1"/>
        <w:spacing w:after="0" w:before="0"/>
        <w:jc w:val="center"/>
        <w:rPr>
          <w:rFonts w:asciiTheme="minorEastAsia" w:eastAsiaTheme="minorEastAsia" w:hAnsiTheme="minorEastAsia" w:hint="eastAsia"/>
          <w:sz w:val="30"/>
        </w:rPr>
      </w:pPr>
      <w:bookmarkStart w:id="36" w:name="_Toc11660"/>
      <w:bookmarkStart w:id="37" w:name="_Toc207633399"/>
      <w:bookmarkStart w:id="38" w:name="_Toc534140364"/>
      <w:bookmarkStart w:id="39" w:name="_Toc532487726"/>
      <w:r>
        <w:rPr>
          <w:rFonts w:asciiTheme="minorEastAsia" w:eastAsiaTheme="minorEastAsia" w:hAnsiTheme="minorEastAsia"/>
          <w:sz w:val="30"/>
        </w:rPr>
        <w:t>第</w:t>
      </w:r>
      <w:r>
        <w:rPr>
          <w:rFonts w:asciiTheme="minorEastAsia" w:eastAsiaTheme="minorEastAsia" w:hAnsiTheme="minorEastAsia" w:hint="eastAsia"/>
          <w:sz w:val="30"/>
        </w:rPr>
        <w:t>一</w:t>
      </w:r>
      <w:r>
        <w:rPr>
          <w:rFonts w:asciiTheme="minorEastAsia" w:eastAsiaTheme="minorEastAsia" w:hAnsiTheme="minorEastAsia"/>
          <w:sz w:val="30"/>
        </w:rPr>
        <w:t>部分  前言</w:t>
      </w:r>
      <w:bookmarkEnd w:id="20"/>
      <w:bookmarkEnd w:id="21"/>
      <w:bookmarkEnd w:id="22"/>
      <w:bookmarkEnd w:id="23"/>
      <w:bookmarkEnd w:id="24"/>
      <w:bookmarkEnd w:id="25"/>
      <w:bookmarkEnd w:id="26"/>
      <w:bookmarkEnd w:id="27"/>
      <w:bookmarkEnd w:id="28"/>
      <w:bookmarkEnd w:id="29"/>
      <w:bookmarkEnd w:id="30"/>
      <w:bookmarkEnd w:id="31"/>
      <w:bookmarkEnd w:id="36"/>
      <w:bookmarkEnd w:id="37"/>
      <w:bookmarkEnd w:id="38"/>
      <w:bookmarkEnd w:id="39"/>
    </w:p>
    <w:p w:rsidR="00AA3326">
      <w:pPr>
        <w:rPr>
          <w:rFonts w:asciiTheme="minorEastAsia" w:eastAsiaTheme="minorEastAsia" w:hAnsiTheme="minorEastAsia" w:hint="eastAsia"/>
          <w:bCs/>
          <w:color w:val="000000"/>
        </w:rPr>
      </w:pPr>
      <w:bookmarkStart w:id="40" w:name="_Toc139991731"/>
    </w:p>
    <w:p w:rsidR="00AA3326">
      <w:pPr>
        <w:spacing w:line="360" w:lineRule="auto"/>
        <w:ind w:firstLine="480" w:firstLineChars="200"/>
        <w:rPr>
          <w:rFonts w:asciiTheme="minorEastAsia" w:eastAsiaTheme="minorEastAsia" w:hAnsiTheme="minorEastAsia" w:hint="eastAsia"/>
          <w:bCs/>
          <w:color w:val="000000"/>
          <w:sz w:val="24"/>
        </w:rPr>
      </w:pPr>
      <w:bookmarkStart w:id="41" w:name="_Toc258829399"/>
      <w:bookmarkEnd w:id="32"/>
      <w:bookmarkEnd w:id="33"/>
      <w:bookmarkEnd w:id="34"/>
      <w:bookmarkEnd w:id="40"/>
      <w:r>
        <w:rPr>
          <w:rFonts w:asciiTheme="minorEastAsia" w:eastAsiaTheme="minorEastAsia" w:hAnsiTheme="minorEastAsia" w:hint="eastAsia"/>
          <w:bCs/>
          <w:color w:val="000000"/>
          <w:sz w:val="24"/>
        </w:rPr>
        <w:t>一、</w:t>
      </w:r>
      <w:r>
        <w:rPr>
          <w:rFonts w:asciiTheme="minorEastAsia" w:eastAsiaTheme="minorEastAsia" w:hAnsiTheme="minorEastAsia"/>
          <w:bCs/>
          <w:color w:val="000000"/>
          <w:sz w:val="24"/>
        </w:rPr>
        <w:t>订立基金合同的目的、依据和原则</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w:t>
      </w:r>
      <w:r>
        <w:rPr>
          <w:rFonts w:asciiTheme="minorEastAsia" w:eastAsiaTheme="minorEastAsia" w:hAnsiTheme="minorEastAsia" w:hint="eastAsia"/>
          <w:bCs/>
          <w:color w:val="000000"/>
          <w:sz w:val="24"/>
        </w:rPr>
        <w:t>、</w:t>
      </w:r>
      <w:r>
        <w:rPr>
          <w:rFonts w:asciiTheme="minorEastAsia" w:eastAsiaTheme="minorEastAsia" w:hAnsiTheme="minorEastAsia"/>
          <w:bCs/>
          <w:color w:val="000000"/>
          <w:sz w:val="24"/>
        </w:rPr>
        <w:t>订立基金合同的目的是保护投资人合法权益，明确</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当事人的权利义务，规范</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运作。</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w:t>
      </w:r>
      <w:r>
        <w:rPr>
          <w:rFonts w:asciiTheme="minorEastAsia" w:eastAsiaTheme="minorEastAsia" w:hAnsiTheme="minorEastAsia" w:hint="eastAsia"/>
          <w:bCs/>
          <w:color w:val="000000"/>
          <w:sz w:val="24"/>
        </w:rPr>
        <w:t>、</w:t>
      </w:r>
      <w:r>
        <w:rPr>
          <w:rFonts w:asciiTheme="minorEastAsia" w:eastAsiaTheme="minorEastAsia" w:hAnsiTheme="minorEastAsia"/>
          <w:bCs/>
          <w:color w:val="000000"/>
          <w:sz w:val="24"/>
        </w:rPr>
        <w:t>订立基金合同的依据是</w:t>
      </w:r>
      <w:r>
        <w:rPr>
          <w:rFonts w:hint="eastAsia"/>
          <w:bCs/>
          <w:color w:val="000000"/>
          <w:sz w:val="24"/>
        </w:rPr>
        <w:t>《</w:t>
      </w:r>
      <w:r>
        <w:rPr>
          <w:bCs/>
          <w:color w:val="000000"/>
          <w:sz w:val="24"/>
        </w:rPr>
        <w:t>中华人民共和国</w:t>
      </w:r>
      <w:r>
        <w:rPr>
          <w:rFonts w:hint="eastAsia"/>
          <w:bCs/>
          <w:color w:val="000000"/>
          <w:sz w:val="24"/>
        </w:rPr>
        <w:t>民法典</w:t>
      </w:r>
      <w:r>
        <w:rPr>
          <w:bCs/>
          <w:color w:val="000000"/>
          <w:sz w:val="24"/>
        </w:rPr>
        <w:t>》</w:t>
      </w:r>
      <w:r>
        <w:rPr>
          <w:rFonts w:hint="eastAsia"/>
          <w:bCs/>
          <w:color w:val="000000"/>
          <w:sz w:val="24"/>
        </w:rPr>
        <w:t>（</w:t>
      </w:r>
      <w:r>
        <w:rPr>
          <w:bCs/>
          <w:color w:val="000000"/>
          <w:sz w:val="24"/>
        </w:rPr>
        <w:t>以下简称</w:t>
      </w:r>
      <w:r>
        <w:rPr>
          <w:rFonts w:hint="eastAsia"/>
          <w:bCs/>
          <w:color w:val="000000"/>
          <w:sz w:val="24"/>
        </w:rPr>
        <w:t>“</w:t>
      </w:r>
      <w:bookmarkStart w:id="42" w:name="OLE_LINK3"/>
      <w:bookmarkStart w:id="43" w:name="OLE_LINK4"/>
      <w:r>
        <w:rPr>
          <w:bCs/>
          <w:color w:val="000000"/>
          <w:sz w:val="24"/>
        </w:rPr>
        <w:t>《</w:t>
      </w:r>
      <w:r>
        <w:rPr>
          <w:rFonts w:hint="eastAsia"/>
          <w:bCs/>
          <w:color w:val="000000"/>
          <w:sz w:val="24"/>
        </w:rPr>
        <w:t>民法典</w:t>
      </w:r>
      <w:r>
        <w:rPr>
          <w:bCs/>
          <w:color w:val="000000"/>
          <w:sz w:val="24"/>
        </w:rPr>
        <w:t>》</w:t>
      </w:r>
      <w:bookmarkEnd w:id="42"/>
      <w:bookmarkEnd w:id="43"/>
      <w:r>
        <w:rPr>
          <w:rFonts w:hint="eastAsia"/>
          <w:bCs/>
          <w:color w:val="000000"/>
          <w:sz w:val="24"/>
        </w:rPr>
        <w:t>”）</w:t>
      </w:r>
      <w:r>
        <w:rPr>
          <w:bCs/>
          <w:color w:val="000000"/>
          <w:sz w:val="24"/>
        </w:rPr>
        <w:t>、</w:t>
      </w:r>
      <w:r>
        <w:rPr>
          <w:rFonts w:asciiTheme="minorEastAsia" w:eastAsiaTheme="minorEastAsia" w:hAnsiTheme="minorEastAsia"/>
          <w:bCs/>
          <w:color w:val="000000"/>
          <w:sz w:val="24"/>
        </w:rPr>
        <w:t>《中华人民共和国证券投资基金法》（以下简称“《基金法》”）、《</w:t>
      </w:r>
      <w:r>
        <w:rPr>
          <w:rFonts w:asciiTheme="minorEastAsia" w:eastAsiaTheme="minorEastAsia" w:hAnsiTheme="minorEastAsia" w:hint="eastAsia"/>
          <w:bCs/>
          <w:color w:val="000000"/>
          <w:sz w:val="24"/>
        </w:rPr>
        <w:t>公开募集</w:t>
      </w:r>
      <w:r>
        <w:rPr>
          <w:rFonts w:asciiTheme="minorEastAsia" w:eastAsiaTheme="minorEastAsia" w:hAnsiTheme="minorEastAsia"/>
          <w:bCs/>
          <w:color w:val="000000"/>
          <w:sz w:val="24"/>
        </w:rPr>
        <w:t>证券投资基金运作管理办法》</w:t>
      </w:r>
      <w:r>
        <w:rPr>
          <w:rFonts w:asciiTheme="minorEastAsia" w:eastAsiaTheme="minorEastAsia" w:hAnsiTheme="minorEastAsia" w:hint="eastAsia"/>
          <w:bCs/>
          <w:color w:val="000000"/>
          <w:sz w:val="24"/>
        </w:rPr>
        <w:t>（</w:t>
      </w:r>
      <w:r>
        <w:rPr>
          <w:rFonts w:asciiTheme="minorEastAsia" w:eastAsiaTheme="minorEastAsia" w:hAnsiTheme="minorEastAsia"/>
          <w:bCs/>
          <w:color w:val="000000"/>
          <w:sz w:val="24"/>
        </w:rPr>
        <w:t>以下简称“《运作办法》”）、《公开募集证券投资基金销售机构监督管理办法》（以下简称“《销售办法》”）、《</w:t>
      </w:r>
      <w:r>
        <w:rPr>
          <w:rFonts w:asciiTheme="minorEastAsia" w:eastAsiaTheme="minorEastAsia" w:hAnsiTheme="minorEastAsia" w:hint="eastAsia"/>
          <w:bCs/>
          <w:color w:val="000000"/>
          <w:sz w:val="24"/>
        </w:rPr>
        <w:t>公开募集</w:t>
      </w:r>
      <w:r>
        <w:rPr>
          <w:rFonts w:asciiTheme="minorEastAsia" w:eastAsiaTheme="minorEastAsia" w:hAnsiTheme="minorEastAsia"/>
          <w:bCs/>
          <w:color w:val="000000"/>
          <w:sz w:val="24"/>
        </w:rPr>
        <w:t>证券投资基金信息披露管理办法》</w:t>
      </w:r>
      <w:r>
        <w:rPr>
          <w:rFonts w:asciiTheme="minorEastAsia" w:eastAsiaTheme="minorEastAsia" w:hAnsiTheme="minorEastAsia" w:hint="eastAsia"/>
          <w:bCs/>
          <w:color w:val="000000"/>
          <w:sz w:val="24"/>
        </w:rPr>
        <w:t>（</w:t>
      </w:r>
      <w:r>
        <w:rPr>
          <w:rFonts w:asciiTheme="minorEastAsia" w:eastAsiaTheme="minorEastAsia" w:hAnsiTheme="minorEastAsia"/>
          <w:bCs/>
          <w:color w:val="000000"/>
          <w:sz w:val="24"/>
        </w:rPr>
        <w:t>以下简称“《信息披露办法》”）、《公开募集开放式证券投资基金流动性风险管理规定》</w:t>
      </w:r>
      <w:r>
        <w:rPr>
          <w:rFonts w:asciiTheme="minorEastAsia" w:eastAsiaTheme="minorEastAsia" w:hAnsiTheme="minorEastAsia" w:hint="eastAsia"/>
          <w:bCs/>
          <w:color w:val="000000"/>
          <w:sz w:val="24"/>
        </w:rPr>
        <w:t>（</w:t>
      </w:r>
      <w:r>
        <w:rPr>
          <w:rFonts w:asciiTheme="minorEastAsia" w:eastAsiaTheme="minorEastAsia" w:hAnsiTheme="minorEastAsia"/>
          <w:bCs/>
          <w:color w:val="000000"/>
          <w:sz w:val="24"/>
        </w:rPr>
        <w:t>以下简称“《流动性风险</w:t>
      </w:r>
      <w:r>
        <w:rPr>
          <w:rFonts w:asciiTheme="minorEastAsia" w:eastAsiaTheme="minorEastAsia" w:hAnsiTheme="minorEastAsia" w:hint="eastAsia"/>
          <w:bCs/>
          <w:color w:val="000000"/>
          <w:sz w:val="24"/>
        </w:rPr>
        <w:t>管理</w:t>
      </w:r>
      <w:r>
        <w:rPr>
          <w:rFonts w:asciiTheme="minorEastAsia" w:eastAsiaTheme="minorEastAsia" w:hAnsiTheme="minorEastAsia"/>
          <w:bCs/>
          <w:color w:val="000000"/>
          <w:sz w:val="24"/>
        </w:rPr>
        <w:t>规定》”）和其他有关法律法规。</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w:t>
      </w:r>
      <w:r>
        <w:rPr>
          <w:rFonts w:asciiTheme="minorEastAsia" w:eastAsiaTheme="minorEastAsia" w:hAnsiTheme="minorEastAsia" w:hint="eastAsia"/>
          <w:bCs/>
          <w:color w:val="000000"/>
          <w:sz w:val="24"/>
        </w:rPr>
        <w:t>、</w:t>
      </w:r>
      <w:r>
        <w:rPr>
          <w:rFonts w:asciiTheme="minorEastAsia" w:eastAsiaTheme="minorEastAsia" w:hAnsiTheme="minorEastAsia"/>
          <w:bCs/>
          <w:color w:val="000000"/>
          <w:sz w:val="24"/>
        </w:rPr>
        <w:t>订立基金合同的原则是平等自愿、诚实信用、充分保护投资人合法权益。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二、基金合同</w:t>
      </w:r>
      <w:r>
        <w:rPr>
          <w:rFonts w:asciiTheme="minorEastAsia" w:eastAsiaTheme="minorEastAsia" w:hAnsiTheme="minorEastAsia"/>
          <w:bCs/>
          <w:color w:val="000000"/>
          <w:sz w:val="24"/>
        </w:rPr>
        <w:t>是规定</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当事人之间权利义务关系的基本法律文件，其他与</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相关的涉及</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当事人之间权利义务关系的任何文件或表述，如与</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有冲突，均以</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为准。</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当事人按照《基金法》、</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及其他有关规定享有权利、承担义务。</w:t>
      </w:r>
    </w:p>
    <w:p w:rsidR="00AA3326">
      <w:pPr>
        <w:spacing w:line="360" w:lineRule="auto"/>
        <w:ind w:firstLine="480" w:firstLineChars="200"/>
        <w:rPr>
          <w:rFonts w:asciiTheme="minorEastAsia" w:eastAsiaTheme="minorEastAsia" w:hAnsiTheme="minorEastAsia" w:hint="eastAsia"/>
          <w:bCs/>
          <w:color w:val="000000"/>
        </w:rPr>
      </w:pP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的当事人包括基金管理人、基金托管人和基金份额持有人。</w:t>
      </w:r>
      <w:r>
        <w:rPr>
          <w:rFonts w:asciiTheme="minorEastAsia" w:eastAsiaTheme="minorEastAsia" w:hAnsiTheme="minorEastAsia" w:hint="eastAsia"/>
          <w:bCs/>
          <w:color w:val="000000"/>
          <w:sz w:val="24"/>
        </w:rPr>
        <w:t>基金投资人</w:t>
      </w:r>
      <w:r>
        <w:rPr>
          <w:rFonts w:asciiTheme="minorEastAsia" w:eastAsiaTheme="minorEastAsia" w:hAnsiTheme="minorEastAsia"/>
          <w:bCs/>
          <w:color w:val="000000"/>
          <w:sz w:val="24"/>
        </w:rPr>
        <w:t>自依本</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取得基金份额，即成为基金份额持有人和基金合同的当事人，其持有基金份额的行为本身即表明其对</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的承认和接受。</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三、国泰海通新锐量化选股混合型证券投资基金（以下简称“本基金”或“基金”）由海通策略优选混合型集合资产管理计划变更而来，并经中国证券监督管理委员会（以下简称“中国证监会”）准予变更注册。</w:t>
      </w:r>
    </w:p>
    <w:p w:rsidR="00AA3326">
      <w:pPr>
        <w:spacing w:line="360" w:lineRule="auto"/>
        <w:ind w:firstLine="480" w:firstLineChars="200"/>
        <w:rPr>
          <w:bCs/>
          <w:color w:val="000000"/>
          <w:sz w:val="24"/>
        </w:rPr>
      </w:pPr>
      <w:r>
        <w:rPr>
          <w:rFonts w:asciiTheme="minorEastAsia" w:eastAsiaTheme="minorEastAsia" w:hAnsiTheme="minorEastAsia" w:hint="eastAsia"/>
          <w:bCs/>
          <w:color w:val="000000"/>
          <w:sz w:val="24"/>
        </w:rPr>
        <w:t>海通策略优选混合型集合资产管理计划</w:t>
      </w:r>
      <w:r>
        <w:rPr>
          <w:rFonts w:hint="eastAsia"/>
          <w:bCs/>
          <w:color w:val="000000"/>
          <w:sz w:val="24"/>
        </w:rPr>
        <w:t>由</w:t>
      </w:r>
      <w:r>
        <w:rPr>
          <w:rFonts w:asciiTheme="minorEastAsia" w:eastAsiaTheme="minorEastAsia" w:hAnsiTheme="minorEastAsia"/>
          <w:bCs/>
          <w:color w:val="000000"/>
          <w:sz w:val="24"/>
        </w:rPr>
        <w:t>海通</w:t>
      </w:r>
      <w:r>
        <w:rPr>
          <w:rFonts w:asciiTheme="minorEastAsia" w:eastAsiaTheme="minorEastAsia" w:hAnsiTheme="minorEastAsia"/>
          <w:bCs/>
          <w:color w:val="000000"/>
          <w:sz w:val="24"/>
        </w:rPr>
        <w:t>半年升集合</w:t>
      </w:r>
      <w:r>
        <w:rPr>
          <w:rFonts w:asciiTheme="minorEastAsia" w:eastAsiaTheme="minorEastAsia" w:hAnsiTheme="minorEastAsia"/>
          <w:bCs/>
          <w:color w:val="000000"/>
          <w:sz w:val="24"/>
        </w:rPr>
        <w:t>资产管理计划</w:t>
      </w:r>
      <w:r>
        <w:rPr>
          <w:rFonts w:ascii="宋体" w:hAnsi="宋体"/>
          <w:bCs/>
          <w:color w:val="000000"/>
          <w:sz w:val="24"/>
        </w:rPr>
        <w:t>变更而来</w:t>
      </w:r>
      <w:r>
        <w:rPr>
          <w:rFonts w:ascii="宋体" w:hAnsi="宋体" w:hint="eastAsia"/>
          <w:bCs/>
          <w:color w:val="000000"/>
          <w:sz w:val="24"/>
        </w:rPr>
        <w:t>，</w:t>
      </w:r>
      <w:r>
        <w:rPr>
          <w:rFonts w:ascii="宋体" w:hAnsi="宋体"/>
          <w:bCs/>
          <w:color w:val="000000"/>
          <w:sz w:val="24"/>
        </w:rPr>
        <w:t>海通</w:t>
      </w:r>
      <w:r>
        <w:rPr>
          <w:rFonts w:ascii="宋体" w:hAnsi="宋体"/>
          <w:bCs/>
          <w:color w:val="000000"/>
          <w:sz w:val="24"/>
        </w:rPr>
        <w:t>半年升集合</w:t>
      </w:r>
      <w:r>
        <w:rPr>
          <w:rFonts w:ascii="宋体" w:hAnsi="宋体"/>
          <w:bCs/>
          <w:color w:val="000000"/>
          <w:sz w:val="24"/>
        </w:rPr>
        <w:t>资产管理计划</w:t>
      </w:r>
      <w:r>
        <w:rPr>
          <w:bCs/>
          <w:color w:val="000000"/>
          <w:sz w:val="24"/>
        </w:rPr>
        <w:t>由</w:t>
      </w:r>
      <w:r>
        <w:rPr>
          <w:rFonts w:hint="eastAsia"/>
          <w:bCs/>
          <w:color w:val="000000"/>
          <w:sz w:val="24"/>
        </w:rPr>
        <w:t>上海海通证券资产管理有限公司</w:t>
      </w:r>
      <w:r>
        <w:rPr>
          <w:bCs/>
          <w:color w:val="000000"/>
          <w:sz w:val="24"/>
        </w:rPr>
        <w:t>依照</w:t>
      </w:r>
      <w:r>
        <w:rPr>
          <w:rFonts w:hint="eastAsia"/>
          <w:bCs/>
          <w:color w:val="000000"/>
          <w:sz w:val="24"/>
        </w:rPr>
        <w:t>《证券公司客户资产管理业务管理办法》、《证券公司集合资产管理业务实施细则》</w:t>
      </w:r>
      <w:r>
        <w:rPr>
          <w:bCs/>
          <w:color w:val="000000"/>
          <w:sz w:val="24"/>
        </w:rPr>
        <w:t>、</w:t>
      </w:r>
      <w:r>
        <w:rPr>
          <w:rFonts w:hint="eastAsia"/>
          <w:bCs/>
          <w:color w:val="000000"/>
          <w:sz w:val="24"/>
        </w:rPr>
        <w:t>《</w:t>
      </w:r>
      <w:r>
        <w:rPr>
          <w:rFonts w:asciiTheme="minorEastAsia" w:eastAsiaTheme="minorEastAsia" w:hAnsiTheme="minorEastAsia"/>
          <w:bCs/>
          <w:color w:val="000000"/>
          <w:sz w:val="24"/>
        </w:rPr>
        <w:t>海通半年升集合资产管理计划</w:t>
      </w:r>
      <w:r>
        <w:rPr>
          <w:rFonts w:ascii="宋体" w:hAnsi="宋体"/>
          <w:bCs/>
          <w:color w:val="000000"/>
          <w:sz w:val="24"/>
        </w:rPr>
        <w:t>资产管理合同</w:t>
      </w:r>
      <w:r>
        <w:rPr>
          <w:rFonts w:hint="eastAsia"/>
          <w:bCs/>
          <w:color w:val="000000"/>
          <w:sz w:val="24"/>
        </w:rPr>
        <w:t>》</w:t>
      </w:r>
      <w:r>
        <w:rPr>
          <w:bCs/>
          <w:color w:val="000000"/>
          <w:sz w:val="24"/>
        </w:rPr>
        <w:t>及其他有关规定募集，并经</w:t>
      </w:r>
      <w:r>
        <w:rPr>
          <w:rFonts w:asciiTheme="minorEastAsia" w:eastAsiaTheme="minorEastAsia" w:hAnsiTheme="minorEastAsia" w:hint="eastAsia"/>
          <w:bCs/>
          <w:color w:val="000000"/>
          <w:sz w:val="24"/>
        </w:rPr>
        <w:t>中国证监会</w:t>
      </w:r>
      <w:r>
        <w:rPr>
          <w:rFonts w:hint="eastAsia"/>
          <w:bCs/>
          <w:color w:val="000000"/>
          <w:sz w:val="24"/>
        </w:rPr>
        <w:t>批准</w:t>
      </w:r>
      <w:r>
        <w:rPr>
          <w:bCs/>
          <w:color w:val="000000"/>
          <w:sz w:val="24"/>
        </w:rPr>
        <w:t>。</w:t>
      </w:r>
    </w:p>
    <w:p w:rsidR="00AA3326">
      <w:pPr>
        <w:spacing w:line="360" w:lineRule="auto"/>
        <w:ind w:firstLine="480" w:firstLineChars="200"/>
        <w:rPr>
          <w:bCs/>
          <w:color w:val="000000"/>
          <w:sz w:val="24"/>
        </w:rPr>
      </w:pPr>
      <w:r>
        <w:rPr>
          <w:bCs/>
          <w:color w:val="000000"/>
          <w:sz w:val="24"/>
        </w:rPr>
        <w:t>中国证监会对</w:t>
      </w:r>
      <w:r>
        <w:rPr>
          <w:rFonts w:asciiTheme="minorEastAsia" w:eastAsiaTheme="minorEastAsia" w:hAnsiTheme="minorEastAsia" w:hint="eastAsia"/>
          <w:bCs/>
          <w:color w:val="000000"/>
          <w:sz w:val="24"/>
        </w:rPr>
        <w:t>海通</w:t>
      </w:r>
      <w:r>
        <w:rPr>
          <w:rFonts w:asciiTheme="minorEastAsia" w:eastAsiaTheme="minorEastAsia" w:hAnsiTheme="minorEastAsia" w:hint="eastAsia"/>
          <w:bCs/>
          <w:color w:val="000000"/>
          <w:sz w:val="24"/>
        </w:rPr>
        <w:t>半年升集合</w:t>
      </w:r>
      <w:r>
        <w:rPr>
          <w:rFonts w:asciiTheme="minorEastAsia" w:eastAsiaTheme="minorEastAsia" w:hAnsiTheme="minorEastAsia" w:hint="eastAsia"/>
          <w:bCs/>
          <w:color w:val="000000"/>
          <w:sz w:val="24"/>
        </w:rPr>
        <w:t>资产管理</w:t>
      </w:r>
      <w:r>
        <w:rPr>
          <w:rFonts w:asciiTheme="minorEastAsia" w:eastAsiaTheme="minorEastAsia" w:hAnsiTheme="minorEastAsia"/>
          <w:bCs/>
          <w:color w:val="000000"/>
          <w:sz w:val="24"/>
        </w:rPr>
        <w:t>计划</w:t>
      </w:r>
      <w:r>
        <w:rPr>
          <w:rFonts w:ascii="宋体" w:hAnsi="宋体"/>
          <w:bCs/>
          <w:color w:val="000000"/>
          <w:sz w:val="24"/>
        </w:rPr>
        <w:t>变更为</w:t>
      </w:r>
      <w:r>
        <w:rPr>
          <w:rFonts w:asciiTheme="minorEastAsia" w:eastAsiaTheme="minorEastAsia" w:hAnsiTheme="minorEastAsia" w:hint="eastAsia"/>
          <w:bCs/>
          <w:color w:val="000000"/>
          <w:sz w:val="24"/>
        </w:rPr>
        <w:t>海通策略优选混合型集</w:t>
      </w:r>
      <w:r>
        <w:rPr>
          <w:rFonts w:asciiTheme="minorEastAsia" w:eastAsiaTheme="minorEastAsia" w:hAnsiTheme="minorEastAsia" w:hint="eastAsia"/>
          <w:bCs/>
          <w:color w:val="000000"/>
          <w:sz w:val="24"/>
        </w:rPr>
        <w:t>合资产管理计划</w:t>
      </w:r>
      <w:r>
        <w:rPr>
          <w:rFonts w:hint="eastAsia"/>
          <w:bCs/>
          <w:color w:val="000000"/>
          <w:sz w:val="24"/>
        </w:rPr>
        <w:t>的批准、</w:t>
      </w:r>
      <w:r>
        <w:rPr>
          <w:rFonts w:asciiTheme="minorEastAsia" w:eastAsiaTheme="minorEastAsia" w:hAnsiTheme="minorEastAsia" w:hint="eastAsia"/>
          <w:bCs/>
          <w:color w:val="000000"/>
          <w:sz w:val="24"/>
        </w:rPr>
        <w:t>海通策略优选混合型集合资产管理计划</w:t>
      </w:r>
      <w:r>
        <w:rPr>
          <w:rFonts w:hint="eastAsia"/>
          <w:bCs/>
          <w:color w:val="000000"/>
          <w:sz w:val="24"/>
        </w:rPr>
        <w:t>变更为本基金的注册</w:t>
      </w:r>
      <w:r>
        <w:rPr>
          <w:bCs/>
          <w:color w:val="000000"/>
          <w:sz w:val="24"/>
        </w:rPr>
        <w:t>，并不表明其对</w:t>
      </w:r>
      <w:r>
        <w:rPr>
          <w:rFonts w:hint="eastAsia"/>
          <w:bCs/>
          <w:color w:val="000000"/>
          <w:sz w:val="24"/>
        </w:rPr>
        <w:t>本基金投资</w:t>
      </w:r>
      <w:r>
        <w:rPr>
          <w:bCs/>
          <w:color w:val="000000"/>
          <w:sz w:val="24"/>
        </w:rPr>
        <w:t>价值和</w:t>
      </w:r>
      <w:r>
        <w:rPr>
          <w:rFonts w:hint="eastAsia"/>
          <w:bCs/>
          <w:color w:val="000000"/>
          <w:sz w:val="24"/>
        </w:rPr>
        <w:t>市场前景</w:t>
      </w:r>
      <w:r>
        <w:rPr>
          <w:bCs/>
          <w:color w:val="000000"/>
          <w:sz w:val="24"/>
        </w:rPr>
        <w:t>做出实质性判断或保证，也不表明投资于</w:t>
      </w:r>
      <w:r>
        <w:rPr>
          <w:rFonts w:hint="eastAsia"/>
          <w:bCs/>
          <w:color w:val="000000"/>
          <w:sz w:val="24"/>
        </w:rPr>
        <w:t>本基金</w:t>
      </w:r>
      <w:r>
        <w:rPr>
          <w:bCs/>
          <w:color w:val="000000"/>
          <w:sz w:val="24"/>
        </w:rPr>
        <w:t>没有风险。</w:t>
      </w:r>
    </w:p>
    <w:p w:rsidR="00AA3326">
      <w:pPr>
        <w:spacing w:line="360" w:lineRule="auto"/>
        <w:ind w:firstLine="480" w:firstLineChars="200"/>
        <w:rPr>
          <w:rFonts w:asciiTheme="minorEastAsia" w:eastAsiaTheme="minorEastAsia" w:hAnsiTheme="minorEastAsia" w:hint="eastAsia"/>
          <w:bCs/>
          <w:color w:val="000000"/>
        </w:rPr>
      </w:pPr>
      <w:r>
        <w:rPr>
          <w:rFonts w:asciiTheme="minorEastAsia" w:eastAsiaTheme="minorEastAsia" w:hAnsiTheme="minorEastAsia"/>
          <w:bCs/>
          <w:color w:val="000000"/>
          <w:sz w:val="24"/>
        </w:rPr>
        <w:t>基金管理人依照恪尽职守、诚实信用、谨慎勤勉的原则管理和运用</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财产，但不保证投资于本基金一定盈利，也不保证最低收益。</w:t>
      </w:r>
    </w:p>
    <w:p w:rsidR="00AA3326">
      <w:pPr>
        <w:spacing w:line="360" w:lineRule="auto"/>
        <w:ind w:firstLine="480" w:firstLineChars="200"/>
        <w:rPr>
          <w:rFonts w:asciiTheme="minorEastAsia" w:eastAsiaTheme="minorEastAsia" w:hAnsiTheme="minorEastAsia" w:hint="eastAsia"/>
          <w:bCs/>
          <w:color w:val="000000"/>
        </w:rPr>
      </w:pPr>
      <w:r>
        <w:rPr>
          <w:rFonts w:asciiTheme="minorEastAsia" w:eastAsiaTheme="minorEastAsia" w:hAnsiTheme="minorEastAsia"/>
          <w:bCs/>
          <w:color w:val="000000"/>
          <w:sz w:val="24"/>
        </w:rPr>
        <w:t>投资者应当认真阅读</w:t>
      </w:r>
      <w:r>
        <w:rPr>
          <w:rFonts w:asciiTheme="minorEastAsia" w:eastAsiaTheme="minorEastAsia" w:hAnsiTheme="minorEastAsia" w:hint="eastAsia"/>
          <w:bCs/>
          <w:color w:val="000000"/>
          <w:sz w:val="24"/>
        </w:rPr>
        <w:t>基金招募说明书</w:t>
      </w:r>
      <w:r>
        <w:rPr>
          <w:rFonts w:asciiTheme="minorEastAsia" w:eastAsiaTheme="minorEastAsia" w:hAnsiTheme="minorEastAsia"/>
          <w:bCs/>
          <w:color w:val="000000"/>
          <w:sz w:val="24"/>
        </w:rPr>
        <w:t>、</w:t>
      </w:r>
      <w:r>
        <w:rPr>
          <w:rFonts w:asciiTheme="minorEastAsia" w:eastAsiaTheme="minorEastAsia" w:hAnsiTheme="minorEastAsia" w:hint="eastAsia"/>
          <w:bCs/>
          <w:color w:val="000000"/>
          <w:sz w:val="24"/>
        </w:rPr>
        <w:t>基金合同、基金</w:t>
      </w:r>
      <w:r>
        <w:rPr>
          <w:rFonts w:asciiTheme="minorEastAsia" w:eastAsiaTheme="minorEastAsia" w:hAnsiTheme="minorEastAsia"/>
          <w:bCs/>
          <w:color w:val="000000"/>
          <w:sz w:val="24"/>
        </w:rPr>
        <w:t>产品资料概要等信息披露文件，自主判断</w:t>
      </w:r>
      <w:r>
        <w:rPr>
          <w:rFonts w:asciiTheme="minorEastAsia" w:eastAsiaTheme="minorEastAsia" w:hAnsiTheme="minorEastAsia" w:hint="eastAsia"/>
          <w:bCs/>
          <w:color w:val="000000"/>
          <w:sz w:val="24"/>
        </w:rPr>
        <w:t>本基金</w:t>
      </w:r>
      <w:r>
        <w:rPr>
          <w:rFonts w:asciiTheme="minorEastAsia" w:eastAsiaTheme="minorEastAsia" w:hAnsiTheme="minorEastAsia"/>
          <w:bCs/>
          <w:color w:val="000000"/>
          <w:sz w:val="24"/>
        </w:rPr>
        <w:t>的投资价值，自主做出投资决策，自行承担投资风险。</w:t>
      </w:r>
    </w:p>
    <w:p w:rsidR="00AA3326">
      <w:pPr>
        <w:numPr>
          <w:ilvl w:val="0"/>
          <w:numId w:val="2"/>
        </w:num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基金管理人、基金托管人在本</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之外披露涉及本基金的信息，其内容涉及界定</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当事人之间权利义务关系的，如与</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有冲突，以</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为准</w:t>
      </w:r>
      <w:r>
        <w:rPr>
          <w:rFonts w:asciiTheme="minorEastAsia" w:eastAsiaTheme="minorEastAsia" w:hAnsiTheme="minorEastAsia" w:hint="eastAsia"/>
          <w:bCs/>
          <w:color w:val="000000"/>
          <w:sz w:val="24"/>
        </w:rPr>
        <w:t>，基金合同另有约定的除外</w:t>
      </w:r>
      <w:r>
        <w:rPr>
          <w:rFonts w:asciiTheme="minorEastAsia" w:eastAsiaTheme="minorEastAsia" w:hAnsiTheme="minorEastAsia"/>
          <w:bCs/>
          <w:color w:val="000000"/>
          <w:sz w:val="24"/>
        </w:rPr>
        <w:t>。</w:t>
      </w:r>
    </w:p>
    <w:p w:rsidR="00AA3326">
      <w:pPr>
        <w:numPr>
          <w:ilvl w:val="0"/>
          <w:numId w:val="2"/>
        </w:num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本基金按照中国法律法规成立并运作，</w:t>
      </w:r>
      <w:r>
        <w:rPr>
          <w:rFonts w:asciiTheme="minorEastAsia" w:eastAsiaTheme="minorEastAsia" w:hAnsiTheme="minorEastAsia" w:hint="eastAsia"/>
          <w:bCs/>
          <w:color w:val="000000"/>
          <w:sz w:val="24"/>
        </w:rPr>
        <w:t>若基金</w:t>
      </w:r>
      <w:r>
        <w:rPr>
          <w:rFonts w:asciiTheme="minorEastAsia" w:eastAsiaTheme="minorEastAsia" w:hAnsiTheme="minorEastAsia" w:hint="eastAsia"/>
          <w:bCs/>
          <w:color w:val="000000"/>
          <w:sz w:val="24"/>
        </w:rPr>
        <w:t>合同</w:t>
      </w:r>
      <w:r>
        <w:rPr>
          <w:rFonts w:asciiTheme="minorEastAsia" w:eastAsiaTheme="minorEastAsia" w:hAnsiTheme="minorEastAsia"/>
          <w:bCs/>
          <w:color w:val="000000"/>
          <w:sz w:val="24"/>
        </w:rPr>
        <w:t>的内容与届时有效的法律法规的强制性规定不一致，应当以届时有效的法律法规的规定为准。</w:t>
      </w:r>
    </w:p>
    <w:p w:rsidR="00AA3326">
      <w:pPr>
        <w:numPr>
          <w:ilvl w:val="0"/>
          <w:numId w:val="2"/>
        </w:numPr>
        <w:spacing w:line="360" w:lineRule="auto"/>
        <w:ind w:firstLine="480"/>
        <w:rPr>
          <w:bCs/>
          <w:color w:val="000000"/>
          <w:sz w:val="24"/>
        </w:rPr>
      </w:pPr>
      <w:bookmarkStart w:id="44" w:name="_Hlk196749466"/>
      <w:r>
        <w:rPr>
          <w:rFonts w:hint="eastAsia"/>
          <w:bCs/>
          <w:color w:val="000000"/>
          <w:sz w:val="24"/>
        </w:rPr>
        <w:t>对于投资者依据原《海通半年升集合资产管理计划资产管理合同》参与集合计划获得的海通</w:t>
      </w:r>
      <w:r>
        <w:rPr>
          <w:rFonts w:hint="eastAsia"/>
          <w:bCs/>
          <w:color w:val="000000"/>
          <w:sz w:val="24"/>
        </w:rPr>
        <w:t>半年升集合</w:t>
      </w:r>
      <w:r>
        <w:rPr>
          <w:rFonts w:hint="eastAsia"/>
          <w:bCs/>
          <w:color w:val="000000"/>
          <w:sz w:val="24"/>
        </w:rPr>
        <w:t>资产管理计划份额，自《</w:t>
      </w:r>
      <w:r>
        <w:rPr>
          <w:rFonts w:asciiTheme="minorEastAsia" w:eastAsiaTheme="minorEastAsia" w:hAnsiTheme="minorEastAsia" w:hint="eastAsia"/>
          <w:bCs/>
          <w:color w:val="000000"/>
          <w:sz w:val="24"/>
        </w:rPr>
        <w:t>海通策略优选混合型集合资产管理计划</w:t>
      </w:r>
      <w:r>
        <w:rPr>
          <w:rFonts w:hint="eastAsia"/>
          <w:bCs/>
          <w:color w:val="000000"/>
          <w:sz w:val="24"/>
        </w:rPr>
        <w:t>资产管理合同》生效之日起全部自动转换为</w:t>
      </w:r>
      <w:r>
        <w:rPr>
          <w:rFonts w:asciiTheme="minorEastAsia" w:eastAsiaTheme="minorEastAsia" w:hAnsiTheme="minorEastAsia" w:hint="eastAsia"/>
          <w:bCs/>
          <w:color w:val="000000"/>
          <w:sz w:val="24"/>
        </w:rPr>
        <w:t>海通策略优选混合型集合资产管理计划</w:t>
      </w:r>
      <w:r>
        <w:rPr>
          <w:rFonts w:hint="eastAsia"/>
          <w:bCs/>
          <w:color w:val="000000"/>
          <w:sz w:val="24"/>
        </w:rPr>
        <w:t>A</w:t>
      </w:r>
      <w:r>
        <w:rPr>
          <w:rFonts w:hint="eastAsia"/>
          <w:bCs/>
          <w:color w:val="000000"/>
          <w:sz w:val="24"/>
        </w:rPr>
        <w:t>类份额，自本基金合同生效之日起全部自动转换为本基金</w:t>
      </w:r>
      <w:r>
        <w:rPr>
          <w:rFonts w:hint="eastAsia"/>
          <w:bCs/>
          <w:color w:val="000000"/>
          <w:sz w:val="24"/>
        </w:rPr>
        <w:t>A</w:t>
      </w:r>
      <w:r>
        <w:rPr>
          <w:rFonts w:hint="eastAsia"/>
          <w:bCs/>
          <w:color w:val="000000"/>
          <w:sz w:val="24"/>
        </w:rPr>
        <w:t>类基金份额。</w:t>
      </w:r>
    </w:p>
    <w:p w:rsidR="00AA3326">
      <w:pPr>
        <w:spacing w:line="360" w:lineRule="auto"/>
        <w:ind w:firstLine="480" w:firstLineChars="200"/>
        <w:rPr>
          <w:bCs/>
          <w:color w:val="000000"/>
          <w:sz w:val="24"/>
        </w:rPr>
      </w:pPr>
      <w:r>
        <w:rPr>
          <w:rFonts w:asciiTheme="minorEastAsia" w:eastAsiaTheme="minorEastAsia" w:hAnsiTheme="minorEastAsia" w:hint="eastAsia"/>
          <w:bCs/>
          <w:color w:val="000000"/>
          <w:sz w:val="24"/>
        </w:rPr>
        <w:t>对于投资者依据《海通策略优选混合型集合资产管理计划资产管理合同》获得的海通策略优选混合型集合资产管理计划A类份额，自本基金合同生效之日起全部自动转换为本基金A类基金份额。</w:t>
      </w:r>
      <w:r>
        <w:rPr>
          <w:rFonts w:hint="eastAsia"/>
          <w:bCs/>
          <w:color w:val="000000"/>
          <w:sz w:val="24"/>
        </w:rPr>
        <w:t>对于投资者依据《海通策略优选混合型集合资产管理计划资产管理合同》获得的海通策略优选混合型集合资产管理计划</w:t>
      </w:r>
      <w:r>
        <w:rPr>
          <w:rFonts w:hint="eastAsia"/>
          <w:bCs/>
          <w:color w:val="000000"/>
          <w:sz w:val="24"/>
        </w:rPr>
        <w:t>C</w:t>
      </w:r>
      <w:r>
        <w:rPr>
          <w:rFonts w:hint="eastAsia"/>
          <w:bCs/>
          <w:color w:val="000000"/>
          <w:sz w:val="24"/>
        </w:rPr>
        <w:t>类份额，自本基金合同生效之日起全部自动转换为本基金</w:t>
      </w:r>
      <w:r>
        <w:rPr>
          <w:rFonts w:hint="eastAsia"/>
          <w:bCs/>
          <w:color w:val="000000"/>
          <w:sz w:val="24"/>
        </w:rPr>
        <w:t>C</w:t>
      </w:r>
      <w:r>
        <w:rPr>
          <w:rFonts w:hint="eastAsia"/>
          <w:bCs/>
          <w:color w:val="000000"/>
          <w:sz w:val="24"/>
        </w:rPr>
        <w:t>类基金份额。</w:t>
      </w:r>
    </w:p>
    <w:p w:rsidR="00AA3326">
      <w:pPr>
        <w:spacing w:line="360" w:lineRule="auto"/>
        <w:rPr>
          <w:bCs/>
          <w:color w:val="000000"/>
          <w:sz w:val="24"/>
        </w:rPr>
      </w:pPr>
      <w:bookmarkEnd w:id="44"/>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Cs/>
          <w:kern w:val="44"/>
        </w:rPr>
        <w:br w:type="page"/>
      </w:r>
      <w:bookmarkStart w:id="45" w:name="_Toc819"/>
      <w:bookmarkStart w:id="46" w:name="_Toc22864"/>
      <w:bookmarkStart w:id="47" w:name="_Toc13020"/>
      <w:bookmarkStart w:id="48" w:name="_Toc19592"/>
      <w:bookmarkStart w:id="49" w:name="_Toc24860"/>
      <w:bookmarkStart w:id="50" w:name="_Toc15067"/>
      <w:bookmarkStart w:id="51" w:name="_Toc3224"/>
      <w:bookmarkStart w:id="52" w:name="_Toc2465"/>
      <w:bookmarkStart w:id="53" w:name="_Toc532487727"/>
      <w:bookmarkStart w:id="54" w:name="_Toc31551"/>
      <w:bookmarkStart w:id="55" w:name="_Toc21301"/>
      <w:bookmarkStart w:id="56" w:name="_Toc534140365"/>
      <w:bookmarkStart w:id="57" w:name="_Toc207633400"/>
      <w:bookmarkStart w:id="58" w:name="_Toc6617"/>
      <w:r>
        <w:rPr>
          <w:rFonts w:asciiTheme="minorEastAsia" w:eastAsiaTheme="minorEastAsia" w:hAnsiTheme="minorEastAsia"/>
          <w:sz w:val="30"/>
        </w:rPr>
        <w:t>第</w:t>
      </w:r>
      <w:r>
        <w:rPr>
          <w:rFonts w:asciiTheme="minorEastAsia" w:eastAsiaTheme="minorEastAsia" w:hAnsiTheme="minorEastAsia" w:hint="eastAsia"/>
          <w:sz w:val="30"/>
        </w:rPr>
        <w:t>二</w:t>
      </w:r>
      <w:r>
        <w:rPr>
          <w:rFonts w:asciiTheme="minorEastAsia" w:eastAsiaTheme="minorEastAsia" w:hAnsiTheme="minorEastAsia"/>
          <w:sz w:val="30"/>
        </w:rPr>
        <w:t>部分  释义</w:t>
      </w:r>
      <w:bookmarkEnd w:id="35"/>
      <w:bookmarkEnd w:id="41"/>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AA3326">
      <w:pPr>
        <w:autoSpaceDE w:val="0"/>
        <w:autoSpaceDN w:val="0"/>
        <w:adjustRightInd w:val="0"/>
        <w:spacing w:line="360" w:lineRule="auto"/>
        <w:ind w:firstLine="420" w:firstLineChars="200"/>
        <w:rPr>
          <w:rFonts w:asciiTheme="minorEastAsia" w:eastAsiaTheme="minorEastAsia" w:hAnsiTheme="minorEastAsia" w:hint="eastAsia"/>
          <w:bCs/>
          <w:color w:val="000000"/>
        </w:rPr>
      </w:pP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在基金合同中，除非文意另有所指，下列词语或简称具有如下含义：</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59" w:name="_Hlk196897738"/>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、基金或本基金</w:t>
      </w:r>
      <w:r>
        <w:rPr>
          <w:rFonts w:asciiTheme="minorEastAsia" w:eastAsiaTheme="minorEastAsia" w:hAnsiTheme="minorEastAsia"/>
          <w:bCs/>
          <w:color w:val="000000"/>
          <w:sz w:val="24"/>
          <w:szCs w:val="24"/>
        </w:rPr>
        <w:t>：指</w:t>
      </w:r>
      <w:r>
        <w:rPr>
          <w:rFonts w:asciiTheme="minorEastAsia" w:eastAsiaTheme="minorEastAsia" w:hAnsiTheme="minorEastAsia" w:hint="eastAsia"/>
          <w:bCs/>
          <w:color w:val="000000"/>
          <w:sz w:val="24"/>
          <w:szCs w:val="24"/>
        </w:rPr>
        <w:t>国泰海通新锐量化选股混合型证券投资基金</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、基金管理人</w:t>
      </w:r>
      <w:r>
        <w:rPr>
          <w:rFonts w:asciiTheme="minorEastAsia" w:eastAsiaTheme="minorEastAsia" w:hAnsiTheme="minorEastAsia"/>
          <w:bCs/>
          <w:color w:val="000000"/>
          <w:sz w:val="24"/>
          <w:szCs w:val="24"/>
        </w:rPr>
        <w:t>：指</w:t>
      </w:r>
      <w:bookmarkStart w:id="60" w:name="_Hlk197504049"/>
      <w:r>
        <w:rPr>
          <w:rFonts w:ascii="宋体" w:hAnsi="宋体" w:hint="eastAsia"/>
          <w:color w:val="000000"/>
          <w:spacing w:val="6"/>
          <w:sz w:val="24"/>
        </w:rPr>
        <w:t>上海国泰海通证券资产管理有限公司</w:t>
      </w:r>
      <w:bookmarkEnd w:id="60"/>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、基金托管人</w:t>
      </w:r>
      <w:r>
        <w:rPr>
          <w:rFonts w:asciiTheme="minorEastAsia" w:eastAsiaTheme="minorEastAsia" w:hAnsiTheme="minorEastAsia"/>
          <w:bCs/>
          <w:color w:val="000000"/>
          <w:sz w:val="24"/>
          <w:szCs w:val="24"/>
        </w:rPr>
        <w:t>：指</w:t>
      </w:r>
      <w:r>
        <w:rPr>
          <w:rFonts w:asciiTheme="minorEastAsia" w:eastAsiaTheme="minorEastAsia" w:hAnsiTheme="minorEastAsia" w:hint="eastAsia"/>
          <w:bCs/>
          <w:color w:val="000000"/>
          <w:sz w:val="24"/>
          <w:szCs w:val="24"/>
        </w:rPr>
        <w:t>中国民生银行股份有限公司</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或本基金合同</w:t>
      </w:r>
      <w:r>
        <w:rPr>
          <w:rFonts w:asciiTheme="minorEastAsia" w:eastAsiaTheme="minorEastAsia" w:hAnsiTheme="minorEastAsia"/>
          <w:bCs/>
          <w:color w:val="000000"/>
          <w:sz w:val="24"/>
          <w:szCs w:val="24"/>
        </w:rPr>
        <w:t>：指《</w:t>
      </w:r>
      <w:r>
        <w:rPr>
          <w:rFonts w:hint="eastAsia"/>
          <w:bCs/>
          <w:color w:val="000000"/>
          <w:sz w:val="24"/>
        </w:rPr>
        <w:t>国泰海通新锐量化选股混合型证券投资基金</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》及对本</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的任何有效修订和补充</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托管协议：指基金管理人与基金托管人就本基金签订之《</w:t>
      </w:r>
      <w:r>
        <w:rPr>
          <w:rFonts w:hint="eastAsia"/>
          <w:bCs/>
          <w:color w:val="000000"/>
          <w:sz w:val="24"/>
        </w:rPr>
        <w:t>国泰海通新锐量化选股混合型证券投资基金</w:t>
      </w:r>
      <w:r>
        <w:rPr>
          <w:rFonts w:asciiTheme="minorEastAsia" w:eastAsiaTheme="minorEastAsia" w:hAnsiTheme="minorEastAsia"/>
          <w:bCs/>
          <w:color w:val="000000"/>
          <w:sz w:val="24"/>
          <w:szCs w:val="24"/>
        </w:rPr>
        <w:t>托管协议》及对该托管协议的任何有效修订和补充</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招募说明书：指《</w:t>
      </w:r>
      <w:r>
        <w:rPr>
          <w:rFonts w:hint="eastAsia"/>
          <w:bCs/>
          <w:color w:val="000000"/>
          <w:sz w:val="24"/>
        </w:rPr>
        <w:t>国泰海通新锐量化选股混合型证券投资基金</w:t>
      </w:r>
      <w:r>
        <w:rPr>
          <w:rFonts w:asciiTheme="minorEastAsia" w:eastAsiaTheme="minorEastAsia" w:hAnsiTheme="minorEastAsia" w:hint="eastAsia"/>
          <w:bCs/>
          <w:color w:val="000000"/>
          <w:sz w:val="24"/>
          <w:szCs w:val="24"/>
        </w:rPr>
        <w:t>招募说明书</w:t>
      </w:r>
      <w:r>
        <w:rPr>
          <w:rFonts w:asciiTheme="minorEastAsia" w:eastAsiaTheme="minorEastAsia" w:hAnsiTheme="minorEastAsia"/>
          <w:bCs/>
          <w:color w:val="000000"/>
          <w:sz w:val="24"/>
          <w:szCs w:val="24"/>
        </w:rPr>
        <w:t>》及其更新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7、基金产品资料概要：指《</w:t>
      </w:r>
      <w:r>
        <w:rPr>
          <w:rFonts w:hint="eastAsia"/>
          <w:bCs/>
          <w:color w:val="000000"/>
          <w:sz w:val="24"/>
        </w:rPr>
        <w:t>国泰海通新锐量化选股混合型证券投资基金基金</w:t>
      </w:r>
      <w:r>
        <w:rPr>
          <w:rFonts w:asciiTheme="minorEastAsia" w:eastAsiaTheme="minorEastAsia" w:hAnsiTheme="minorEastAsia" w:hint="eastAsia"/>
          <w:bCs/>
          <w:color w:val="000000"/>
          <w:sz w:val="24"/>
          <w:szCs w:val="24"/>
        </w:rPr>
        <w:t>产品资料概要》及其更新</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61" w:name="_Hlk196897769"/>
      <w:bookmarkEnd w:id="59"/>
      <w:r>
        <w:rPr>
          <w:rFonts w:asciiTheme="minorEastAsia" w:eastAsiaTheme="minorEastAsia" w:hAnsiTheme="minorEastAsia"/>
          <w:bCs/>
          <w:color w:val="000000"/>
          <w:sz w:val="24"/>
          <w:szCs w:val="24"/>
        </w:rPr>
        <w:t>8</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法律法规：指中国现行有效并公布实施的法律、行政法规、规范性文件、司法解释、行政规章以及其他对</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当事人有约束力的决定、决议、通知等</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62" w:name="_Hlk196897773"/>
      <w:bookmarkEnd w:id="61"/>
      <w:r>
        <w:rPr>
          <w:rFonts w:asciiTheme="minorEastAsia" w:eastAsiaTheme="minorEastAsia" w:hAnsiTheme="minorEastAsia"/>
          <w:bCs/>
          <w:color w:val="000000"/>
          <w:sz w:val="24"/>
          <w:szCs w:val="24"/>
        </w:rPr>
        <w:t>9</w:t>
      </w:r>
      <w:r>
        <w:rPr>
          <w:rFonts w:asciiTheme="minorEastAsia" w:eastAsiaTheme="minorEastAsia" w:hAnsiTheme="minorEastAsia" w:hint="eastAsia"/>
          <w:bCs/>
          <w:color w:val="000000"/>
          <w:sz w:val="24"/>
          <w:szCs w:val="24"/>
        </w:rPr>
        <w:t>、</w:t>
      </w:r>
      <w:bookmarkStart w:id="63" w:name="_Hlk196897830"/>
      <w:r>
        <w:rPr>
          <w:rFonts w:asciiTheme="minorEastAsia" w:eastAsiaTheme="minorEastAsia" w:hAnsiTheme="minorEastAsia"/>
          <w:bCs/>
          <w:color w:val="000000"/>
          <w:sz w:val="24"/>
          <w:szCs w:val="24"/>
        </w:rPr>
        <w:t>《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w:t>
      </w:r>
      <w:r>
        <w:rPr>
          <w:rFonts w:asciiTheme="minorEastAsia" w:eastAsiaTheme="minorEastAsia" w:hAnsiTheme="minorEastAsia" w:hint="eastAsia"/>
          <w:bCs/>
          <w:color w:val="000000"/>
          <w:sz w:val="24"/>
          <w:szCs w:val="24"/>
        </w:rPr>
        <w:t>正</w:t>
      </w:r>
      <w:r>
        <w:rPr>
          <w:rFonts w:asciiTheme="minorEastAsia" w:eastAsiaTheme="minorEastAsia" w:hAnsiTheme="minorEastAsia"/>
          <w:bCs/>
          <w:color w:val="000000"/>
          <w:sz w:val="24"/>
          <w:szCs w:val="24"/>
        </w:rPr>
        <w:t>的《中华人民共和国证券投资基金法》及颁布机关对其不时做出的修订</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62"/>
      <w:bookmarkEnd w:id="63"/>
      <w:r>
        <w:rPr>
          <w:rFonts w:asciiTheme="minorEastAsia" w:eastAsiaTheme="minorEastAsia" w:hAnsiTheme="minorEastAsia"/>
          <w:bCs/>
          <w:color w:val="000000"/>
          <w:sz w:val="24"/>
          <w:szCs w:val="24"/>
        </w:rPr>
        <w:t>10</w:t>
      </w:r>
      <w:r>
        <w:rPr>
          <w:rFonts w:asciiTheme="minorEastAsia" w:eastAsiaTheme="minorEastAsia" w:hAnsiTheme="minorEastAsia" w:hint="eastAsia"/>
          <w:bCs/>
          <w:color w:val="000000"/>
          <w:sz w:val="24"/>
          <w:szCs w:val="24"/>
        </w:rPr>
        <w:t>、</w:t>
      </w:r>
      <w:bookmarkStart w:id="64" w:name="_Hlk196897845"/>
      <w:r>
        <w:rPr>
          <w:rFonts w:asciiTheme="minorEastAsia" w:eastAsiaTheme="minorEastAsia" w:hAnsiTheme="minorEastAsia"/>
          <w:bCs/>
          <w:color w:val="000000"/>
          <w:sz w:val="24"/>
          <w:szCs w:val="24"/>
        </w:rPr>
        <w:t>《销售办法》：指中国证监会2020年8月</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8日颁布、同年10月1日实施的《公开募集证券投资基金销售机构监督管理办法》及颁布机关对其不时做出的修订</w:t>
      </w:r>
      <w:bookmarkEnd w:id="64"/>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11</w:t>
      </w:r>
      <w:r>
        <w:rPr>
          <w:rFonts w:asciiTheme="minorEastAsia" w:eastAsiaTheme="minorEastAsia" w:hAnsiTheme="minorEastAsia" w:hint="eastAsia"/>
          <w:bCs/>
          <w:color w:val="000000"/>
          <w:sz w:val="24"/>
          <w:szCs w:val="24"/>
        </w:rPr>
        <w:t>、</w:t>
      </w:r>
      <w:bookmarkStart w:id="65" w:name="_Hlk196897849"/>
      <w:r>
        <w:rPr>
          <w:rFonts w:asciiTheme="minorEastAsia" w:eastAsiaTheme="minorEastAsia" w:hAnsiTheme="minorEastAsia"/>
          <w:bCs/>
          <w:color w:val="000000"/>
          <w:sz w:val="24"/>
          <w:szCs w:val="24"/>
        </w:rPr>
        <w:t>《信息披露办法》：指</w:t>
      </w:r>
      <w:r>
        <w:rPr>
          <w:rFonts w:asciiTheme="minorEastAsia" w:eastAsiaTheme="minorEastAsia" w:hAnsiTheme="minorEastAsia" w:hint="eastAsia"/>
          <w:bCs/>
          <w:color w:val="000000"/>
          <w:sz w:val="24"/>
          <w:szCs w:val="24"/>
        </w:rPr>
        <w:t>中国证监会2019年7月26日颁布、同年9月1日实施的，并经2020年3月20日中国证监会《关于修改部分证券期货规章的决定》修正的《公开募集证券投资基金信息披露管理办法》及颁布机关对其不时做出的修订</w:t>
      </w:r>
      <w:bookmarkEnd w:id="65"/>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12</w:t>
      </w:r>
      <w:r>
        <w:rPr>
          <w:rFonts w:asciiTheme="minorEastAsia" w:eastAsiaTheme="minorEastAsia" w:hAnsiTheme="minorEastAsia" w:hint="eastAsia"/>
          <w:bCs/>
          <w:color w:val="000000"/>
          <w:sz w:val="24"/>
          <w:szCs w:val="24"/>
        </w:rPr>
        <w:t>、</w:t>
      </w:r>
      <w:bookmarkStart w:id="66" w:name="_Hlk196897861"/>
      <w:r>
        <w:rPr>
          <w:rFonts w:asciiTheme="minorEastAsia" w:eastAsiaTheme="minorEastAsia" w:hAnsiTheme="minorEastAsia"/>
          <w:bCs/>
          <w:color w:val="000000"/>
          <w:sz w:val="24"/>
          <w:szCs w:val="24"/>
        </w:rPr>
        <w:t>《运作办法》：指中国证监会20</w:t>
      </w:r>
      <w:r>
        <w:rPr>
          <w:rFonts w:asciiTheme="minorEastAsia" w:eastAsiaTheme="minorEastAsia" w:hAnsiTheme="minorEastAsia" w:hint="eastAsia"/>
          <w:bCs/>
          <w:color w:val="000000"/>
          <w:sz w:val="24"/>
          <w:szCs w:val="24"/>
        </w:rPr>
        <w:t>14</w:t>
      </w:r>
      <w:r>
        <w:rPr>
          <w:rFonts w:asciiTheme="minorEastAsia" w:eastAsiaTheme="minorEastAsia" w:hAnsiTheme="minorEastAsia"/>
          <w:bCs/>
          <w:color w:val="000000"/>
          <w:sz w:val="24"/>
          <w:szCs w:val="24"/>
        </w:rPr>
        <w:t>年</w:t>
      </w:r>
      <w:r>
        <w:rPr>
          <w:rFonts w:asciiTheme="minorEastAsia" w:eastAsiaTheme="minorEastAsia" w:hAnsiTheme="minorEastAsia" w:hint="eastAsia"/>
          <w:bCs/>
          <w:color w:val="000000"/>
          <w:sz w:val="24"/>
          <w:szCs w:val="24"/>
        </w:rPr>
        <w:t>7</w:t>
      </w:r>
      <w:r>
        <w:rPr>
          <w:rFonts w:asciiTheme="minorEastAsia" w:eastAsiaTheme="minorEastAsia" w:hAnsiTheme="minorEastAsia"/>
          <w:bCs/>
          <w:color w:val="000000"/>
          <w:sz w:val="24"/>
          <w:szCs w:val="24"/>
        </w:rPr>
        <w:t>月</w:t>
      </w:r>
      <w:r>
        <w:rPr>
          <w:rFonts w:asciiTheme="minorEastAsia" w:eastAsiaTheme="minorEastAsia" w:hAnsiTheme="minorEastAsia" w:hint="eastAsia"/>
          <w:bCs/>
          <w:color w:val="000000"/>
          <w:sz w:val="24"/>
          <w:szCs w:val="24"/>
        </w:rPr>
        <w:t>7</w:t>
      </w:r>
      <w:r>
        <w:rPr>
          <w:rFonts w:asciiTheme="minorEastAsia" w:eastAsiaTheme="minorEastAsia" w:hAnsiTheme="minorEastAsia"/>
          <w:bCs/>
          <w:color w:val="000000"/>
          <w:sz w:val="24"/>
          <w:szCs w:val="24"/>
        </w:rPr>
        <w:t>日颁布、同年</w:t>
      </w:r>
      <w:r>
        <w:rPr>
          <w:rFonts w:asciiTheme="minorEastAsia" w:eastAsiaTheme="minorEastAsia" w:hAnsiTheme="minorEastAsia" w:hint="eastAsia"/>
          <w:bCs/>
          <w:color w:val="000000"/>
          <w:sz w:val="24"/>
          <w:szCs w:val="24"/>
        </w:rPr>
        <w:t>8</w:t>
      </w:r>
      <w:r>
        <w:rPr>
          <w:rFonts w:asciiTheme="minorEastAsia" w:eastAsiaTheme="minorEastAsia" w:hAnsiTheme="minorEastAsia"/>
          <w:bCs/>
          <w:color w:val="000000"/>
          <w:sz w:val="24"/>
          <w:szCs w:val="24"/>
        </w:rPr>
        <w:t>月</w:t>
      </w:r>
      <w:r>
        <w:rPr>
          <w:rFonts w:asciiTheme="minorEastAsia" w:eastAsiaTheme="minorEastAsia" w:hAnsiTheme="minorEastAsia" w:hint="eastAsia"/>
          <w:bCs/>
          <w:color w:val="000000"/>
          <w:sz w:val="24"/>
          <w:szCs w:val="24"/>
        </w:rPr>
        <w:t>8</w:t>
      </w:r>
      <w:r>
        <w:rPr>
          <w:rFonts w:asciiTheme="minorEastAsia" w:eastAsiaTheme="minorEastAsia" w:hAnsiTheme="minorEastAsia"/>
          <w:bCs/>
          <w:color w:val="000000"/>
          <w:sz w:val="24"/>
          <w:szCs w:val="24"/>
        </w:rPr>
        <w:t>日实施的《</w:t>
      </w:r>
      <w:r>
        <w:rPr>
          <w:rFonts w:asciiTheme="minorEastAsia" w:eastAsiaTheme="minorEastAsia" w:hAnsiTheme="minorEastAsia" w:hint="eastAsia"/>
          <w:bCs/>
          <w:color w:val="000000"/>
          <w:sz w:val="24"/>
          <w:szCs w:val="24"/>
        </w:rPr>
        <w:t>公开募集</w:t>
      </w:r>
      <w:r>
        <w:rPr>
          <w:rFonts w:asciiTheme="minorEastAsia" w:eastAsiaTheme="minorEastAsia" w:hAnsiTheme="minorEastAsia"/>
          <w:bCs/>
          <w:color w:val="000000"/>
          <w:sz w:val="24"/>
          <w:szCs w:val="24"/>
        </w:rPr>
        <w:t>证券投资基金运作管理办法》及颁布机关对其不时做出的修订</w:t>
      </w:r>
      <w:bookmarkEnd w:id="66"/>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13、</w:t>
      </w:r>
      <w:bookmarkStart w:id="67" w:name="_Hlk196897865"/>
      <w:r>
        <w:rPr>
          <w:rFonts w:asciiTheme="minorEastAsia" w:eastAsiaTheme="minorEastAsia" w:hAnsiTheme="minorEastAsia"/>
          <w:bCs/>
          <w:color w:val="000000"/>
          <w:sz w:val="24"/>
          <w:szCs w:val="24"/>
        </w:rPr>
        <w:t>《流动性</w:t>
      </w:r>
      <w:r>
        <w:rPr>
          <w:rFonts w:asciiTheme="minorEastAsia" w:eastAsiaTheme="minorEastAsia" w:hAnsiTheme="minorEastAsia" w:hint="eastAsia"/>
          <w:bCs/>
          <w:color w:val="000000"/>
          <w:sz w:val="24"/>
          <w:szCs w:val="24"/>
        </w:rPr>
        <w:t>风险管理</w:t>
      </w:r>
      <w:r>
        <w:rPr>
          <w:rFonts w:asciiTheme="minorEastAsia" w:eastAsiaTheme="minorEastAsia" w:hAnsiTheme="minorEastAsia"/>
          <w:bCs/>
          <w:color w:val="000000"/>
          <w:sz w:val="24"/>
          <w:szCs w:val="24"/>
        </w:rPr>
        <w:t>规定》：指中国证监会2017年8月31日颁布、同年10月1日实施的《公开募集开放式证券投资基金流动性风险管理规定》及颁布机关对其不时做出的修订</w:t>
      </w:r>
      <w:bookmarkEnd w:id="67"/>
    </w:p>
    <w:p w:rsidR="00AA3326">
      <w:pPr>
        <w:spacing w:line="360" w:lineRule="auto"/>
        <w:ind w:firstLine="480" w:firstLineChars="200"/>
        <w:rPr>
          <w:rFonts w:asciiTheme="minorEastAsia" w:eastAsiaTheme="minorEastAsia" w:hAnsiTheme="minorEastAsia" w:hint="eastAsia"/>
          <w:bCs/>
          <w:color w:val="000000"/>
          <w:sz w:val="24"/>
          <w:szCs w:val="24"/>
        </w:rPr>
      </w:pPr>
      <w:bookmarkStart w:id="68" w:name="_Hlk196897870"/>
      <w:r>
        <w:rPr>
          <w:rFonts w:asciiTheme="minorEastAsia" w:eastAsiaTheme="minorEastAsia" w:hAnsiTheme="minorEastAsia"/>
          <w:bCs/>
          <w:color w:val="000000"/>
          <w:sz w:val="24"/>
          <w:szCs w:val="24"/>
        </w:rPr>
        <w:t>14</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中国证监会：指中国证券监督管理委员会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15</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银行业监督管理机构：指中国人民银行和/或</w:t>
      </w:r>
      <w:r>
        <w:rPr>
          <w:rFonts w:hint="eastAsia"/>
          <w:bCs/>
          <w:color w:val="000000"/>
          <w:sz w:val="24"/>
        </w:rPr>
        <w:t>国家金融监督管理总局</w:t>
      </w:r>
      <w:bookmarkEnd w:id="68"/>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16</w:t>
      </w:r>
      <w:r>
        <w:rPr>
          <w:rFonts w:asciiTheme="minorEastAsia" w:eastAsiaTheme="minorEastAsia" w:hAnsiTheme="minorEastAsia" w:hint="eastAsia"/>
          <w:bCs/>
          <w:color w:val="000000"/>
          <w:sz w:val="24"/>
          <w:szCs w:val="24"/>
        </w:rPr>
        <w:t>、</w:t>
      </w:r>
      <w:bookmarkStart w:id="69" w:name="_Hlk196897884"/>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当事人：指受</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约束，根据</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享有权利并承担义务的法律主体，包括</w:t>
      </w:r>
      <w:r>
        <w:rPr>
          <w:rFonts w:asciiTheme="minorEastAsia" w:eastAsiaTheme="minorEastAsia" w:hAnsiTheme="minorEastAsia" w:hint="eastAsia"/>
          <w:bCs/>
          <w:color w:val="000000"/>
          <w:sz w:val="24"/>
          <w:szCs w:val="24"/>
        </w:rPr>
        <w:t>基金管理人</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基金托管人</w:t>
      </w:r>
      <w:r>
        <w:rPr>
          <w:rFonts w:asciiTheme="minorEastAsia" w:eastAsiaTheme="minorEastAsia" w:hAnsiTheme="minorEastAsia"/>
          <w:bCs/>
          <w:color w:val="000000"/>
          <w:sz w:val="24"/>
          <w:szCs w:val="24"/>
        </w:rPr>
        <w:t>和</w:t>
      </w:r>
      <w:r>
        <w:rPr>
          <w:rFonts w:asciiTheme="minorEastAsia" w:eastAsiaTheme="minorEastAsia" w:hAnsiTheme="minorEastAsia" w:hint="eastAsia"/>
          <w:bCs/>
          <w:color w:val="000000"/>
          <w:sz w:val="24"/>
          <w:szCs w:val="24"/>
        </w:rPr>
        <w:t>基金份额持有人</w:t>
      </w:r>
      <w:bookmarkEnd w:id="69"/>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17</w:t>
      </w:r>
      <w:r>
        <w:rPr>
          <w:rFonts w:asciiTheme="minorEastAsia" w:eastAsiaTheme="minorEastAsia" w:hAnsiTheme="minorEastAsia" w:hint="eastAsia"/>
          <w:bCs/>
          <w:color w:val="000000"/>
          <w:sz w:val="24"/>
          <w:szCs w:val="24"/>
        </w:rPr>
        <w:t>、</w:t>
      </w:r>
      <w:bookmarkStart w:id="70" w:name="_Hlk196897952"/>
      <w:r>
        <w:rPr>
          <w:rFonts w:asciiTheme="minorEastAsia" w:eastAsiaTheme="minorEastAsia" w:hAnsiTheme="minorEastAsia"/>
          <w:bCs/>
          <w:color w:val="000000"/>
          <w:sz w:val="24"/>
          <w:szCs w:val="24"/>
        </w:rPr>
        <w:t>个人投资者：指依据有关法律法规规定可投资于证券投资基金的自然人</w:t>
      </w:r>
      <w:bookmarkEnd w:id="70"/>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18</w:t>
      </w:r>
      <w:r>
        <w:rPr>
          <w:rFonts w:asciiTheme="minorEastAsia" w:eastAsiaTheme="minorEastAsia" w:hAnsiTheme="minorEastAsia" w:hint="eastAsia"/>
          <w:bCs/>
          <w:color w:val="000000"/>
          <w:sz w:val="24"/>
          <w:szCs w:val="24"/>
        </w:rPr>
        <w:t>、</w:t>
      </w:r>
      <w:bookmarkStart w:id="71" w:name="_Hlk196897957"/>
      <w:r>
        <w:rPr>
          <w:rFonts w:asciiTheme="minorEastAsia" w:eastAsiaTheme="minorEastAsia" w:hAnsiTheme="minorEastAsia"/>
          <w:bCs/>
          <w:color w:val="000000"/>
          <w:sz w:val="24"/>
          <w:szCs w:val="24"/>
        </w:rPr>
        <w:t>机构投资者：指依法可以投资证券投资基金的、在中华人民共和国境内合法登记并存续或经有关政府部门批准设立并存续的企业法人、事业法人、社会团体或其他组织</w:t>
      </w:r>
      <w:bookmarkEnd w:id="71"/>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19</w:t>
      </w:r>
      <w:r>
        <w:rPr>
          <w:rFonts w:asciiTheme="minorEastAsia" w:eastAsiaTheme="minorEastAsia" w:hAnsiTheme="minorEastAsia" w:hint="eastAsia"/>
          <w:bCs/>
          <w:color w:val="000000"/>
          <w:sz w:val="24"/>
          <w:szCs w:val="24"/>
        </w:rPr>
        <w:t>、</w:t>
      </w:r>
      <w:bookmarkStart w:id="72" w:name="_Hlk196897962"/>
      <w:r>
        <w:rPr>
          <w:rFonts w:asciiTheme="minorEastAsia" w:eastAsiaTheme="minorEastAsia" w:hAnsiTheme="minorEastAsia" w:hint="eastAsia"/>
          <w:bCs/>
          <w:color w:val="000000"/>
          <w:sz w:val="24"/>
          <w:szCs w:val="24"/>
        </w:rPr>
        <w:t>合格境外投资者：指符合《合格境外机构投资者和人民币合格境外机构投资者境内证券期货投资管理办法》及相关法律法规规定使用来自境外的资金进行境内证券期货投资的境外机构投资者，包括合格境外机构投资者和人民币合格境外机构投资者</w:t>
      </w:r>
      <w:bookmarkEnd w:id="72"/>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20</w:t>
      </w:r>
      <w:r>
        <w:rPr>
          <w:rFonts w:asciiTheme="minorEastAsia" w:eastAsiaTheme="minorEastAsia" w:hAnsiTheme="minorEastAsia" w:hint="eastAsia"/>
          <w:bCs/>
          <w:color w:val="000000"/>
          <w:sz w:val="24"/>
          <w:szCs w:val="24"/>
        </w:rPr>
        <w:t>、</w:t>
      </w:r>
      <w:bookmarkStart w:id="73" w:name="_Hlk196897969"/>
      <w:r>
        <w:rPr>
          <w:rFonts w:asciiTheme="minorEastAsia" w:eastAsiaTheme="minorEastAsia" w:hAnsiTheme="minorEastAsia"/>
          <w:bCs/>
          <w:color w:val="000000"/>
          <w:sz w:val="24"/>
          <w:szCs w:val="24"/>
        </w:rPr>
        <w:t>投资人</w:t>
      </w:r>
      <w:r>
        <w:rPr>
          <w:rFonts w:asciiTheme="minorEastAsia" w:eastAsiaTheme="minorEastAsia" w:hAnsiTheme="minorEastAsia" w:hint="eastAsia"/>
          <w:bCs/>
          <w:color w:val="000000"/>
          <w:sz w:val="24"/>
          <w:szCs w:val="24"/>
        </w:rPr>
        <w:t>、投资者</w:t>
      </w:r>
      <w:r>
        <w:rPr>
          <w:rFonts w:asciiTheme="minorEastAsia" w:eastAsiaTheme="minorEastAsia" w:hAnsiTheme="minorEastAsia"/>
          <w:bCs/>
          <w:color w:val="000000"/>
          <w:sz w:val="24"/>
          <w:szCs w:val="24"/>
        </w:rPr>
        <w:t>：指个人投资者、机构投资者</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合格境外投资者以及法律法规或中国证监会允许购买证券投资基金的其他投资人的合称</w:t>
      </w:r>
      <w:bookmarkEnd w:id="73"/>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21</w:t>
      </w:r>
      <w:r>
        <w:rPr>
          <w:rFonts w:asciiTheme="minorEastAsia" w:eastAsiaTheme="minorEastAsia" w:hAnsiTheme="minorEastAsia" w:hint="eastAsia"/>
          <w:bCs/>
          <w:color w:val="000000"/>
          <w:sz w:val="24"/>
          <w:szCs w:val="24"/>
        </w:rPr>
        <w:t>、</w:t>
      </w:r>
      <w:bookmarkStart w:id="74" w:name="_Hlk196897974"/>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：指依</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和招募说明书合法取得</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的投资人</w:t>
      </w:r>
      <w:bookmarkEnd w:id="74"/>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22</w:t>
      </w:r>
      <w:r>
        <w:rPr>
          <w:rFonts w:asciiTheme="minorEastAsia" w:eastAsiaTheme="minorEastAsia" w:hAnsiTheme="minorEastAsia" w:hint="eastAsia"/>
          <w:bCs/>
          <w:color w:val="000000"/>
          <w:sz w:val="24"/>
          <w:szCs w:val="24"/>
        </w:rPr>
        <w:t>、</w:t>
      </w:r>
      <w:bookmarkStart w:id="75" w:name="_Hlk196897979"/>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销售业务：指基金管理人或销售机构宣传推介</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w:t>
      </w:r>
      <w:r>
        <w:rPr>
          <w:rFonts w:ascii="宋体" w:hAnsi="宋体" w:hint="eastAsia"/>
          <w:bCs/>
          <w:color w:val="000000"/>
          <w:sz w:val="24"/>
          <w:szCs w:val="24"/>
        </w:rPr>
        <w:t>销</w:t>
      </w:r>
      <w:r>
        <w:rPr>
          <w:rFonts w:ascii="宋体" w:hAnsi="宋体"/>
          <w:bCs/>
          <w:color w:val="000000"/>
          <w:sz w:val="24"/>
          <w:szCs w:val="24"/>
        </w:rPr>
        <w:t>售</w:t>
      </w:r>
      <w:r>
        <w:rPr>
          <w:rFonts w:ascii="宋体" w:hAnsi="宋体" w:hint="eastAsia"/>
          <w:bCs/>
          <w:color w:val="000000"/>
          <w:sz w:val="24"/>
          <w:szCs w:val="24"/>
        </w:rPr>
        <w:t>基金份额</w:t>
      </w:r>
      <w:r>
        <w:rPr>
          <w:rFonts w:ascii="宋体" w:hAnsi="宋体"/>
          <w:bCs/>
          <w:color w:val="000000"/>
          <w:sz w:val="24"/>
          <w:szCs w:val="24"/>
        </w:rPr>
        <w:t>，</w:t>
      </w:r>
      <w:r>
        <w:rPr>
          <w:rFonts w:asciiTheme="minorEastAsia" w:eastAsiaTheme="minorEastAsia" w:hAnsiTheme="minorEastAsia"/>
          <w:bCs/>
          <w:color w:val="000000"/>
          <w:sz w:val="24"/>
          <w:szCs w:val="24"/>
        </w:rPr>
        <w:t>办理</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的申购、赎回、转换、转托管及定期定额投资等业务</w:t>
      </w:r>
      <w:bookmarkEnd w:id="75"/>
    </w:p>
    <w:p w:rsidR="00AA3326">
      <w:pPr>
        <w:spacing w:line="360" w:lineRule="auto"/>
        <w:ind w:firstLine="480" w:firstLineChars="200"/>
        <w:rPr>
          <w:rFonts w:asciiTheme="minorEastAsia" w:eastAsiaTheme="minorEastAsia" w:hAnsiTheme="minorEastAsia" w:hint="eastAsia"/>
          <w:bCs/>
          <w:color w:val="000000"/>
          <w:sz w:val="24"/>
          <w:szCs w:val="24"/>
        </w:rPr>
      </w:pPr>
      <w:bookmarkStart w:id="76" w:name="_Hlk196897983"/>
      <w:r>
        <w:rPr>
          <w:rFonts w:asciiTheme="minorEastAsia" w:eastAsiaTheme="minorEastAsia" w:hAnsiTheme="minorEastAsia"/>
          <w:bCs/>
          <w:color w:val="000000"/>
          <w:sz w:val="24"/>
          <w:szCs w:val="24"/>
        </w:rPr>
        <w:t>23</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销售机构：指</w:t>
      </w:r>
      <w:r>
        <w:rPr>
          <w:rFonts w:hint="eastAsia"/>
          <w:bCs/>
          <w:color w:val="000000"/>
          <w:sz w:val="24"/>
        </w:rPr>
        <w:t>上海国泰海通证券资产管理有限公司</w:t>
      </w:r>
      <w:r>
        <w:rPr>
          <w:rFonts w:asciiTheme="minorEastAsia" w:eastAsiaTheme="minorEastAsia" w:hAnsiTheme="minorEastAsia"/>
          <w:bCs/>
          <w:color w:val="000000"/>
          <w:sz w:val="24"/>
          <w:szCs w:val="24"/>
        </w:rPr>
        <w:t>以及符合《销售办法》和中国证监会规定的其他条件，取得</w:t>
      </w:r>
      <w:r>
        <w:rPr>
          <w:rFonts w:asciiTheme="minorEastAsia" w:eastAsiaTheme="minorEastAsia" w:hAnsiTheme="minorEastAsia" w:hint="eastAsia"/>
          <w:bCs/>
          <w:color w:val="000000"/>
          <w:sz w:val="24"/>
          <w:szCs w:val="24"/>
        </w:rPr>
        <w:t>基金销售</w:t>
      </w:r>
      <w:r>
        <w:rPr>
          <w:rFonts w:asciiTheme="minorEastAsia" w:eastAsiaTheme="minorEastAsia" w:hAnsiTheme="minorEastAsia"/>
          <w:bCs/>
          <w:color w:val="000000"/>
          <w:sz w:val="24"/>
          <w:szCs w:val="24"/>
        </w:rPr>
        <w:t>业务资格并与基金管理人签订了</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销售服务协议，办理</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销售业务的机构</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77" w:name="_Hlk196897990"/>
      <w:bookmarkEnd w:id="76"/>
      <w:r>
        <w:rPr>
          <w:rFonts w:asciiTheme="minorEastAsia" w:eastAsiaTheme="minorEastAsia" w:hAnsiTheme="minorEastAsia"/>
          <w:bCs/>
          <w:color w:val="000000"/>
          <w:sz w:val="24"/>
          <w:szCs w:val="24"/>
        </w:rPr>
        <w:t>24</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登记业务：指</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登记、存管、过户、清算和结算业务，具体内容包括投资人</w:t>
      </w:r>
      <w:r>
        <w:rPr>
          <w:rFonts w:asciiTheme="minorEastAsia" w:eastAsiaTheme="minorEastAsia" w:hAnsiTheme="minorEastAsia" w:hint="eastAsia"/>
          <w:bCs/>
          <w:color w:val="000000"/>
          <w:sz w:val="24"/>
          <w:szCs w:val="24"/>
        </w:rPr>
        <w:t>基金账户</w:t>
      </w:r>
      <w:r>
        <w:rPr>
          <w:rFonts w:asciiTheme="minorEastAsia" w:eastAsiaTheme="minorEastAsia" w:hAnsiTheme="minorEastAsia"/>
          <w:bCs/>
          <w:color w:val="000000"/>
          <w:sz w:val="24"/>
          <w:szCs w:val="24"/>
        </w:rPr>
        <w:t>的建立和管理、</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登记、</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销售业务的确认、清算和结算、代理发放红利、建立并保管</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名册</w:t>
      </w:r>
      <w:r>
        <w:rPr>
          <w:rFonts w:asciiTheme="minorEastAsia" w:eastAsiaTheme="minorEastAsia" w:hAnsiTheme="minorEastAsia" w:hint="eastAsia"/>
          <w:bCs/>
          <w:color w:val="000000"/>
          <w:sz w:val="24"/>
          <w:szCs w:val="24"/>
        </w:rPr>
        <w:t>和办理</w:t>
      </w:r>
      <w:r>
        <w:rPr>
          <w:rFonts w:asciiTheme="minorEastAsia" w:eastAsiaTheme="minorEastAsia" w:hAnsiTheme="minorEastAsia" w:hint="eastAsia"/>
          <w:bCs/>
          <w:color w:val="000000"/>
          <w:sz w:val="24"/>
          <w:szCs w:val="24"/>
        </w:rPr>
        <w:t>非交易</w:t>
      </w:r>
      <w:r>
        <w:rPr>
          <w:rFonts w:asciiTheme="minorEastAsia" w:eastAsiaTheme="minorEastAsia" w:hAnsiTheme="minorEastAsia" w:hint="eastAsia"/>
          <w:bCs/>
          <w:color w:val="000000"/>
          <w:sz w:val="24"/>
          <w:szCs w:val="24"/>
        </w:rPr>
        <w:t>过户</w:t>
      </w:r>
      <w:r>
        <w:rPr>
          <w:rFonts w:asciiTheme="minorEastAsia" w:eastAsiaTheme="minorEastAsia" w:hAnsiTheme="minorEastAsia"/>
          <w:bCs/>
          <w:color w:val="000000"/>
          <w:sz w:val="24"/>
          <w:szCs w:val="24"/>
        </w:rPr>
        <w:t>等</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78" w:name="_Hlk196897995"/>
      <w:bookmarkEnd w:id="77"/>
      <w:r>
        <w:rPr>
          <w:rFonts w:asciiTheme="minorEastAsia" w:eastAsiaTheme="minorEastAsia" w:hAnsiTheme="minorEastAsia"/>
          <w:bCs/>
          <w:color w:val="000000"/>
          <w:sz w:val="24"/>
          <w:szCs w:val="24"/>
        </w:rPr>
        <w:t>25</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登记机构：</w:t>
      </w:r>
      <w:r>
        <w:rPr>
          <w:rFonts w:asciiTheme="minorEastAsia" w:eastAsiaTheme="minorEastAsia" w:hAnsiTheme="minorEastAsia"/>
          <w:bCs/>
          <w:color w:val="000000"/>
          <w:sz w:val="24"/>
          <w:szCs w:val="24"/>
        </w:rPr>
        <w:t>指办理</w:t>
      </w:r>
      <w:r>
        <w:rPr>
          <w:rFonts w:asciiTheme="minorEastAsia" w:eastAsiaTheme="minorEastAsia" w:hAnsiTheme="minorEastAsia"/>
          <w:bCs/>
          <w:color w:val="000000"/>
          <w:sz w:val="24"/>
          <w:szCs w:val="24"/>
        </w:rPr>
        <w:t>登记业务的机构。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的登记机构为</w:t>
      </w:r>
      <w:r>
        <w:rPr>
          <w:rFonts w:asciiTheme="minorEastAsia" w:eastAsiaTheme="minorEastAsia" w:hAnsiTheme="minorEastAsia" w:hint="eastAsia"/>
          <w:bCs/>
          <w:color w:val="000000"/>
          <w:sz w:val="24"/>
          <w:szCs w:val="24"/>
        </w:rPr>
        <w:t>中国证券登记结算有限责任公司</w:t>
      </w:r>
      <w:r>
        <w:rPr>
          <w:rFonts w:asciiTheme="minorEastAsia" w:eastAsiaTheme="minorEastAsia" w:hAnsiTheme="minorEastAsia"/>
          <w:bCs/>
          <w:color w:val="000000"/>
          <w:sz w:val="24"/>
          <w:szCs w:val="24"/>
        </w:rPr>
        <w:t>或接受</w:t>
      </w:r>
      <w:r>
        <w:rPr>
          <w:rFonts w:asciiTheme="minorEastAsia" w:eastAsiaTheme="minorEastAsia" w:hAnsiTheme="minorEastAsia" w:hint="eastAsia"/>
          <w:bCs/>
          <w:color w:val="000000"/>
          <w:sz w:val="24"/>
          <w:szCs w:val="24"/>
        </w:rPr>
        <w:t>上海</w:t>
      </w:r>
      <w:bookmarkStart w:id="79" w:name="_Hlk197501146"/>
      <w:r>
        <w:rPr>
          <w:rFonts w:asciiTheme="minorEastAsia" w:eastAsiaTheme="minorEastAsia" w:hAnsiTheme="minorEastAsia" w:hint="eastAsia"/>
          <w:bCs/>
          <w:color w:val="000000"/>
          <w:sz w:val="24"/>
          <w:szCs w:val="24"/>
        </w:rPr>
        <w:t>国泰</w:t>
      </w:r>
      <w:bookmarkEnd w:id="79"/>
      <w:r>
        <w:rPr>
          <w:rFonts w:asciiTheme="minorEastAsia" w:eastAsiaTheme="minorEastAsia" w:hAnsiTheme="minorEastAsia" w:hint="eastAsia"/>
          <w:bCs/>
          <w:color w:val="000000"/>
          <w:sz w:val="24"/>
          <w:szCs w:val="24"/>
        </w:rPr>
        <w:t>海通证券资产管理</w:t>
      </w:r>
      <w:r>
        <w:rPr>
          <w:rFonts w:asciiTheme="minorEastAsia" w:eastAsiaTheme="minorEastAsia" w:hAnsiTheme="minorEastAsia"/>
          <w:bCs/>
          <w:color w:val="000000"/>
          <w:sz w:val="24"/>
          <w:szCs w:val="24"/>
        </w:rPr>
        <w:t>有限</w:t>
      </w:r>
      <w:r>
        <w:rPr>
          <w:rFonts w:asciiTheme="minorEastAsia" w:eastAsiaTheme="minorEastAsia" w:hAnsiTheme="minorEastAsia" w:hint="eastAsia"/>
          <w:bCs/>
          <w:color w:val="000000"/>
          <w:sz w:val="24"/>
          <w:szCs w:val="24"/>
        </w:rPr>
        <w:t>公司</w:t>
      </w:r>
      <w:r>
        <w:rPr>
          <w:rFonts w:asciiTheme="minorEastAsia" w:eastAsiaTheme="minorEastAsia" w:hAnsiTheme="minorEastAsia"/>
          <w:bCs/>
          <w:color w:val="000000"/>
          <w:sz w:val="24"/>
          <w:szCs w:val="24"/>
        </w:rPr>
        <w:t>委托代为办理登记业务的机构</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0" w:name="_Hlk196898001"/>
      <w:bookmarkEnd w:id="78"/>
      <w:r>
        <w:rPr>
          <w:rFonts w:asciiTheme="minorEastAsia" w:eastAsiaTheme="minorEastAsia" w:hAnsiTheme="minorEastAsia"/>
          <w:bCs/>
          <w:color w:val="000000"/>
          <w:sz w:val="24"/>
          <w:szCs w:val="24"/>
        </w:rPr>
        <w:t>26</w:t>
      </w:r>
      <w:r>
        <w:rPr>
          <w:rFonts w:asciiTheme="minorEastAsia" w:eastAsiaTheme="minorEastAsia" w:hAnsiTheme="minorEastAsia" w:hint="eastAsia"/>
          <w:bCs/>
          <w:color w:val="000000"/>
          <w:sz w:val="24"/>
          <w:szCs w:val="24"/>
        </w:rPr>
        <w:t>、基金账户</w:t>
      </w:r>
      <w:r>
        <w:rPr>
          <w:rFonts w:asciiTheme="minorEastAsia" w:eastAsiaTheme="minorEastAsia" w:hAnsiTheme="minorEastAsia"/>
          <w:bCs/>
          <w:color w:val="000000"/>
          <w:sz w:val="24"/>
          <w:szCs w:val="24"/>
        </w:rPr>
        <w:t>：指登记机构为投资人开立的、记录其持有的、</w:t>
      </w:r>
      <w:r>
        <w:rPr>
          <w:rFonts w:asciiTheme="minorEastAsia" w:eastAsiaTheme="minorEastAsia" w:hAnsiTheme="minorEastAsia" w:hint="eastAsia"/>
          <w:bCs/>
          <w:color w:val="000000"/>
          <w:sz w:val="24"/>
          <w:szCs w:val="24"/>
        </w:rPr>
        <w:t>基金管理人</w:t>
      </w:r>
      <w:r>
        <w:rPr>
          <w:rFonts w:asciiTheme="minorEastAsia" w:eastAsiaTheme="minorEastAsia" w:hAnsiTheme="minorEastAsia"/>
          <w:bCs/>
          <w:color w:val="000000"/>
          <w:sz w:val="24"/>
          <w:szCs w:val="24"/>
        </w:rPr>
        <w:t>所管理的基金份额余额及其变动情况的账户</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1" w:name="_Hlk196898005"/>
      <w:bookmarkEnd w:id="80"/>
      <w:r>
        <w:rPr>
          <w:rFonts w:asciiTheme="minorEastAsia" w:eastAsiaTheme="minorEastAsia" w:hAnsiTheme="minorEastAsia"/>
          <w:bCs/>
          <w:color w:val="000000"/>
          <w:sz w:val="24"/>
          <w:szCs w:val="24"/>
        </w:rPr>
        <w:t>27</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交易账户：指销售机构为投资人开立的、记录投资人通过该销售机构办理申购、赎回等业务而引起的基金份额变动及结余情况的账户</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2" w:name="_Hlk196897685"/>
      <w:bookmarkEnd w:id="81"/>
      <w:r>
        <w:rPr>
          <w:rFonts w:asciiTheme="minorEastAsia" w:eastAsiaTheme="minorEastAsia" w:hAnsiTheme="minorEastAsia"/>
          <w:bCs/>
          <w:color w:val="000000"/>
          <w:sz w:val="24"/>
          <w:szCs w:val="24"/>
        </w:rPr>
        <w:t>28</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生效日：</w:t>
      </w:r>
      <w:r>
        <w:rPr>
          <w:rFonts w:asciiTheme="minorEastAsia" w:eastAsiaTheme="minorEastAsia" w:hAnsiTheme="minorEastAsia" w:hint="eastAsia"/>
          <w:bCs/>
          <w:color w:val="000000"/>
          <w:sz w:val="24"/>
          <w:szCs w:val="24"/>
        </w:rPr>
        <w:t>指《国泰海通新锐量化选股混合型证券投资基金基金合同》生效之日，《</w:t>
      </w:r>
      <w:r>
        <w:rPr>
          <w:rFonts w:asciiTheme="minorEastAsia" w:eastAsiaTheme="minorEastAsia" w:hAnsiTheme="minorEastAsia" w:hint="eastAsia"/>
          <w:bCs/>
          <w:color w:val="000000"/>
          <w:sz w:val="24"/>
        </w:rPr>
        <w:t>海通策略优选混合型集合资产管理计划</w:t>
      </w:r>
      <w:r>
        <w:rPr>
          <w:rFonts w:asciiTheme="minorEastAsia" w:eastAsiaTheme="minorEastAsia" w:hAnsiTheme="minorEastAsia" w:hint="eastAsia"/>
          <w:bCs/>
          <w:color w:val="000000"/>
          <w:sz w:val="24"/>
          <w:szCs w:val="24"/>
        </w:rPr>
        <w:t>资产管理合同》同日失效</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3" w:name="_Hlk196898011"/>
      <w:bookmarkEnd w:id="82"/>
      <w:r>
        <w:rPr>
          <w:rFonts w:asciiTheme="minorEastAsia" w:eastAsiaTheme="minorEastAsia" w:hAnsiTheme="minorEastAsia"/>
          <w:bCs/>
          <w:color w:val="000000"/>
          <w:sz w:val="24"/>
          <w:szCs w:val="24"/>
        </w:rPr>
        <w:t>29</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终止日：指</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规定的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合同终止事由出现后，</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财产清算完毕，清算结果报中国证监会备案并予以公告的日期</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4" w:name="_Hlk196898015"/>
      <w:bookmarkEnd w:id="83"/>
      <w:r>
        <w:rPr>
          <w:rFonts w:asciiTheme="minorEastAsia" w:eastAsiaTheme="minorEastAsia" w:hAnsiTheme="minorEastAsia"/>
          <w:bCs/>
          <w:color w:val="000000"/>
          <w:sz w:val="24"/>
          <w:szCs w:val="24"/>
        </w:rPr>
        <w:t>30</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存续期：指</w:t>
      </w:r>
      <w:r>
        <w:rPr>
          <w:rFonts w:asciiTheme="minorEastAsia" w:eastAsiaTheme="minorEastAsia" w:hAnsiTheme="minorEastAsia" w:hint="eastAsia"/>
          <w:bCs/>
          <w:color w:val="000000"/>
          <w:sz w:val="24"/>
          <w:szCs w:val="24"/>
        </w:rPr>
        <w:t>《海通半年升集合资产管理计划</w:t>
      </w:r>
      <w:r>
        <w:rPr>
          <w:rFonts w:hint="eastAsia"/>
          <w:bCs/>
          <w:color w:val="000000"/>
          <w:sz w:val="24"/>
        </w:rPr>
        <w:t>资产管理合同</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生效至</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终止之间的</w:t>
      </w:r>
      <w:r>
        <w:rPr>
          <w:rFonts w:asciiTheme="minorEastAsia" w:eastAsiaTheme="minorEastAsia" w:hAnsiTheme="minorEastAsia" w:hint="eastAsia"/>
          <w:bCs/>
          <w:color w:val="000000"/>
          <w:sz w:val="24"/>
          <w:szCs w:val="24"/>
        </w:rPr>
        <w:t>不定期</w:t>
      </w:r>
      <w:r>
        <w:rPr>
          <w:rFonts w:asciiTheme="minorEastAsia" w:eastAsiaTheme="minorEastAsia" w:hAnsiTheme="minorEastAsia"/>
          <w:bCs/>
          <w:color w:val="000000"/>
          <w:sz w:val="24"/>
          <w:szCs w:val="24"/>
        </w:rPr>
        <w:t>期限</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5" w:name="_Hlk196898025"/>
      <w:bookmarkEnd w:id="84"/>
      <w:r>
        <w:rPr>
          <w:rFonts w:asciiTheme="minorEastAsia" w:eastAsiaTheme="minorEastAsia" w:hAnsiTheme="minorEastAsia"/>
          <w:bCs/>
          <w:color w:val="000000"/>
          <w:sz w:val="24"/>
          <w:szCs w:val="24"/>
        </w:rPr>
        <w:t>31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工作日：指上海证券交易所、深圳证券交易所的正常交易日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32</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T日：指销售机构在规定时间受理投资人申购、赎回或其他业务申请的开放日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33</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T+n</w:t>
      </w:r>
      <w:r>
        <w:rPr>
          <w:rFonts w:asciiTheme="minorEastAsia" w:eastAsiaTheme="minorEastAsia" w:hAnsiTheme="minorEastAsia"/>
          <w:bCs/>
          <w:color w:val="000000"/>
          <w:sz w:val="24"/>
          <w:szCs w:val="24"/>
        </w:rPr>
        <w:t>日：指自T日起第n</w:t>
      </w:r>
      <w:r>
        <w:rPr>
          <w:rFonts w:asciiTheme="minorEastAsia" w:eastAsiaTheme="minorEastAsia" w:hAnsiTheme="minorEastAsia"/>
          <w:bCs/>
          <w:color w:val="000000"/>
          <w:sz w:val="24"/>
          <w:szCs w:val="24"/>
        </w:rPr>
        <w:t>个</w:t>
      </w:r>
      <w:r>
        <w:rPr>
          <w:rFonts w:asciiTheme="minorEastAsia" w:eastAsiaTheme="minorEastAsia" w:hAnsiTheme="minorEastAsia"/>
          <w:bCs/>
          <w:color w:val="000000"/>
          <w:sz w:val="24"/>
          <w:szCs w:val="24"/>
        </w:rPr>
        <w:t>工作日（不包含T日）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34</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开放日：指为投资人办理基金份额申购、赎回或其他业务的工作日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35</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开放时间：指开放日</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接受申购、赎回或其他交易的时间段</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36</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《业务规则》：指</w:t>
      </w:r>
      <w:r>
        <w:rPr>
          <w:rFonts w:asciiTheme="minorEastAsia" w:eastAsiaTheme="minorEastAsia" w:hAnsiTheme="minorEastAsia" w:hint="eastAsia"/>
          <w:bCs/>
          <w:color w:val="000000"/>
          <w:sz w:val="24"/>
          <w:szCs w:val="24"/>
        </w:rPr>
        <w:t>中国证券登记结算有限责任公司相关业务规则及其不时做出的修订</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6" w:name="_Hlk196898035"/>
      <w:bookmarkEnd w:id="85"/>
      <w:r>
        <w:rPr>
          <w:rFonts w:asciiTheme="minorEastAsia" w:eastAsiaTheme="minorEastAsia" w:hAnsiTheme="minorEastAsia"/>
          <w:bCs/>
          <w:color w:val="000000"/>
          <w:sz w:val="24"/>
          <w:szCs w:val="24"/>
        </w:rPr>
        <w:t>37</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申购：指</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生效后，投资人根据</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和招募说明书的规定申请购买</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的行为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38</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赎回：指</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生效后，</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按</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规定的条件要求将基金份额兑换为现金的行为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39</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转换：指基金份额持有人按照本基金合同和基金管理人届时有效公告规定的条件，申请将其持有基金管理人管理的、某一</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的基金份额转换为基金管理人管理的其他</w:t>
      </w:r>
      <w:r>
        <w:rPr>
          <w:rFonts w:asciiTheme="minorEastAsia" w:eastAsiaTheme="minorEastAsia" w:hAnsiTheme="minorEastAsia" w:hint="eastAsia"/>
          <w:bCs/>
          <w:color w:val="000000"/>
          <w:sz w:val="24"/>
          <w:szCs w:val="24"/>
        </w:rPr>
        <w:t>基金的基金</w:t>
      </w:r>
      <w:r>
        <w:rPr>
          <w:rFonts w:asciiTheme="minorEastAsia" w:eastAsiaTheme="minorEastAsia" w:hAnsiTheme="minorEastAsia"/>
          <w:bCs/>
          <w:color w:val="000000"/>
          <w:sz w:val="24"/>
          <w:szCs w:val="24"/>
        </w:rPr>
        <w:t>份额的行为</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7" w:name="_Hlk196898041"/>
      <w:bookmarkEnd w:id="86"/>
      <w:r>
        <w:rPr>
          <w:rFonts w:asciiTheme="minorEastAsia" w:eastAsiaTheme="minorEastAsia" w:hAnsiTheme="minorEastAsia"/>
          <w:bCs/>
          <w:color w:val="000000"/>
          <w:sz w:val="24"/>
          <w:szCs w:val="24"/>
        </w:rPr>
        <w:t>40</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转托管：指基金份额持有人在本基金的不同销售机构之间实施的变更所持基金份额销售机构的操作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定期定额投资计划：指投资人通过有关销售机构提出申请，约定每期</w:t>
      </w:r>
      <w:r>
        <w:rPr>
          <w:rFonts w:asciiTheme="minorEastAsia" w:eastAsiaTheme="minorEastAsia" w:hAnsiTheme="minorEastAsia" w:hint="eastAsia"/>
          <w:bCs/>
          <w:color w:val="000000"/>
          <w:sz w:val="24"/>
          <w:szCs w:val="24"/>
        </w:rPr>
        <w:t>申购</w:t>
      </w:r>
      <w:r>
        <w:rPr>
          <w:rFonts w:asciiTheme="minorEastAsia" w:eastAsiaTheme="minorEastAsia" w:hAnsiTheme="minorEastAsia"/>
          <w:bCs/>
          <w:color w:val="000000"/>
          <w:sz w:val="24"/>
          <w:szCs w:val="24"/>
        </w:rPr>
        <w:t>日、扣款金额及扣款方式，由销售机构于每期约定扣款日在投资人指定银行账户内自动完成扣款及</w:t>
      </w:r>
      <w:r>
        <w:rPr>
          <w:rFonts w:asciiTheme="minorEastAsia" w:eastAsiaTheme="minorEastAsia" w:hAnsiTheme="minorEastAsia" w:hint="eastAsia"/>
          <w:bCs/>
          <w:color w:val="000000"/>
          <w:sz w:val="24"/>
          <w:szCs w:val="24"/>
        </w:rPr>
        <w:t>受理基金</w:t>
      </w:r>
      <w:r>
        <w:rPr>
          <w:rFonts w:asciiTheme="minorEastAsia" w:eastAsiaTheme="minorEastAsia" w:hAnsiTheme="minorEastAsia"/>
          <w:bCs/>
          <w:color w:val="000000"/>
          <w:sz w:val="24"/>
          <w:szCs w:val="24"/>
        </w:rPr>
        <w:t>申购申请的一种投资方式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42</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巨额赎回：指本基金单个开放日，</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净赎回申请（赎回申请份额总数加上</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转换中转出申请份额总数后扣除申购申请份额总数及</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转换中转入申请份额总数后的余额）超过上一开放日</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总份额的</w:t>
      </w:r>
      <w:r>
        <w:rPr>
          <w:rFonts w:asciiTheme="minorEastAsia" w:eastAsiaTheme="minorEastAsia" w:hAnsiTheme="minorEastAsia" w:hint="eastAsia"/>
          <w:bCs/>
          <w:color w:val="000000"/>
          <w:sz w:val="24"/>
          <w:szCs w:val="24"/>
        </w:rPr>
        <w:t>10%</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8" w:name="_Hlk196898047"/>
      <w:bookmarkEnd w:id="87"/>
      <w:r>
        <w:rPr>
          <w:rFonts w:asciiTheme="minorEastAsia" w:eastAsiaTheme="minorEastAsia" w:hAnsiTheme="minorEastAsia"/>
          <w:bCs/>
          <w:color w:val="000000"/>
          <w:sz w:val="24"/>
          <w:szCs w:val="24"/>
        </w:rPr>
        <w:t>43</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元：指人民币元</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44</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收益：指</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投资所得红利、股息、债券利息、买卖证券价差、银行存款利息、已实现的其他合法收入及因运用</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财产带来的成本和费用的节约</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45</w:t>
      </w:r>
      <w:r>
        <w:rPr>
          <w:rFonts w:asciiTheme="minorEastAsia" w:eastAsiaTheme="minorEastAsia" w:hAnsiTheme="minorEastAsia" w:hint="eastAsia"/>
          <w:bCs/>
          <w:color w:val="000000"/>
          <w:sz w:val="24"/>
          <w:szCs w:val="24"/>
        </w:rPr>
        <w:t>、基金资产总值</w:t>
      </w:r>
      <w:r>
        <w:rPr>
          <w:rFonts w:asciiTheme="minorEastAsia" w:eastAsiaTheme="minorEastAsia" w:hAnsiTheme="minorEastAsia"/>
          <w:bCs/>
          <w:color w:val="000000"/>
          <w:sz w:val="24"/>
          <w:szCs w:val="24"/>
        </w:rPr>
        <w:t>：指</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拥有的各类有价证券、银行存款本息、</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应收申购款及其他资产的价值总和</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46</w:t>
      </w:r>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：指</w:t>
      </w:r>
      <w:r>
        <w:rPr>
          <w:rFonts w:asciiTheme="minorEastAsia" w:eastAsiaTheme="minorEastAsia" w:hAnsiTheme="minorEastAsia" w:hint="eastAsia"/>
          <w:bCs/>
          <w:color w:val="000000"/>
          <w:sz w:val="24"/>
          <w:szCs w:val="24"/>
        </w:rPr>
        <w:t>基金资产总值</w:t>
      </w:r>
      <w:r>
        <w:rPr>
          <w:rFonts w:asciiTheme="minorEastAsia" w:eastAsiaTheme="minorEastAsia" w:hAnsiTheme="minorEastAsia"/>
          <w:bCs/>
          <w:color w:val="000000"/>
          <w:sz w:val="24"/>
          <w:szCs w:val="24"/>
        </w:rPr>
        <w:t>减去</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负债后的价值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47</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净值：指计算日</w:t>
      </w:r>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除以计算日基金份额总数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48</w:t>
      </w:r>
      <w:r>
        <w:rPr>
          <w:rFonts w:asciiTheme="minorEastAsia" w:eastAsiaTheme="minorEastAsia" w:hAnsiTheme="minorEastAsia" w:hint="eastAsia"/>
          <w:bCs/>
          <w:color w:val="000000"/>
          <w:sz w:val="24"/>
          <w:szCs w:val="24"/>
        </w:rPr>
        <w:t>、基金资产</w:t>
      </w:r>
      <w:r>
        <w:rPr>
          <w:rFonts w:asciiTheme="minorEastAsia" w:eastAsiaTheme="minorEastAsia" w:hAnsiTheme="minorEastAsia"/>
          <w:bCs/>
          <w:color w:val="000000"/>
          <w:sz w:val="24"/>
          <w:szCs w:val="24"/>
        </w:rPr>
        <w:t>估值：指计算评估</w:t>
      </w:r>
      <w:r>
        <w:rPr>
          <w:rFonts w:asciiTheme="minorEastAsia" w:eastAsiaTheme="minorEastAsia" w:hAnsiTheme="minorEastAsia" w:hint="eastAsia"/>
          <w:bCs/>
          <w:color w:val="000000"/>
          <w:sz w:val="24"/>
          <w:szCs w:val="24"/>
        </w:rPr>
        <w:t>基金资产</w:t>
      </w:r>
      <w:r>
        <w:rPr>
          <w:rFonts w:asciiTheme="minorEastAsia" w:eastAsiaTheme="minorEastAsia" w:hAnsiTheme="minorEastAsia"/>
          <w:bCs/>
          <w:color w:val="000000"/>
          <w:sz w:val="24"/>
          <w:szCs w:val="24"/>
        </w:rPr>
        <w:t>和负债的价值，以确定</w:t>
      </w:r>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和基金份额净值的过程</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89" w:name="_Hlk196898052"/>
      <w:bookmarkEnd w:id="88"/>
      <w:r>
        <w:rPr>
          <w:rFonts w:asciiTheme="minorEastAsia" w:eastAsiaTheme="minorEastAsia" w:hAnsiTheme="minorEastAsia"/>
          <w:bCs/>
          <w:color w:val="000000"/>
          <w:sz w:val="24"/>
          <w:szCs w:val="24"/>
        </w:rPr>
        <w:t>49</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规定媒介：</w:t>
      </w:r>
      <w:bookmarkStart w:id="90" w:name="OLE_LINK8"/>
      <w:r>
        <w:rPr>
          <w:rFonts w:asciiTheme="minorEastAsia" w:eastAsiaTheme="minorEastAsia" w:hAnsiTheme="minorEastAsia"/>
          <w:bCs/>
          <w:color w:val="000000"/>
          <w:sz w:val="24"/>
          <w:szCs w:val="24"/>
        </w:rPr>
        <w:t>指</w:t>
      </w:r>
      <w:r>
        <w:rPr>
          <w:rFonts w:asciiTheme="minorEastAsia" w:eastAsiaTheme="minorEastAsia" w:hAnsiTheme="minorEastAsia" w:hint="eastAsia"/>
          <w:bCs/>
          <w:color w:val="000000"/>
          <w:sz w:val="24"/>
          <w:szCs w:val="24"/>
        </w:rPr>
        <w:t>符合中国证监会规定条件的用以进行信息披露的全国性报刊及《信息披露办法》规定的互联网网站（包括基金管理人网站、基金托管人网站、中国证监会基金电子披露网站）等媒介</w:t>
      </w:r>
      <w:bookmarkEnd w:id="90"/>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50</w:t>
      </w:r>
      <w:r>
        <w:rPr>
          <w:rFonts w:asciiTheme="minorEastAsia" w:eastAsiaTheme="minorEastAsia" w:hAnsiTheme="minorEastAsia" w:hint="eastAsia"/>
          <w:bCs/>
          <w:color w:val="000000"/>
          <w:sz w:val="24"/>
          <w:szCs w:val="24"/>
        </w:rPr>
        <w:t>、</w:t>
      </w:r>
      <w:bookmarkStart w:id="91" w:name="_Hlk197603551"/>
      <w:r>
        <w:rPr>
          <w:rFonts w:asciiTheme="minorEastAsia" w:eastAsiaTheme="minorEastAsia" w:hAnsiTheme="minorEastAsia" w:hint="eastAsia"/>
          <w:bCs/>
          <w:color w:val="000000"/>
          <w:sz w:val="24"/>
          <w:szCs w:val="24"/>
        </w:rPr>
        <w:t>基金份额类别：指根据申购费用、赎回费用、销售服务费用收取方式的不同将本基金份额分为不同的类别，各基金份额类别分别设置代码，并分别计算和公告基金份额净值</w:t>
      </w:r>
      <w:r>
        <w:rPr>
          <w:rFonts w:hint="eastAsia"/>
          <w:bCs/>
          <w:color w:val="000000"/>
          <w:sz w:val="24"/>
        </w:rPr>
        <w:t>和基金份额累计净值</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92" w:name="_Hlk197603101"/>
      <w:bookmarkEnd w:id="89"/>
      <w:bookmarkEnd w:id="91"/>
      <w:r>
        <w:rPr>
          <w:rFonts w:asciiTheme="minorEastAsia" w:eastAsiaTheme="minorEastAsia" w:hAnsiTheme="minorEastAsia"/>
          <w:bCs/>
          <w:color w:val="000000"/>
          <w:sz w:val="24"/>
          <w:szCs w:val="24"/>
        </w:rPr>
        <w:t>51</w:t>
      </w:r>
      <w:r>
        <w:rPr>
          <w:rFonts w:asciiTheme="minorEastAsia" w:eastAsiaTheme="minorEastAsia" w:hAnsiTheme="minorEastAsia" w:hint="eastAsia"/>
          <w:bCs/>
          <w:color w:val="000000"/>
          <w:sz w:val="24"/>
          <w:szCs w:val="24"/>
        </w:rPr>
        <w:t>、</w:t>
      </w:r>
      <w:bookmarkStart w:id="93" w:name="_Hlk196897614"/>
      <w:r>
        <w:rPr>
          <w:rFonts w:asciiTheme="minorEastAsia" w:eastAsiaTheme="minorEastAsia" w:hAnsiTheme="minorEastAsia" w:hint="eastAsia"/>
          <w:bCs/>
          <w:color w:val="000000"/>
          <w:sz w:val="24"/>
          <w:szCs w:val="24"/>
        </w:rPr>
        <w:t>A类基金份额：指在投资人申购时收取申购费用、赎回时根据持有期限收取赎回费用，但不从本类别基金资产中计</w:t>
      </w:r>
      <w:r>
        <w:rPr>
          <w:rFonts w:asciiTheme="minorEastAsia" w:eastAsiaTheme="minorEastAsia" w:hAnsiTheme="minorEastAsia" w:hint="eastAsia"/>
          <w:bCs/>
          <w:color w:val="000000"/>
          <w:sz w:val="24"/>
          <w:szCs w:val="24"/>
        </w:rPr>
        <w:t>提销售</w:t>
      </w:r>
      <w:r>
        <w:rPr>
          <w:rFonts w:asciiTheme="minorEastAsia" w:eastAsiaTheme="minorEastAsia" w:hAnsiTheme="minorEastAsia" w:hint="eastAsia"/>
          <w:bCs/>
          <w:color w:val="000000"/>
          <w:sz w:val="24"/>
          <w:szCs w:val="24"/>
        </w:rPr>
        <w:t>服务费的基金份额类别。</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94" w:name="OLE_LINK10"/>
      <w:bookmarkStart w:id="95" w:name="OLE_LINK9"/>
      <w:r>
        <w:rPr>
          <w:rFonts w:hint="eastAsia"/>
          <w:bCs/>
          <w:color w:val="000000"/>
          <w:sz w:val="24"/>
        </w:rPr>
        <w:t>对于投资者依据原《海通半年升集合资产管理计划资产管理合同》参与集合计划获得的海通</w:t>
      </w:r>
      <w:r>
        <w:rPr>
          <w:rFonts w:hint="eastAsia"/>
          <w:bCs/>
          <w:color w:val="000000"/>
          <w:sz w:val="24"/>
        </w:rPr>
        <w:t>半年升集合</w:t>
      </w:r>
      <w:r>
        <w:rPr>
          <w:rFonts w:hint="eastAsia"/>
          <w:bCs/>
          <w:color w:val="000000"/>
          <w:sz w:val="24"/>
        </w:rPr>
        <w:t>资产管理计划份额，自《海通策略优选混合型集合资产管理计划资产管理合同》生效之日起全部自动转换为海通策略优选混合型集合资产管理计划</w:t>
      </w:r>
      <w:r>
        <w:rPr>
          <w:rFonts w:hint="eastAsia"/>
          <w:bCs/>
          <w:color w:val="000000"/>
          <w:sz w:val="24"/>
        </w:rPr>
        <w:t>A</w:t>
      </w:r>
      <w:r>
        <w:rPr>
          <w:rFonts w:hint="eastAsia"/>
          <w:bCs/>
          <w:color w:val="000000"/>
          <w:sz w:val="24"/>
        </w:rPr>
        <w:t>类份额，自本基金合同生效之日起全部自动转换为本基金</w:t>
      </w:r>
      <w:r>
        <w:rPr>
          <w:rFonts w:hint="eastAsia"/>
          <w:bCs/>
          <w:color w:val="000000"/>
          <w:sz w:val="24"/>
        </w:rPr>
        <w:t>A</w:t>
      </w:r>
      <w:r>
        <w:rPr>
          <w:rFonts w:hint="eastAsia"/>
          <w:bCs/>
          <w:color w:val="000000"/>
          <w:sz w:val="24"/>
        </w:rPr>
        <w:t>类</w:t>
      </w:r>
      <w:r>
        <w:rPr>
          <w:rFonts w:hint="eastAsia"/>
          <w:bCs/>
          <w:color w:val="000000"/>
          <w:sz w:val="24"/>
        </w:rPr>
        <w:t>基金份额。对于投资者依据《海通策略优选混合型集合资产管理计划资产管理合同》获得的海通策略优选混合型集合资产管理计划</w:t>
      </w:r>
      <w:r>
        <w:rPr>
          <w:rFonts w:hint="eastAsia"/>
          <w:bCs/>
          <w:color w:val="000000"/>
          <w:sz w:val="24"/>
        </w:rPr>
        <w:t>A</w:t>
      </w:r>
      <w:r>
        <w:rPr>
          <w:rFonts w:hint="eastAsia"/>
          <w:bCs/>
          <w:color w:val="000000"/>
          <w:sz w:val="24"/>
        </w:rPr>
        <w:t>类份额，自本基金合同生效之日起全部自动转换为本基金</w:t>
      </w:r>
      <w:r>
        <w:rPr>
          <w:rFonts w:hint="eastAsia"/>
          <w:bCs/>
          <w:color w:val="000000"/>
          <w:sz w:val="24"/>
        </w:rPr>
        <w:t>A</w:t>
      </w:r>
      <w:r>
        <w:rPr>
          <w:rFonts w:hint="eastAsia"/>
          <w:bCs/>
          <w:color w:val="000000"/>
          <w:sz w:val="24"/>
        </w:rPr>
        <w:t>类基金份额</w:t>
      </w:r>
      <w:bookmarkEnd w:id="94"/>
      <w:bookmarkEnd w:id="95"/>
    </w:p>
    <w:p w:rsidR="00AA3326">
      <w:pPr>
        <w:spacing w:line="360" w:lineRule="auto"/>
        <w:ind w:firstLine="480" w:firstLineChars="200"/>
        <w:rPr>
          <w:rFonts w:asciiTheme="minorEastAsia" w:eastAsiaTheme="minorEastAsia" w:hAnsiTheme="minorEastAsia" w:hint="eastAsia"/>
          <w:bCs/>
          <w:color w:val="000000"/>
          <w:sz w:val="24"/>
          <w:szCs w:val="24"/>
        </w:rPr>
      </w:pPr>
      <w:bookmarkEnd w:id="93"/>
      <w:r>
        <w:rPr>
          <w:rFonts w:asciiTheme="minorEastAsia" w:eastAsiaTheme="minorEastAsia" w:hAnsiTheme="minorEastAsia"/>
          <w:bCs/>
          <w:color w:val="000000"/>
          <w:sz w:val="24"/>
          <w:szCs w:val="24"/>
        </w:rPr>
        <w:t>52</w:t>
      </w:r>
      <w:r>
        <w:rPr>
          <w:rFonts w:asciiTheme="minorEastAsia" w:eastAsiaTheme="minorEastAsia" w:hAnsiTheme="minorEastAsia" w:hint="eastAsia"/>
          <w:bCs/>
          <w:color w:val="000000"/>
          <w:sz w:val="24"/>
          <w:szCs w:val="24"/>
        </w:rPr>
        <w:t>、</w:t>
      </w:r>
      <w:bookmarkStart w:id="96" w:name="_Hlk196897623"/>
      <w:r>
        <w:rPr>
          <w:rFonts w:asciiTheme="minorEastAsia" w:eastAsiaTheme="minorEastAsia" w:hAnsiTheme="minorEastAsia" w:hint="eastAsia"/>
          <w:bCs/>
          <w:color w:val="000000"/>
          <w:sz w:val="24"/>
          <w:szCs w:val="24"/>
        </w:rPr>
        <w:t>C类基金份额：指从本类别基金资产中计</w:t>
      </w:r>
      <w:r>
        <w:rPr>
          <w:rFonts w:asciiTheme="minorEastAsia" w:eastAsiaTheme="minorEastAsia" w:hAnsiTheme="minorEastAsia" w:hint="eastAsia"/>
          <w:bCs/>
          <w:color w:val="000000"/>
          <w:sz w:val="24"/>
          <w:szCs w:val="24"/>
        </w:rPr>
        <w:t>提销售</w:t>
      </w:r>
      <w:r>
        <w:rPr>
          <w:rFonts w:asciiTheme="minorEastAsia" w:eastAsiaTheme="minorEastAsia" w:hAnsiTheme="minorEastAsia" w:hint="eastAsia"/>
          <w:bCs/>
          <w:color w:val="000000"/>
          <w:sz w:val="24"/>
          <w:szCs w:val="24"/>
        </w:rPr>
        <w:t>服务费而不收取申购费用，投资人赎回时根据持有期限收取赎回费用的基金份额类别。对于投资者依据《海通策略优选混合型集合资产管理计划资产管理合同》获得的海通策略优选混合型集合资产管理计划C类份额，自本基金合同生效之日起全部自动转换为本基金C类基金份额</w:t>
      </w:r>
      <w:bookmarkEnd w:id="96"/>
    </w:p>
    <w:p w:rsidR="00AA3326">
      <w:pPr>
        <w:spacing w:line="360" w:lineRule="auto"/>
        <w:ind w:firstLine="480" w:firstLineChars="200"/>
        <w:rPr>
          <w:rFonts w:asciiTheme="minorEastAsia" w:eastAsiaTheme="minorEastAsia" w:hAnsiTheme="minorEastAsia" w:hint="eastAsia"/>
          <w:bCs/>
          <w:color w:val="000000"/>
          <w:sz w:val="24"/>
          <w:szCs w:val="24"/>
        </w:rPr>
      </w:pPr>
      <w:bookmarkStart w:id="97" w:name="_Hlk196897641"/>
      <w:bookmarkEnd w:id="92"/>
      <w:r>
        <w:rPr>
          <w:rFonts w:asciiTheme="minorEastAsia" w:eastAsiaTheme="minorEastAsia" w:hAnsiTheme="minorEastAsia"/>
          <w:bCs/>
          <w:color w:val="000000"/>
          <w:sz w:val="24"/>
          <w:szCs w:val="24"/>
        </w:rPr>
        <w:t>53</w:t>
      </w:r>
      <w:r>
        <w:rPr>
          <w:rFonts w:asciiTheme="minorEastAsia" w:eastAsiaTheme="minorEastAsia" w:hAnsiTheme="minorEastAsia" w:hint="eastAsia"/>
          <w:bCs/>
          <w:color w:val="000000"/>
          <w:sz w:val="24"/>
          <w:szCs w:val="24"/>
        </w:rPr>
        <w:t>、销售服务费：指从基金财产中计提的，用于本基金市场推广、销售以及基金份额持有人服务的费用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54</w:t>
      </w:r>
      <w:r>
        <w:rPr>
          <w:rFonts w:asciiTheme="minorEastAsia" w:eastAsiaTheme="minorEastAsia" w:hAnsiTheme="minorEastAsia" w:hint="eastAsia"/>
          <w:bCs/>
          <w:color w:val="000000"/>
          <w:sz w:val="24"/>
          <w:szCs w:val="24"/>
        </w:rPr>
        <w:t>、流动性受限资产：指由于法律法规、监管、合同或操作障碍等原因无法以合理价格予以变现的资产，包括但不限于到期日在10个交易日以上的逆回购与银行定期存款（</w:t>
      </w:r>
      <w:r>
        <w:rPr>
          <w:rFonts w:asciiTheme="minorEastAsia" w:eastAsiaTheme="minorEastAsia" w:hAnsiTheme="minorEastAsia" w:hint="eastAsia"/>
          <w:bCs/>
          <w:color w:val="000000"/>
          <w:sz w:val="24"/>
          <w:szCs w:val="24"/>
        </w:rPr>
        <w:t>含协议</w:t>
      </w:r>
      <w:r>
        <w:rPr>
          <w:rFonts w:asciiTheme="minorEastAsia" w:eastAsiaTheme="minorEastAsia" w:hAnsiTheme="minorEastAsia" w:hint="eastAsia"/>
          <w:bCs/>
          <w:color w:val="000000"/>
          <w:sz w:val="24"/>
          <w:szCs w:val="24"/>
        </w:rPr>
        <w:t>约定有条件提前支取的银行存款）、停牌股票、流通受限的新股及非公开发行股票、资产支持证券、因发行人债务违约无法进行转让或交易的债券等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55</w:t>
      </w:r>
      <w:r>
        <w:rPr>
          <w:rFonts w:asciiTheme="minorEastAsia" w:eastAsiaTheme="minorEastAsia" w:hAnsiTheme="minorEastAsia" w:hint="eastAsia"/>
          <w:bCs/>
          <w:color w:val="000000"/>
          <w:sz w:val="24"/>
          <w:szCs w:val="24"/>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rsidR="00AA3326">
      <w:pPr>
        <w:spacing w:line="360" w:lineRule="auto"/>
        <w:ind w:firstLine="480" w:firstLineChars="200"/>
        <w:rPr>
          <w:rFonts w:asciiTheme="minorEastAsia" w:eastAsiaTheme="minorEastAsia" w:hAnsiTheme="minorEastAsia" w:hint="eastAsia"/>
          <w:b/>
          <w:bCs/>
          <w:color w:val="000000"/>
          <w:sz w:val="24"/>
          <w:szCs w:val="24"/>
        </w:rPr>
      </w:pPr>
      <w:bookmarkStart w:id="98" w:name="_Hlk196897648"/>
      <w:bookmarkEnd w:id="97"/>
      <w:r>
        <w:rPr>
          <w:rFonts w:asciiTheme="minorEastAsia" w:eastAsiaTheme="minorEastAsia" w:hAnsiTheme="minorEastAsia"/>
          <w:b/>
          <w:bCs/>
          <w:color w:val="000000"/>
          <w:sz w:val="24"/>
          <w:szCs w:val="24"/>
        </w:rPr>
        <w:t>56</w:t>
      </w:r>
      <w:r>
        <w:rPr>
          <w:rFonts w:asciiTheme="minorEastAsia" w:eastAsiaTheme="minorEastAsia" w:hAnsiTheme="minorEastAsia" w:hint="eastAsia"/>
          <w:b/>
          <w:bCs/>
          <w:color w:val="000000"/>
          <w:sz w:val="24"/>
          <w:szCs w:val="24"/>
        </w:rPr>
        <w:t>、</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：指将本基金投资组合中的特定资产从原有账户分离至一个专门账户进行处置清算，目的在于有效隔离并化解风险，确保投资者得到公平对待，属于流动性风险管理工具。</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实施期间，原有账户称为主袋账户，专门账户</w:t>
      </w:r>
      <w:r>
        <w:rPr>
          <w:rFonts w:asciiTheme="minorEastAsia" w:eastAsiaTheme="minorEastAsia" w:hAnsiTheme="minorEastAsia" w:hint="eastAsia"/>
          <w:b/>
          <w:bCs/>
          <w:color w:val="000000"/>
          <w:sz w:val="24"/>
          <w:szCs w:val="24"/>
        </w:rPr>
        <w:t>称为侧袋账户</w:t>
      </w:r>
    </w:p>
    <w:p w:rsidR="00AA3326">
      <w:pPr>
        <w:spacing w:line="360" w:lineRule="auto"/>
        <w:ind w:firstLine="480" w:firstLineChars="200"/>
        <w:rPr>
          <w:rFonts w:asciiTheme="minorEastAsia" w:eastAsiaTheme="minorEastAsia" w:hAnsiTheme="minorEastAsia" w:hint="eastAsia"/>
          <w:b/>
          <w:bCs/>
          <w:color w:val="000000"/>
          <w:sz w:val="24"/>
          <w:szCs w:val="24"/>
        </w:rPr>
      </w:pPr>
      <w:r>
        <w:rPr>
          <w:rFonts w:asciiTheme="minorEastAsia" w:eastAsiaTheme="minorEastAsia" w:hAnsiTheme="minorEastAsia"/>
          <w:b/>
          <w:bCs/>
          <w:color w:val="000000"/>
          <w:sz w:val="24"/>
          <w:szCs w:val="24"/>
        </w:rPr>
        <w:t>57</w:t>
      </w:r>
      <w:r>
        <w:rPr>
          <w:rFonts w:asciiTheme="minorEastAsia" w:eastAsiaTheme="minorEastAsia" w:hAnsiTheme="minorEastAsia" w:hint="eastAsia"/>
          <w:b/>
          <w:bCs/>
          <w:color w:val="000000"/>
          <w:sz w:val="24"/>
          <w:szCs w:val="24"/>
        </w:rPr>
        <w:t>、特定资产：包括：（一）无可参考的活跃市场价格且采用估值技术</w:t>
      </w:r>
      <w:r>
        <w:rPr>
          <w:rFonts w:asciiTheme="minorEastAsia" w:eastAsiaTheme="minorEastAsia" w:hAnsiTheme="minorEastAsia" w:hint="eastAsia"/>
          <w:b/>
          <w:bCs/>
          <w:color w:val="000000"/>
          <w:sz w:val="24"/>
          <w:szCs w:val="24"/>
        </w:rPr>
        <w:t>仍导致</w:t>
      </w:r>
      <w:r>
        <w:rPr>
          <w:rFonts w:asciiTheme="minorEastAsia" w:eastAsiaTheme="minorEastAsia" w:hAnsiTheme="minorEastAsia" w:hint="eastAsia"/>
          <w:b/>
          <w:bCs/>
          <w:color w:val="000000"/>
          <w:sz w:val="24"/>
          <w:szCs w:val="24"/>
        </w:rPr>
        <w:t>公允价值存在重大不确定性的资产；（二）</w:t>
      </w:r>
      <w:r>
        <w:rPr>
          <w:rFonts w:asciiTheme="minorEastAsia" w:eastAsiaTheme="minorEastAsia" w:hAnsiTheme="minorEastAsia" w:hint="eastAsia"/>
          <w:b/>
          <w:bCs/>
          <w:color w:val="000000"/>
          <w:sz w:val="24"/>
          <w:szCs w:val="24"/>
        </w:rPr>
        <w:t>按摊余成本</w:t>
      </w:r>
      <w:r>
        <w:rPr>
          <w:rFonts w:asciiTheme="minorEastAsia" w:eastAsiaTheme="minorEastAsia" w:hAnsiTheme="minorEastAsia" w:hint="eastAsia"/>
          <w:b/>
          <w:bCs/>
          <w:color w:val="000000"/>
          <w:sz w:val="24"/>
          <w:szCs w:val="24"/>
        </w:rPr>
        <w:t>计量且计提资产减值</w:t>
      </w:r>
      <w:r>
        <w:rPr>
          <w:rFonts w:asciiTheme="minorEastAsia" w:eastAsiaTheme="minorEastAsia" w:hAnsiTheme="minorEastAsia" w:hint="eastAsia"/>
          <w:b/>
          <w:bCs/>
          <w:color w:val="000000"/>
          <w:sz w:val="24"/>
          <w:szCs w:val="24"/>
        </w:rPr>
        <w:t>准备仍导致</w:t>
      </w:r>
      <w:r>
        <w:rPr>
          <w:rFonts w:asciiTheme="minorEastAsia" w:eastAsiaTheme="minorEastAsia" w:hAnsiTheme="minorEastAsia" w:hint="eastAsia"/>
          <w:b/>
          <w:bCs/>
          <w:color w:val="000000"/>
          <w:sz w:val="24"/>
          <w:szCs w:val="24"/>
        </w:rPr>
        <w:t>资产价值存在重大不确定性的资产；（三）其他资产价值存在重大不确定性的资产</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58</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不可抗力：指基金合同当事人不能预见、不能避免</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不能克服</w:t>
      </w:r>
      <w:r>
        <w:rPr>
          <w:rFonts w:asciiTheme="minorEastAsia" w:eastAsiaTheme="minorEastAsia" w:hAnsiTheme="minorEastAsia" w:hint="eastAsia"/>
          <w:bCs/>
          <w:color w:val="000000"/>
          <w:sz w:val="24"/>
          <w:szCs w:val="24"/>
        </w:rPr>
        <w:t>，使基金合同当事人无法全部履行或无法部分履行基金合同的任何事件和因素，包括但不</w:t>
      </w:r>
      <w:r>
        <w:rPr>
          <w:rFonts w:asciiTheme="minorEastAsia" w:eastAsiaTheme="minorEastAsia" w:hAnsiTheme="minorEastAsia" w:hint="eastAsia"/>
          <w:bCs/>
          <w:color w:val="000000"/>
          <w:sz w:val="24"/>
          <w:szCs w:val="24"/>
        </w:rPr>
        <w:t>限于洪水、地震及其他自然灾害、战争、骚乱、火灾、政府征用、没收、恐怖袭击、传染病传播、法律法规变化、系统故障、突发停电或其他突发事件、证券、期货交易所或证券登记结算机构非正常暂停或停止交易或发送数据存在延误、错漏</w:t>
      </w:r>
    </w:p>
    <w:p w:rsidR="00AA3326">
      <w:pPr>
        <w:pStyle w:val="Heading1"/>
        <w:spacing w:after="0" w:before="0"/>
        <w:jc w:val="center"/>
        <w:rPr>
          <w:rFonts w:asciiTheme="minorEastAsia" w:eastAsiaTheme="minorEastAsia" w:hAnsiTheme="minorEastAsia" w:hint="eastAsia"/>
          <w:sz w:val="30"/>
        </w:rPr>
      </w:pPr>
      <w:bookmarkEnd w:id="98"/>
      <w:r>
        <w:rPr>
          <w:rFonts w:asciiTheme="minorEastAsia" w:eastAsiaTheme="minorEastAsia" w:hAnsiTheme="minorEastAsia"/>
          <w:b w:val="0"/>
          <w:bCs/>
        </w:rPr>
        <w:br w:type="page"/>
      </w:r>
      <w:bookmarkStart w:id="99" w:name="_Toc22708"/>
      <w:bookmarkStart w:id="100" w:name="_Toc733"/>
      <w:bookmarkStart w:id="101" w:name="_Toc20627"/>
      <w:bookmarkStart w:id="102" w:name="_Toc18631"/>
      <w:bookmarkStart w:id="103" w:name="_Toc532487728"/>
      <w:bookmarkStart w:id="104" w:name="_Toc20318"/>
      <w:bookmarkStart w:id="105" w:name="_Toc534140366"/>
      <w:bookmarkStart w:id="106" w:name="_Toc545"/>
      <w:bookmarkStart w:id="107" w:name="_Toc24571"/>
      <w:bookmarkStart w:id="108" w:name="_Toc207633401"/>
      <w:bookmarkStart w:id="109" w:name="_Toc13288"/>
      <w:bookmarkStart w:id="110" w:name="_Toc6149"/>
      <w:bookmarkStart w:id="111" w:name="_Toc6683"/>
      <w:bookmarkStart w:id="112" w:name="_Toc5246"/>
      <w:bookmarkStart w:id="113" w:name="_Toc258829400"/>
      <w:bookmarkStart w:id="114" w:name="_Toc233456272"/>
      <w:r>
        <w:rPr>
          <w:rFonts w:asciiTheme="minorEastAsia" w:eastAsiaTheme="minorEastAsia" w:hAnsiTheme="minorEastAsia"/>
          <w:sz w:val="30"/>
        </w:rPr>
        <w:t>第</w:t>
      </w:r>
      <w:r>
        <w:rPr>
          <w:rFonts w:asciiTheme="minorEastAsia" w:eastAsiaTheme="minorEastAsia" w:hAnsiTheme="minorEastAsia" w:hint="eastAsia"/>
          <w:sz w:val="30"/>
        </w:rPr>
        <w:t>三</w:t>
      </w:r>
      <w:r>
        <w:rPr>
          <w:rFonts w:asciiTheme="minorEastAsia" w:eastAsiaTheme="minorEastAsia" w:hAnsiTheme="minorEastAsia"/>
          <w:sz w:val="30"/>
        </w:rPr>
        <w:t xml:space="preserve">部分  </w:t>
      </w:r>
      <w:r>
        <w:rPr>
          <w:rFonts w:asciiTheme="minorEastAsia" w:eastAsiaTheme="minorEastAsia" w:hAnsiTheme="minorEastAsia" w:hint="eastAsia"/>
          <w:sz w:val="30"/>
        </w:rPr>
        <w:t>基金</w:t>
      </w:r>
      <w:r>
        <w:rPr>
          <w:rFonts w:asciiTheme="minorEastAsia" w:eastAsiaTheme="minorEastAsia" w:hAnsiTheme="minorEastAsia"/>
          <w:sz w:val="30"/>
        </w:rPr>
        <w:t>的基本情况</w:t>
      </w:r>
      <w:bookmarkStart w:id="115" w:name="_Toc79392573"/>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AA3326">
      <w:pPr>
        <w:spacing w:line="360" w:lineRule="auto"/>
        <w:ind w:firstLine="540"/>
        <w:rPr>
          <w:rFonts w:asciiTheme="minorEastAsia" w:eastAsiaTheme="minorEastAsia" w:hAnsiTheme="minorEastAsia" w:hint="eastAsia"/>
          <w:bCs/>
          <w:color w:val="000000"/>
          <w:sz w:val="24"/>
        </w:rPr>
      </w:pPr>
      <w:bookmarkStart w:id="116" w:name="_Hlt88031774"/>
      <w:bookmarkStart w:id="117" w:name="_Hlt88031741"/>
      <w:bookmarkEnd w:id="116"/>
    </w:p>
    <w:p w:rsidR="00AA3326">
      <w:pPr>
        <w:spacing w:line="360" w:lineRule="auto"/>
        <w:ind w:firstLine="480" w:firstLineChars="200"/>
        <w:rPr>
          <w:rFonts w:asciiTheme="minorEastAsia" w:eastAsiaTheme="minorEastAsia" w:hAnsiTheme="minorEastAsia" w:hint="eastAsia"/>
          <w:bCs/>
          <w:color w:val="000000"/>
          <w:sz w:val="24"/>
        </w:rPr>
      </w:pPr>
      <w:bookmarkEnd w:id="117"/>
      <w:r>
        <w:rPr>
          <w:rFonts w:asciiTheme="minorEastAsia" w:eastAsiaTheme="minorEastAsia" w:hAnsiTheme="minorEastAsia"/>
          <w:bCs/>
          <w:color w:val="000000"/>
          <w:sz w:val="24"/>
        </w:rPr>
        <w:t>一、</w:t>
      </w:r>
      <w:r>
        <w:rPr>
          <w:rFonts w:asciiTheme="minorEastAsia" w:eastAsiaTheme="minorEastAsia" w:hAnsiTheme="minorEastAsia" w:hint="eastAsia"/>
          <w:bCs/>
          <w:color w:val="000000"/>
          <w:sz w:val="24"/>
        </w:rPr>
        <w:t>基金的</w:t>
      </w:r>
      <w:r>
        <w:rPr>
          <w:rFonts w:asciiTheme="minorEastAsia" w:eastAsiaTheme="minorEastAsia" w:hAnsiTheme="minorEastAsia"/>
          <w:bCs/>
          <w:color w:val="000000"/>
          <w:sz w:val="24"/>
        </w:rPr>
        <w:t>名称</w:t>
      </w:r>
      <w:bookmarkEnd w:id="115"/>
    </w:p>
    <w:p w:rsidR="00AA3326">
      <w:pPr>
        <w:spacing w:line="360" w:lineRule="auto"/>
        <w:ind w:firstLine="480" w:firstLineChars="200"/>
        <w:rPr>
          <w:rFonts w:asciiTheme="minorEastAsia" w:eastAsiaTheme="minorEastAsia" w:hAnsiTheme="minorEastAsia" w:hint="eastAsia"/>
          <w:bCs/>
          <w:color w:val="000000"/>
          <w:sz w:val="24"/>
        </w:rPr>
      </w:pPr>
      <w:bookmarkStart w:id="118" w:name="_Hlk197500779"/>
      <w:r>
        <w:rPr>
          <w:rFonts w:asciiTheme="minorEastAsia" w:eastAsiaTheme="minorEastAsia" w:hAnsiTheme="minorEastAsia" w:hint="eastAsia"/>
          <w:bCs/>
          <w:color w:val="000000"/>
          <w:sz w:val="24"/>
        </w:rPr>
        <w:t>国泰海通新锐量化选股混合型证券投资基金</w:t>
      </w:r>
    </w:p>
    <w:p w:rsidR="00AA3326">
      <w:pPr>
        <w:spacing w:line="360" w:lineRule="auto"/>
        <w:ind w:firstLine="480" w:firstLineChars="200"/>
        <w:rPr>
          <w:rFonts w:asciiTheme="minorEastAsia" w:eastAsiaTheme="minorEastAsia" w:hAnsiTheme="minorEastAsia" w:hint="eastAsia"/>
          <w:bCs/>
          <w:color w:val="000000"/>
          <w:sz w:val="24"/>
        </w:rPr>
      </w:pPr>
      <w:bookmarkEnd w:id="118"/>
    </w:p>
    <w:p w:rsidR="00AA3326">
      <w:pPr>
        <w:spacing w:line="360" w:lineRule="auto"/>
        <w:ind w:firstLine="480" w:firstLineChars="200"/>
        <w:rPr>
          <w:rFonts w:asciiTheme="minorEastAsia" w:eastAsiaTheme="minorEastAsia" w:hAnsiTheme="minorEastAsia" w:hint="eastAsia"/>
          <w:bCs/>
          <w:color w:val="000000"/>
          <w:sz w:val="24"/>
        </w:rPr>
      </w:pPr>
      <w:bookmarkStart w:id="119" w:name="_Toc79392574"/>
      <w:r>
        <w:rPr>
          <w:rFonts w:asciiTheme="minorEastAsia" w:eastAsiaTheme="minorEastAsia" w:hAnsiTheme="minorEastAsia"/>
          <w:bCs/>
          <w:color w:val="000000"/>
          <w:sz w:val="24"/>
        </w:rPr>
        <w:t>二、</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的类别</w:t>
      </w:r>
      <w:bookmarkEnd w:id="119"/>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混合型证券投资基金</w:t>
      </w:r>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bookmarkStart w:id="120" w:name="_Toc79392575"/>
      <w:r>
        <w:rPr>
          <w:rFonts w:asciiTheme="minorEastAsia" w:eastAsiaTheme="minorEastAsia" w:hAnsiTheme="minorEastAsia"/>
          <w:bCs/>
          <w:color w:val="000000"/>
          <w:sz w:val="24"/>
        </w:rPr>
        <w:t>三、</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的运作方式</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契约型开放式</w:t>
      </w:r>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四、</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的投资目标</w:t>
      </w:r>
      <w:bookmarkEnd w:id="120"/>
    </w:p>
    <w:p w:rsidR="00AA3326">
      <w:pPr>
        <w:spacing w:line="360" w:lineRule="auto"/>
        <w:ind w:firstLine="480" w:firstLineChars="200"/>
        <w:rPr>
          <w:rFonts w:asciiTheme="minorEastAsia" w:eastAsiaTheme="minorEastAsia" w:hAnsiTheme="minorEastAsia" w:hint="eastAsia"/>
          <w:bCs/>
          <w:color w:val="000000"/>
          <w:sz w:val="24"/>
        </w:rPr>
      </w:pPr>
      <w:bookmarkStart w:id="121" w:name="OLE_LINK13"/>
      <w:bookmarkStart w:id="122" w:name="OLE_LINK11"/>
      <w:bookmarkStart w:id="123" w:name="OLE_LINK12"/>
      <w:r>
        <w:rPr>
          <w:rFonts w:hint="eastAsia"/>
          <w:bCs/>
          <w:color w:val="000000"/>
          <w:sz w:val="24"/>
        </w:rPr>
        <w:t>本基金通过数量化模型，合理配置资产权重，精选个股，在充分控制投资风险的前提下，力求实现基金资产的增值</w:t>
      </w:r>
      <w:bookmarkEnd w:id="121"/>
      <w:bookmarkEnd w:id="122"/>
      <w:bookmarkEnd w:id="123"/>
      <w:r>
        <w:rPr>
          <w:rFonts w:hint="eastAsia"/>
          <w:bCs/>
          <w:color w:val="000000"/>
          <w:sz w:val="24"/>
        </w:rPr>
        <w:t>。</w:t>
      </w:r>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bookmarkStart w:id="124" w:name="_Toc79392577"/>
      <w:r>
        <w:rPr>
          <w:rFonts w:asciiTheme="minorEastAsia" w:eastAsiaTheme="minorEastAsia" w:hAnsiTheme="minorEastAsia" w:hint="eastAsia"/>
          <w:bCs/>
          <w:color w:val="000000"/>
          <w:sz w:val="24"/>
        </w:rPr>
        <w:t>五</w:t>
      </w:r>
      <w:r>
        <w:rPr>
          <w:rFonts w:asciiTheme="minorEastAsia" w:eastAsiaTheme="minorEastAsia" w:hAnsiTheme="minorEastAsia"/>
          <w:bCs/>
          <w:color w:val="000000"/>
          <w:sz w:val="24"/>
        </w:rPr>
        <w:t>、基金份额</w:t>
      </w:r>
      <w:r>
        <w:rPr>
          <w:rFonts w:asciiTheme="minorEastAsia" w:eastAsiaTheme="minorEastAsia" w:hAnsiTheme="minorEastAsia" w:hint="eastAsia"/>
          <w:bCs/>
          <w:color w:val="000000"/>
          <w:sz w:val="24"/>
        </w:rPr>
        <w:t>的</w:t>
      </w:r>
      <w:r>
        <w:rPr>
          <w:rFonts w:asciiTheme="minorEastAsia" w:eastAsiaTheme="minorEastAsia" w:hAnsiTheme="minorEastAsia"/>
          <w:bCs/>
          <w:color w:val="000000"/>
          <w:sz w:val="24"/>
        </w:rPr>
        <w:t>面值</w:t>
      </w:r>
      <w:bookmarkEnd w:id="124"/>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本基金份额</w:t>
      </w:r>
      <w:r>
        <w:rPr>
          <w:rFonts w:asciiTheme="minorEastAsia" w:eastAsiaTheme="minorEastAsia" w:hAnsiTheme="minorEastAsia" w:hint="eastAsia"/>
          <w:bCs/>
          <w:color w:val="000000"/>
          <w:sz w:val="24"/>
        </w:rPr>
        <w:t>的</w:t>
      </w:r>
      <w:r>
        <w:rPr>
          <w:rFonts w:asciiTheme="minorEastAsia" w:eastAsiaTheme="minorEastAsia" w:hAnsiTheme="minorEastAsia"/>
          <w:bCs/>
          <w:color w:val="000000"/>
          <w:sz w:val="24"/>
        </w:rPr>
        <w:t>面值为人民币1.00元。</w:t>
      </w:r>
    </w:p>
    <w:p w:rsidR="00AA3326">
      <w:pPr>
        <w:autoSpaceDE w:val="0"/>
        <w:autoSpaceDN w:val="0"/>
        <w:adjustRightInd w:val="0"/>
        <w:spacing w:line="360" w:lineRule="auto"/>
        <w:ind w:firstLine="480" w:firstLineChars="200"/>
        <w:jc w:val="left"/>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bookmarkStart w:id="125" w:name="_Toc79392578"/>
      <w:r>
        <w:rPr>
          <w:rFonts w:asciiTheme="minorEastAsia" w:eastAsiaTheme="minorEastAsia" w:hAnsiTheme="minorEastAsia" w:hint="eastAsia"/>
          <w:bCs/>
          <w:color w:val="000000"/>
          <w:sz w:val="24"/>
        </w:rPr>
        <w:t>六</w:t>
      </w:r>
      <w:r>
        <w:rPr>
          <w:rFonts w:asciiTheme="minorEastAsia" w:eastAsiaTheme="minorEastAsia" w:hAnsiTheme="minorEastAsia"/>
          <w:bCs/>
          <w:color w:val="000000"/>
          <w:sz w:val="24"/>
        </w:rPr>
        <w:t>、</w:t>
      </w:r>
      <w:r>
        <w:rPr>
          <w:rFonts w:asciiTheme="minorEastAsia" w:eastAsiaTheme="minorEastAsia" w:hAnsiTheme="minorEastAsia" w:hint="eastAsia"/>
          <w:bCs/>
          <w:color w:val="000000"/>
          <w:sz w:val="24"/>
        </w:rPr>
        <w:t>基金的</w:t>
      </w:r>
      <w:r>
        <w:rPr>
          <w:rFonts w:asciiTheme="minorEastAsia" w:eastAsiaTheme="minorEastAsia" w:hAnsiTheme="minorEastAsia"/>
          <w:bCs/>
          <w:color w:val="000000"/>
          <w:sz w:val="24"/>
        </w:rPr>
        <w:t>存续期限</w:t>
      </w:r>
      <w:bookmarkEnd w:id="125"/>
    </w:p>
    <w:p w:rsidR="00AA3326">
      <w:pPr>
        <w:spacing w:line="360" w:lineRule="auto"/>
        <w:ind w:firstLine="480" w:firstLineChars="200"/>
        <w:rPr>
          <w:bCs/>
          <w:color w:val="000000"/>
          <w:sz w:val="24"/>
        </w:rPr>
      </w:pPr>
      <w:r>
        <w:rPr>
          <w:rFonts w:hint="eastAsia"/>
          <w:bCs/>
          <w:color w:val="000000"/>
          <w:sz w:val="24"/>
        </w:rPr>
        <w:t>不定期。</w:t>
      </w:r>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七</w:t>
      </w:r>
      <w:r>
        <w:rPr>
          <w:rFonts w:asciiTheme="minorEastAsia" w:eastAsiaTheme="minorEastAsia" w:hAnsiTheme="minorEastAsia"/>
          <w:bCs/>
          <w:color w:val="000000"/>
          <w:sz w:val="24"/>
        </w:rPr>
        <w:t>、</w:t>
      </w:r>
      <w:r>
        <w:rPr>
          <w:rFonts w:asciiTheme="minorEastAsia" w:eastAsiaTheme="minorEastAsia" w:hAnsiTheme="minorEastAsia" w:hint="eastAsia"/>
          <w:bCs/>
          <w:color w:val="000000"/>
          <w:sz w:val="24"/>
        </w:rPr>
        <w:t>基金份额</w:t>
      </w:r>
      <w:r>
        <w:rPr>
          <w:rFonts w:asciiTheme="minorEastAsia" w:eastAsiaTheme="minorEastAsia" w:hAnsiTheme="minorEastAsia"/>
          <w:bCs/>
          <w:color w:val="000000"/>
          <w:sz w:val="24"/>
        </w:rPr>
        <w:t xml:space="preserve">类别 </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本基金根据</w:t>
      </w:r>
      <w:r>
        <w:rPr>
          <w:rFonts w:asciiTheme="minorEastAsia" w:eastAsiaTheme="minorEastAsia" w:hAnsiTheme="minorEastAsia" w:hint="eastAsia"/>
          <w:bCs/>
          <w:color w:val="000000"/>
          <w:sz w:val="24"/>
        </w:rPr>
        <w:t>申购费用、赎回费用、销售服务费</w:t>
      </w:r>
      <w:r>
        <w:rPr>
          <w:rFonts w:asciiTheme="minorEastAsia" w:eastAsiaTheme="minorEastAsia" w:hAnsiTheme="minorEastAsia"/>
          <w:bCs/>
          <w:color w:val="000000"/>
          <w:sz w:val="24"/>
        </w:rPr>
        <w:t>收取</w:t>
      </w:r>
      <w:r>
        <w:rPr>
          <w:rFonts w:asciiTheme="minorEastAsia" w:eastAsiaTheme="minorEastAsia" w:hAnsiTheme="minorEastAsia" w:hint="eastAsia"/>
          <w:bCs/>
          <w:color w:val="000000"/>
          <w:sz w:val="24"/>
        </w:rPr>
        <w:t>方式</w:t>
      </w:r>
      <w:r>
        <w:rPr>
          <w:rFonts w:asciiTheme="minorEastAsia" w:eastAsiaTheme="minorEastAsia" w:hAnsiTheme="minorEastAsia"/>
          <w:bCs/>
          <w:color w:val="000000"/>
          <w:sz w:val="24"/>
        </w:rPr>
        <w:t>的</w:t>
      </w:r>
      <w:r>
        <w:rPr>
          <w:rFonts w:asciiTheme="minorEastAsia" w:eastAsiaTheme="minorEastAsia" w:hAnsiTheme="minorEastAsia" w:hint="eastAsia"/>
          <w:bCs/>
          <w:color w:val="000000"/>
          <w:sz w:val="24"/>
        </w:rPr>
        <w:t>不同</w:t>
      </w:r>
      <w:r>
        <w:rPr>
          <w:rFonts w:asciiTheme="minorEastAsia" w:eastAsiaTheme="minorEastAsia" w:hAnsiTheme="minorEastAsia"/>
          <w:bCs/>
          <w:color w:val="000000"/>
          <w:sz w:val="24"/>
        </w:rPr>
        <w:t>，将</w:t>
      </w:r>
      <w:r>
        <w:rPr>
          <w:rFonts w:asciiTheme="minorEastAsia" w:eastAsiaTheme="minorEastAsia" w:hAnsiTheme="minorEastAsia" w:hint="eastAsia"/>
          <w:bCs/>
          <w:color w:val="000000"/>
          <w:sz w:val="24"/>
        </w:rPr>
        <w:t>基金份额</w:t>
      </w:r>
      <w:r>
        <w:rPr>
          <w:rFonts w:asciiTheme="minorEastAsia" w:eastAsiaTheme="minorEastAsia" w:hAnsiTheme="minorEastAsia"/>
          <w:bCs/>
          <w:color w:val="000000"/>
          <w:sz w:val="24"/>
        </w:rPr>
        <w:t>分为不同的类别。</w:t>
      </w:r>
    </w:p>
    <w:p w:rsidR="00AA3326">
      <w:pPr>
        <w:spacing w:line="360" w:lineRule="auto"/>
        <w:ind w:firstLine="48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A类</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份额</w:t>
      </w:r>
      <w:r>
        <w:rPr>
          <w:rFonts w:asciiTheme="minorEastAsia" w:eastAsiaTheme="minorEastAsia" w:hAnsiTheme="minorEastAsia" w:hint="eastAsia"/>
          <w:bCs/>
          <w:color w:val="000000"/>
          <w:sz w:val="24"/>
        </w:rPr>
        <w:t>：</w:t>
      </w:r>
      <w:r>
        <w:rPr>
          <w:rFonts w:asciiTheme="minorEastAsia" w:eastAsiaTheme="minorEastAsia" w:hAnsiTheme="minorEastAsia"/>
          <w:bCs/>
          <w:color w:val="000000"/>
          <w:sz w:val="24"/>
        </w:rPr>
        <w:t>在投资人申购时收取申购</w:t>
      </w:r>
      <w:r>
        <w:rPr>
          <w:rFonts w:asciiTheme="minorEastAsia" w:eastAsiaTheme="minorEastAsia" w:hAnsiTheme="minorEastAsia" w:hint="eastAsia"/>
          <w:bCs/>
          <w:color w:val="000000"/>
          <w:sz w:val="24"/>
        </w:rPr>
        <w:t>费用、赎回时根据持有期限收取赎回费用，但</w:t>
      </w:r>
      <w:r>
        <w:rPr>
          <w:rFonts w:asciiTheme="minorEastAsia" w:eastAsiaTheme="minorEastAsia" w:hAnsiTheme="minorEastAsia"/>
          <w:bCs/>
          <w:color w:val="000000"/>
          <w:sz w:val="24"/>
        </w:rPr>
        <w:t>不从本类别</w:t>
      </w:r>
      <w:r>
        <w:rPr>
          <w:rFonts w:asciiTheme="minorEastAsia" w:eastAsiaTheme="minorEastAsia" w:hAnsiTheme="minorEastAsia" w:hint="eastAsia"/>
          <w:bCs/>
          <w:color w:val="000000"/>
          <w:sz w:val="24"/>
        </w:rPr>
        <w:t>基金资产</w:t>
      </w:r>
      <w:r>
        <w:rPr>
          <w:rFonts w:asciiTheme="minorEastAsia" w:eastAsiaTheme="minorEastAsia" w:hAnsiTheme="minorEastAsia"/>
          <w:bCs/>
          <w:color w:val="000000"/>
          <w:sz w:val="24"/>
        </w:rPr>
        <w:t>中计</w:t>
      </w:r>
      <w:r>
        <w:rPr>
          <w:rFonts w:asciiTheme="minorEastAsia" w:eastAsiaTheme="minorEastAsia" w:hAnsiTheme="minorEastAsia"/>
          <w:bCs/>
          <w:color w:val="000000"/>
          <w:sz w:val="24"/>
        </w:rPr>
        <w:t>提销售</w:t>
      </w:r>
      <w:r>
        <w:rPr>
          <w:rFonts w:asciiTheme="minorEastAsia" w:eastAsiaTheme="minorEastAsia" w:hAnsiTheme="minorEastAsia"/>
          <w:bCs/>
          <w:color w:val="000000"/>
          <w:sz w:val="24"/>
        </w:rPr>
        <w:t>服务费</w:t>
      </w:r>
      <w:r>
        <w:rPr>
          <w:rFonts w:asciiTheme="minorEastAsia" w:eastAsiaTheme="minorEastAsia" w:hAnsiTheme="minorEastAsia" w:hint="eastAsia"/>
          <w:bCs/>
          <w:color w:val="000000"/>
          <w:sz w:val="24"/>
        </w:rPr>
        <w:t>的基金</w:t>
      </w:r>
      <w:r>
        <w:rPr>
          <w:rFonts w:asciiTheme="minorEastAsia" w:eastAsiaTheme="minorEastAsia" w:hAnsiTheme="minorEastAsia"/>
          <w:bCs/>
          <w:color w:val="000000"/>
          <w:sz w:val="24"/>
        </w:rPr>
        <w:t>份额</w:t>
      </w:r>
      <w:r>
        <w:rPr>
          <w:rFonts w:asciiTheme="minorEastAsia" w:eastAsiaTheme="minorEastAsia" w:hAnsiTheme="minorEastAsia" w:hint="eastAsia"/>
          <w:bCs/>
          <w:color w:val="000000"/>
          <w:sz w:val="24"/>
        </w:rPr>
        <w:t>类别。对于投资者依据原《海通半年升集合资产管理计划资产管理合同》参与集合计划获得的海通</w:t>
      </w:r>
      <w:r>
        <w:rPr>
          <w:rFonts w:asciiTheme="minorEastAsia" w:eastAsiaTheme="minorEastAsia" w:hAnsiTheme="minorEastAsia" w:hint="eastAsia"/>
          <w:bCs/>
          <w:color w:val="000000"/>
          <w:sz w:val="24"/>
        </w:rPr>
        <w:t>半年升集合</w:t>
      </w:r>
      <w:r>
        <w:rPr>
          <w:rFonts w:asciiTheme="minorEastAsia" w:eastAsiaTheme="minorEastAsia" w:hAnsiTheme="minorEastAsia" w:hint="eastAsia"/>
          <w:bCs/>
          <w:color w:val="000000"/>
          <w:sz w:val="24"/>
        </w:rPr>
        <w:t>资产管理计划份额，自《海通策略优选混合型集合资产管理计划资产</w:t>
      </w:r>
      <w:r>
        <w:rPr>
          <w:rFonts w:asciiTheme="minorEastAsia" w:eastAsiaTheme="minorEastAsia" w:hAnsiTheme="minorEastAsia" w:hint="eastAsia"/>
          <w:bCs/>
          <w:color w:val="000000"/>
          <w:sz w:val="24"/>
        </w:rPr>
        <w:t>管理合同》生效之日起全部自动转换为海通策略优选混合型集合资产管理计划A类份额，自本基金合同生效之日起全部自动转换为本基金A类基金份额。对于投资者依据《海通策略优选混合型集合资产管理计划资产管理合同》获得的海通策略优选混合型集合资产管理计划A类份额，自本基金合同生效之日起全部自动转换为本基金A类基金份额。</w:t>
      </w:r>
    </w:p>
    <w:p w:rsidR="00AA3326">
      <w:pPr>
        <w:spacing w:line="360" w:lineRule="auto"/>
        <w:ind w:firstLine="48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C</w:t>
      </w:r>
      <w:r>
        <w:rPr>
          <w:rFonts w:asciiTheme="minorEastAsia" w:eastAsiaTheme="minorEastAsia" w:hAnsiTheme="minorEastAsia"/>
          <w:bCs/>
          <w:color w:val="000000"/>
          <w:sz w:val="24"/>
        </w:rPr>
        <w:t>类</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份额</w:t>
      </w:r>
      <w:r>
        <w:rPr>
          <w:rFonts w:asciiTheme="minorEastAsia" w:eastAsiaTheme="minorEastAsia" w:hAnsiTheme="minorEastAsia" w:hint="eastAsia"/>
          <w:bCs/>
          <w:color w:val="000000"/>
          <w:sz w:val="24"/>
        </w:rPr>
        <w:t>：从本类别基金资产中计</w:t>
      </w:r>
      <w:r>
        <w:rPr>
          <w:rFonts w:asciiTheme="minorEastAsia" w:eastAsiaTheme="minorEastAsia" w:hAnsiTheme="minorEastAsia" w:hint="eastAsia"/>
          <w:bCs/>
          <w:color w:val="000000"/>
          <w:sz w:val="24"/>
        </w:rPr>
        <w:t>提销售</w:t>
      </w:r>
      <w:r>
        <w:rPr>
          <w:rFonts w:asciiTheme="minorEastAsia" w:eastAsiaTheme="minorEastAsia" w:hAnsiTheme="minorEastAsia" w:hint="eastAsia"/>
          <w:bCs/>
          <w:color w:val="000000"/>
          <w:sz w:val="24"/>
        </w:rPr>
        <w:t>服务费而不收取申购费用，投资人赎回时根据持有期限收取赎回费用的基金</w:t>
      </w:r>
      <w:r>
        <w:rPr>
          <w:rFonts w:asciiTheme="minorEastAsia" w:eastAsiaTheme="minorEastAsia" w:hAnsiTheme="minorEastAsia"/>
          <w:bCs/>
          <w:color w:val="000000"/>
          <w:sz w:val="24"/>
        </w:rPr>
        <w:t>份额</w:t>
      </w:r>
      <w:r>
        <w:rPr>
          <w:rFonts w:asciiTheme="minorEastAsia" w:eastAsiaTheme="minorEastAsia" w:hAnsiTheme="minorEastAsia" w:hint="eastAsia"/>
          <w:bCs/>
          <w:color w:val="000000"/>
          <w:sz w:val="24"/>
        </w:rPr>
        <w:t>类别</w:t>
      </w:r>
      <w:r>
        <w:rPr>
          <w:rFonts w:asciiTheme="minorEastAsia" w:eastAsiaTheme="minorEastAsia" w:hAnsiTheme="minorEastAsia"/>
          <w:bCs/>
          <w:color w:val="000000"/>
          <w:sz w:val="24"/>
        </w:rPr>
        <w:t>。</w:t>
      </w:r>
      <w:r>
        <w:rPr>
          <w:rFonts w:asciiTheme="minorEastAsia" w:eastAsiaTheme="minorEastAsia" w:hAnsiTheme="minorEastAsia" w:hint="eastAsia"/>
          <w:bCs/>
          <w:color w:val="000000"/>
          <w:sz w:val="24"/>
        </w:rPr>
        <w:t>对于投资者依据《海通策略优选混合型集合资产管理计划资产管理合同》获得的海通策略优选混合型集合资产管理计划C类份额，自本基金合同生效之日起全部自动转换为本基金C类基金份额。</w:t>
      </w:r>
    </w:p>
    <w:p w:rsidR="00AA3326">
      <w:pPr>
        <w:spacing w:line="360" w:lineRule="auto"/>
        <w:ind w:firstLine="48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本基金</w:t>
      </w:r>
      <w:r>
        <w:rPr>
          <w:rFonts w:asciiTheme="minorEastAsia" w:eastAsiaTheme="minorEastAsia" w:hAnsiTheme="minorEastAsia" w:hint="eastAsia"/>
          <w:bCs/>
          <w:color w:val="000000"/>
          <w:sz w:val="24"/>
        </w:rPr>
        <w:t>A</w:t>
      </w:r>
      <w:r>
        <w:rPr>
          <w:rFonts w:asciiTheme="minorEastAsia" w:eastAsiaTheme="minorEastAsia" w:hAnsiTheme="minorEastAsia"/>
          <w:bCs/>
          <w:color w:val="000000"/>
          <w:sz w:val="24"/>
        </w:rPr>
        <w:t>类</w:t>
      </w:r>
      <w:r>
        <w:rPr>
          <w:rFonts w:asciiTheme="minorEastAsia" w:eastAsiaTheme="minorEastAsia" w:hAnsiTheme="minorEastAsia" w:hint="eastAsia"/>
          <w:bCs/>
          <w:color w:val="000000"/>
          <w:sz w:val="24"/>
        </w:rPr>
        <w:t>基金份额和C类基金</w:t>
      </w:r>
      <w:r>
        <w:rPr>
          <w:rFonts w:asciiTheme="minorEastAsia" w:eastAsiaTheme="minorEastAsia" w:hAnsiTheme="minorEastAsia"/>
          <w:bCs/>
          <w:color w:val="000000"/>
          <w:sz w:val="24"/>
        </w:rPr>
        <w:t>份额分别设置代码</w:t>
      </w:r>
      <w:r>
        <w:rPr>
          <w:rFonts w:asciiTheme="minorEastAsia" w:eastAsiaTheme="minorEastAsia" w:hAnsiTheme="minorEastAsia" w:hint="eastAsia"/>
          <w:bCs/>
          <w:color w:val="000000"/>
          <w:sz w:val="24"/>
        </w:rPr>
        <w:t>。由于基金费用的不同，本基金A类基金份额和C类基金份额将</w:t>
      </w:r>
      <w:r>
        <w:rPr>
          <w:rFonts w:asciiTheme="minorEastAsia" w:eastAsiaTheme="minorEastAsia" w:hAnsiTheme="minorEastAsia"/>
          <w:bCs/>
          <w:color w:val="000000"/>
          <w:sz w:val="24"/>
        </w:rPr>
        <w:t>分别计算</w:t>
      </w:r>
      <w:r>
        <w:rPr>
          <w:rFonts w:asciiTheme="minorEastAsia" w:eastAsiaTheme="minorEastAsia" w:hAnsiTheme="minorEastAsia" w:hint="eastAsia"/>
          <w:bCs/>
          <w:color w:val="000000"/>
          <w:sz w:val="24"/>
        </w:rPr>
        <w:t>和公告各类基金</w:t>
      </w:r>
      <w:r>
        <w:rPr>
          <w:rFonts w:asciiTheme="minorEastAsia" w:eastAsiaTheme="minorEastAsia" w:hAnsiTheme="minorEastAsia"/>
          <w:bCs/>
          <w:color w:val="000000"/>
          <w:sz w:val="24"/>
        </w:rPr>
        <w:t>份额净值</w:t>
      </w:r>
      <w:r>
        <w:rPr>
          <w:rFonts w:asciiTheme="minorEastAsia" w:eastAsiaTheme="minorEastAsia" w:hAnsiTheme="minorEastAsia" w:hint="eastAsia"/>
          <w:bCs/>
          <w:color w:val="000000"/>
          <w:sz w:val="24"/>
        </w:rPr>
        <w:t xml:space="preserve">。计算公式为： </w:t>
      </w:r>
    </w:p>
    <w:p w:rsidR="00AA3326">
      <w:pPr>
        <w:spacing w:line="360" w:lineRule="auto"/>
        <w:ind w:firstLine="48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T日某类基金份额净值＝T日该类基金份额的基金资产净值/T日该类基金份额余额总数。</w:t>
      </w:r>
    </w:p>
    <w:p w:rsidR="00AA3326">
      <w:pPr>
        <w:spacing w:line="360" w:lineRule="auto"/>
        <w:ind w:firstLine="48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本基金办理A类基金份额、C类基金份额的申购业务，投资人在申购基金份额时可自行选择基金份额类别。</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本基金有关基金份额类别的具体设置以及费率水平等由</w:t>
      </w:r>
      <w:r>
        <w:rPr>
          <w:rFonts w:asciiTheme="minorEastAsia" w:eastAsiaTheme="minorEastAsia" w:hAnsiTheme="minorEastAsia"/>
          <w:bCs/>
          <w:color w:val="000000"/>
          <w:sz w:val="24"/>
        </w:rPr>
        <w:t>基金管理人</w:t>
      </w:r>
      <w:r>
        <w:rPr>
          <w:rFonts w:asciiTheme="minorEastAsia" w:eastAsiaTheme="minorEastAsia" w:hAnsiTheme="minorEastAsia" w:hint="eastAsia"/>
          <w:bCs/>
          <w:color w:val="000000"/>
          <w:sz w:val="24"/>
        </w:rPr>
        <w:t>确定，并在招募说明书、基金产品资料概要中公告。</w:t>
      </w:r>
      <w:r>
        <w:rPr>
          <w:rFonts w:asciiTheme="minorEastAsia" w:eastAsiaTheme="minorEastAsia" w:hAnsiTheme="minorEastAsia" w:hint="eastAsia"/>
          <w:color w:val="000000"/>
          <w:sz w:val="24"/>
        </w:rPr>
        <w:t>根据基金销售情况，在符合</w:t>
      </w:r>
      <w:r>
        <w:rPr>
          <w:rFonts w:asciiTheme="minorEastAsia" w:eastAsiaTheme="minorEastAsia" w:hAnsiTheme="minorEastAsia"/>
          <w:bCs/>
          <w:color w:val="000000"/>
          <w:sz w:val="24"/>
        </w:rPr>
        <w:t>法律法规</w:t>
      </w:r>
      <w:r>
        <w:rPr>
          <w:rFonts w:ascii="宋体" w:hAnsi="宋体" w:hint="eastAsia"/>
          <w:bCs/>
          <w:color w:val="000000"/>
          <w:sz w:val="24"/>
        </w:rPr>
        <w:t>、基金合同</w:t>
      </w:r>
      <w:r>
        <w:rPr>
          <w:rFonts w:asciiTheme="minorEastAsia" w:eastAsiaTheme="minorEastAsia" w:hAnsiTheme="minorEastAsia" w:hint="eastAsia"/>
          <w:color w:val="000000"/>
          <w:sz w:val="24"/>
        </w:rPr>
        <w:t>及中国证监会</w:t>
      </w:r>
      <w:r>
        <w:rPr>
          <w:rFonts w:asciiTheme="minorEastAsia" w:eastAsiaTheme="minorEastAsia" w:hAnsiTheme="minorEastAsia"/>
          <w:bCs/>
          <w:color w:val="000000"/>
          <w:sz w:val="24"/>
        </w:rPr>
        <w:t>规定且对</w:t>
      </w:r>
      <w:r>
        <w:rPr>
          <w:rFonts w:asciiTheme="minorEastAsia" w:eastAsiaTheme="minorEastAsia" w:hAnsiTheme="minorEastAsia" w:hint="eastAsia"/>
          <w:color w:val="000000"/>
          <w:sz w:val="24"/>
        </w:rPr>
        <w:t>基金份额持有人</w:t>
      </w:r>
      <w:r>
        <w:rPr>
          <w:rFonts w:asciiTheme="minorEastAsia" w:eastAsiaTheme="minorEastAsia" w:hAnsiTheme="minorEastAsia"/>
          <w:bCs/>
          <w:color w:val="000000"/>
          <w:sz w:val="24"/>
        </w:rPr>
        <w:t>利益无</w:t>
      </w:r>
      <w:r>
        <w:rPr>
          <w:rFonts w:asciiTheme="minorEastAsia" w:eastAsiaTheme="minorEastAsia" w:hAnsiTheme="minorEastAsia" w:hint="eastAsia"/>
          <w:color w:val="000000"/>
          <w:sz w:val="24"/>
        </w:rPr>
        <w:t>实质性</w:t>
      </w:r>
      <w:r>
        <w:rPr>
          <w:rFonts w:asciiTheme="minorEastAsia" w:eastAsiaTheme="minorEastAsia" w:hAnsiTheme="minorEastAsia"/>
          <w:bCs/>
          <w:color w:val="000000"/>
          <w:sz w:val="24"/>
        </w:rPr>
        <w:t>不利影响的</w:t>
      </w:r>
      <w:r>
        <w:rPr>
          <w:rFonts w:asciiTheme="minorEastAsia" w:eastAsiaTheme="minorEastAsia" w:hAnsiTheme="minorEastAsia" w:hint="eastAsia"/>
          <w:color w:val="000000"/>
          <w:sz w:val="24"/>
        </w:rPr>
        <w:t>情况</w:t>
      </w:r>
      <w:r>
        <w:rPr>
          <w:rFonts w:asciiTheme="minorEastAsia" w:eastAsiaTheme="minorEastAsia" w:hAnsiTheme="minorEastAsia"/>
          <w:bCs/>
          <w:color w:val="000000"/>
          <w:sz w:val="24"/>
        </w:rPr>
        <w:t>下，</w:t>
      </w:r>
      <w:r>
        <w:rPr>
          <w:rFonts w:asciiTheme="minorEastAsia" w:eastAsiaTheme="minorEastAsia" w:hAnsiTheme="minorEastAsia" w:hint="eastAsia"/>
          <w:color w:val="000000"/>
          <w:sz w:val="24"/>
        </w:rPr>
        <w:t>基金管理人</w:t>
      </w:r>
      <w:r>
        <w:rPr>
          <w:rFonts w:ascii="宋体" w:hAnsi="宋体" w:hint="eastAsia"/>
          <w:bCs/>
          <w:color w:val="000000"/>
          <w:sz w:val="24"/>
        </w:rPr>
        <w:t>经与基金托管人就清算交收、核算估值、系统支持等方面协商一致，并</w:t>
      </w:r>
      <w:r>
        <w:rPr>
          <w:rFonts w:asciiTheme="minorEastAsia" w:eastAsiaTheme="minorEastAsia" w:hAnsiTheme="minorEastAsia" w:hint="eastAsia"/>
          <w:color w:val="000000"/>
          <w:sz w:val="24"/>
        </w:rPr>
        <w:t>在履行适当程序后可以</w:t>
      </w:r>
      <w:r>
        <w:rPr>
          <w:rFonts w:asciiTheme="minorEastAsia" w:eastAsiaTheme="minorEastAsia" w:hAnsiTheme="minorEastAsia" w:hint="eastAsia"/>
          <w:bCs/>
          <w:color w:val="000000"/>
          <w:sz w:val="24"/>
        </w:rPr>
        <w:t>增加</w:t>
      </w:r>
      <w:r>
        <w:rPr>
          <w:rFonts w:asciiTheme="minorEastAsia" w:eastAsiaTheme="minorEastAsia" w:hAnsiTheme="minorEastAsia" w:hint="eastAsia"/>
          <w:color w:val="000000"/>
          <w:sz w:val="24"/>
        </w:rPr>
        <w:t>新的基金份额</w:t>
      </w:r>
      <w:r>
        <w:rPr>
          <w:rFonts w:asciiTheme="minorEastAsia" w:eastAsiaTheme="minorEastAsia" w:hAnsiTheme="minorEastAsia"/>
          <w:bCs/>
          <w:color w:val="000000"/>
          <w:sz w:val="24"/>
        </w:rPr>
        <w:t>类别</w:t>
      </w:r>
      <w:r>
        <w:rPr>
          <w:rFonts w:asciiTheme="minorEastAsia" w:eastAsiaTheme="minorEastAsia" w:hAnsiTheme="minorEastAsia" w:hint="eastAsia"/>
          <w:color w:val="000000"/>
          <w:sz w:val="24"/>
        </w:rPr>
        <w:t>或者停止现有</w:t>
      </w:r>
      <w:r>
        <w:rPr>
          <w:rFonts w:asciiTheme="minorEastAsia" w:eastAsiaTheme="minorEastAsia" w:hAnsiTheme="minorEastAsia" w:hint="eastAsia"/>
          <w:bCs/>
          <w:color w:val="000000"/>
          <w:sz w:val="24"/>
        </w:rPr>
        <w:t>基金份额</w:t>
      </w:r>
      <w:r>
        <w:rPr>
          <w:rFonts w:asciiTheme="minorEastAsia" w:eastAsiaTheme="minorEastAsia" w:hAnsiTheme="minorEastAsia" w:hint="eastAsia"/>
          <w:color w:val="000000"/>
          <w:sz w:val="24"/>
        </w:rPr>
        <w:t>类别的销售等，</w:t>
      </w:r>
      <w:r>
        <w:rPr>
          <w:rFonts w:asciiTheme="minorEastAsia" w:eastAsiaTheme="minorEastAsia" w:hAnsiTheme="minorEastAsia" w:hint="eastAsia"/>
          <w:bCs/>
          <w:color w:val="000000"/>
          <w:sz w:val="24"/>
        </w:rPr>
        <w:t>或</w:t>
      </w:r>
      <w:r>
        <w:rPr>
          <w:rFonts w:asciiTheme="minorEastAsia" w:eastAsiaTheme="minorEastAsia" w:hAnsiTheme="minorEastAsia"/>
          <w:bCs/>
          <w:color w:val="000000"/>
          <w:sz w:val="24"/>
        </w:rPr>
        <w:t>对</w:t>
      </w:r>
      <w:r>
        <w:rPr>
          <w:rFonts w:asciiTheme="minorEastAsia" w:eastAsiaTheme="minorEastAsia" w:hAnsiTheme="minorEastAsia" w:hint="eastAsia"/>
          <w:bCs/>
          <w:color w:val="000000"/>
          <w:sz w:val="24"/>
        </w:rPr>
        <w:t>基金份额</w:t>
      </w:r>
      <w:r>
        <w:rPr>
          <w:rFonts w:asciiTheme="minorEastAsia" w:eastAsiaTheme="minorEastAsia" w:hAnsiTheme="minorEastAsia"/>
          <w:bCs/>
          <w:color w:val="000000"/>
          <w:sz w:val="24"/>
        </w:rPr>
        <w:t>分类办法及规则进行调整，</w:t>
      </w:r>
      <w:r>
        <w:rPr>
          <w:rFonts w:asciiTheme="minorEastAsia" w:eastAsiaTheme="minorEastAsia" w:hAnsiTheme="minorEastAsia" w:hint="eastAsia"/>
          <w:color w:val="000000"/>
          <w:sz w:val="24"/>
        </w:rPr>
        <w:t>而无需</w:t>
      </w:r>
      <w:r>
        <w:rPr>
          <w:rFonts w:asciiTheme="minorEastAsia" w:eastAsiaTheme="minorEastAsia" w:hAnsiTheme="minorEastAsia"/>
          <w:bCs/>
          <w:color w:val="000000"/>
          <w:sz w:val="24"/>
        </w:rPr>
        <w:t>召开</w:t>
      </w:r>
      <w:r>
        <w:rPr>
          <w:rFonts w:asciiTheme="minorEastAsia" w:eastAsiaTheme="minorEastAsia" w:hAnsiTheme="minorEastAsia" w:hint="eastAsia"/>
          <w:bCs/>
          <w:color w:val="000000"/>
          <w:sz w:val="24"/>
        </w:rPr>
        <w:t>基金份额持有人</w:t>
      </w:r>
      <w:r>
        <w:rPr>
          <w:rFonts w:asciiTheme="minorEastAsia" w:eastAsiaTheme="minorEastAsia" w:hAnsiTheme="minorEastAsia"/>
          <w:bCs/>
          <w:color w:val="000000"/>
          <w:sz w:val="24"/>
        </w:rPr>
        <w:t>大会</w:t>
      </w:r>
      <w:r>
        <w:rPr>
          <w:rFonts w:asciiTheme="minorEastAsia" w:eastAsiaTheme="minorEastAsia" w:hAnsiTheme="minorEastAsia" w:hint="eastAsia"/>
          <w:color w:val="000000"/>
          <w:sz w:val="24"/>
        </w:rPr>
        <w:t>，但调整实施</w:t>
      </w:r>
      <w:r>
        <w:rPr>
          <w:rFonts w:asciiTheme="minorEastAsia" w:eastAsiaTheme="minorEastAsia" w:hAnsiTheme="minorEastAsia" w:hint="eastAsia"/>
          <w:color w:val="000000"/>
          <w:sz w:val="24"/>
        </w:rPr>
        <w:t>前基金</w:t>
      </w:r>
      <w:r>
        <w:rPr>
          <w:rFonts w:asciiTheme="minorEastAsia" w:eastAsiaTheme="minorEastAsia" w:hAnsiTheme="minorEastAsia" w:hint="eastAsia"/>
          <w:color w:val="000000"/>
          <w:sz w:val="24"/>
        </w:rPr>
        <w:t>管理人需依照《信息披露办法》的规定</w:t>
      </w:r>
      <w:r>
        <w:rPr>
          <w:rFonts w:ascii="宋体" w:hAnsi="宋体" w:hint="eastAsia"/>
          <w:color w:val="000000"/>
          <w:sz w:val="24"/>
        </w:rPr>
        <w:t>在规定媒介上</w:t>
      </w:r>
      <w:r>
        <w:rPr>
          <w:rFonts w:asciiTheme="minorEastAsia" w:eastAsiaTheme="minorEastAsia" w:hAnsiTheme="minorEastAsia" w:hint="eastAsia"/>
          <w:color w:val="000000"/>
          <w:sz w:val="24"/>
        </w:rPr>
        <w:t>及时公告</w:t>
      </w:r>
      <w:r>
        <w:rPr>
          <w:rFonts w:asciiTheme="minorEastAsia" w:eastAsiaTheme="minorEastAsia" w:hAnsiTheme="minorEastAsia"/>
          <w:bCs/>
          <w:color w:val="000000"/>
          <w:sz w:val="24"/>
        </w:rPr>
        <w:t>。</w:t>
      </w:r>
    </w:p>
    <w:p w:rsidR="00AA3326">
      <w:pPr>
        <w:spacing w:line="360" w:lineRule="auto"/>
        <w:ind w:firstLine="480" w:firstLineChars="200"/>
        <w:rPr>
          <w:rFonts w:asciiTheme="minorEastAsia" w:eastAsiaTheme="minorEastAsia" w:hAnsiTheme="minorEastAsia" w:hint="eastAsia"/>
          <w:bCs/>
          <w:color w:val="000000"/>
          <w:sz w:val="24"/>
        </w:rPr>
      </w:pPr>
    </w:p>
    <w:p w:rsidR="00AA3326">
      <w:pPr>
        <w:widowControl/>
        <w:jc w:val="left"/>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br w:type="page"/>
      </w:r>
    </w:p>
    <w:p w:rsidR="00AA3326">
      <w:pPr>
        <w:pStyle w:val="Heading1"/>
        <w:spacing w:after="0" w:before="0"/>
        <w:jc w:val="center"/>
        <w:rPr>
          <w:rFonts w:asciiTheme="minorEastAsia" w:eastAsiaTheme="minorEastAsia" w:hAnsiTheme="minorEastAsia" w:hint="eastAsia"/>
          <w:sz w:val="30"/>
        </w:rPr>
      </w:pPr>
      <w:bookmarkStart w:id="126" w:name="_Toc207633402"/>
      <w:r>
        <w:rPr>
          <w:rFonts w:asciiTheme="minorEastAsia" w:eastAsiaTheme="minorEastAsia" w:hAnsiTheme="minorEastAsia" w:hint="eastAsia"/>
          <w:sz w:val="30"/>
        </w:rPr>
        <w:t>第四部分</w:t>
      </w:r>
      <w:r>
        <w:rPr>
          <w:rFonts w:asciiTheme="minorEastAsia" w:eastAsiaTheme="minorEastAsia" w:hAnsiTheme="minorEastAsia"/>
          <w:sz w:val="30"/>
        </w:rPr>
        <w:t xml:space="preserve">  </w:t>
      </w:r>
      <w:r>
        <w:rPr>
          <w:rFonts w:asciiTheme="minorEastAsia" w:eastAsiaTheme="minorEastAsia" w:hAnsiTheme="minorEastAsia" w:hint="eastAsia"/>
          <w:sz w:val="30"/>
        </w:rPr>
        <w:t>基金的历史沿革</w:t>
      </w:r>
      <w:bookmarkEnd w:id="126"/>
    </w:p>
    <w:p w:rsidR="00AA3326">
      <w:pPr>
        <w:spacing w:line="360" w:lineRule="auto"/>
        <w:rPr>
          <w:rFonts w:ascii="宋体" w:hAnsi="宋体" w:hint="eastAsia"/>
          <w:bCs/>
          <w:color w:val="000000"/>
          <w:sz w:val="24"/>
          <w:szCs w:val="24"/>
        </w:rPr>
      </w:pPr>
      <w:r>
        <w:rPr>
          <w:rFonts w:ascii="宋体" w:hAnsi="宋体" w:hint="eastAsia"/>
          <w:bCs/>
          <w:color w:val="000000"/>
          <w:sz w:val="24"/>
          <w:szCs w:val="24"/>
        </w:rPr>
        <w:t xml:space="preserve"> </w:t>
      </w:r>
      <w:r>
        <w:rPr>
          <w:rFonts w:ascii="宋体" w:hAnsi="宋体"/>
          <w:bCs/>
          <w:color w:val="000000"/>
          <w:sz w:val="24"/>
          <w:szCs w:val="24"/>
        </w:rPr>
        <w:t xml:space="preserve">   国泰海通新锐量化选股混合型证券投资基金</w:t>
      </w:r>
      <w:r>
        <w:rPr>
          <w:rFonts w:ascii="宋体" w:hAnsi="宋体" w:hint="eastAsia"/>
          <w:bCs/>
          <w:color w:val="000000"/>
          <w:sz w:val="24"/>
          <w:szCs w:val="24"/>
        </w:rPr>
        <w:t>由</w:t>
      </w:r>
      <w:bookmarkStart w:id="127" w:name="OLE_LINK26"/>
      <w:bookmarkStart w:id="128" w:name="OLE_LINK25"/>
      <w:r>
        <w:rPr>
          <w:rFonts w:ascii="宋体" w:hAnsi="宋体"/>
          <w:bCs/>
          <w:color w:val="000000"/>
          <w:sz w:val="24"/>
          <w:szCs w:val="24"/>
        </w:rPr>
        <w:t>海通策略优选混合型集合资产管理计划</w:t>
      </w:r>
      <w:bookmarkEnd w:id="127"/>
      <w:bookmarkEnd w:id="128"/>
      <w:r>
        <w:rPr>
          <w:rFonts w:ascii="宋体" w:hAnsi="宋体" w:hint="eastAsia"/>
          <w:bCs/>
          <w:color w:val="000000"/>
          <w:sz w:val="24"/>
          <w:szCs w:val="24"/>
        </w:rPr>
        <w:t>变更而来。</w:t>
      </w:r>
      <w:r>
        <w:rPr>
          <w:rFonts w:ascii="宋体" w:hAnsi="宋体"/>
          <w:bCs/>
          <w:color w:val="000000"/>
          <w:sz w:val="24"/>
          <w:szCs w:val="24"/>
        </w:rPr>
        <w:t>海通策略优选混合型集合资产管理计划</w:t>
      </w:r>
      <w:r>
        <w:rPr>
          <w:rFonts w:ascii="宋体" w:hAnsi="宋体" w:hint="eastAsia"/>
          <w:bCs/>
          <w:color w:val="000000"/>
          <w:sz w:val="24"/>
          <w:szCs w:val="24"/>
        </w:rPr>
        <w:t>由海通</w:t>
      </w:r>
      <w:r>
        <w:rPr>
          <w:rFonts w:ascii="宋体" w:hAnsi="宋体" w:hint="eastAsia"/>
          <w:bCs/>
          <w:color w:val="000000"/>
          <w:sz w:val="24"/>
          <w:szCs w:val="24"/>
        </w:rPr>
        <w:t>半年升集合</w:t>
      </w:r>
      <w:r>
        <w:rPr>
          <w:rFonts w:ascii="宋体" w:hAnsi="宋体" w:hint="eastAsia"/>
          <w:bCs/>
          <w:color w:val="000000"/>
          <w:sz w:val="24"/>
          <w:szCs w:val="24"/>
        </w:rPr>
        <w:t>资产管理计划变更而来。</w:t>
      </w:r>
    </w:p>
    <w:p w:rsidR="00AA3326">
      <w:pPr>
        <w:spacing w:line="360" w:lineRule="auto"/>
        <w:ind w:firstLine="480" w:firstLineChars="200"/>
        <w:rPr>
          <w:bCs/>
          <w:color w:val="000000"/>
          <w:sz w:val="24"/>
          <w:szCs w:val="24"/>
        </w:rPr>
      </w:pPr>
      <w:r>
        <w:rPr>
          <w:rFonts w:ascii="宋体" w:hAnsi="宋体" w:hint="eastAsia"/>
          <w:bCs/>
          <w:color w:val="000000"/>
          <w:sz w:val="24"/>
          <w:szCs w:val="24"/>
        </w:rPr>
        <w:t>海通</w:t>
      </w:r>
      <w:r>
        <w:rPr>
          <w:rFonts w:ascii="宋体" w:hAnsi="宋体" w:hint="eastAsia"/>
          <w:bCs/>
          <w:color w:val="000000"/>
          <w:sz w:val="24"/>
          <w:szCs w:val="24"/>
        </w:rPr>
        <w:t>半年升集合</w:t>
      </w:r>
      <w:r>
        <w:rPr>
          <w:rFonts w:ascii="宋体" w:hAnsi="宋体" w:hint="eastAsia"/>
          <w:bCs/>
          <w:color w:val="000000"/>
          <w:sz w:val="24"/>
          <w:szCs w:val="24"/>
        </w:rPr>
        <w:t>资产管理计划</w:t>
      </w:r>
      <w:r>
        <w:rPr>
          <w:bCs/>
          <w:color w:val="000000"/>
          <w:sz w:val="24"/>
          <w:szCs w:val="24"/>
        </w:rPr>
        <w:t>为限定性集合资产管理计划，</w:t>
      </w:r>
      <w:r>
        <w:rPr>
          <w:rFonts w:hint="eastAsia"/>
          <w:bCs/>
          <w:color w:val="000000"/>
          <w:sz w:val="24"/>
          <w:szCs w:val="24"/>
        </w:rPr>
        <w:t>自</w:t>
      </w:r>
      <w:r>
        <w:rPr>
          <w:rFonts w:hint="eastAsia"/>
          <w:bCs/>
          <w:color w:val="000000"/>
          <w:sz w:val="24"/>
          <w:szCs w:val="24"/>
        </w:rPr>
        <w:t>2013</w:t>
      </w:r>
      <w:r>
        <w:rPr>
          <w:rFonts w:hint="eastAsia"/>
          <w:bCs/>
          <w:color w:val="000000"/>
          <w:sz w:val="24"/>
          <w:szCs w:val="24"/>
        </w:rPr>
        <w:t>年</w:t>
      </w:r>
      <w:r>
        <w:rPr>
          <w:rFonts w:hint="eastAsia"/>
          <w:bCs/>
          <w:color w:val="000000"/>
          <w:sz w:val="24"/>
          <w:szCs w:val="24"/>
        </w:rPr>
        <w:t>5</w:t>
      </w:r>
      <w:r>
        <w:rPr>
          <w:rFonts w:hint="eastAsia"/>
          <w:bCs/>
          <w:color w:val="000000"/>
          <w:sz w:val="24"/>
          <w:szCs w:val="24"/>
        </w:rPr>
        <w:t>月</w:t>
      </w:r>
      <w:r>
        <w:rPr>
          <w:rFonts w:hint="eastAsia"/>
          <w:bCs/>
          <w:color w:val="000000"/>
          <w:sz w:val="24"/>
          <w:szCs w:val="24"/>
        </w:rPr>
        <w:t>20</w:t>
      </w:r>
      <w:r>
        <w:rPr>
          <w:rFonts w:hint="eastAsia"/>
          <w:bCs/>
          <w:color w:val="000000"/>
          <w:sz w:val="24"/>
          <w:szCs w:val="24"/>
        </w:rPr>
        <w:t>日</w:t>
      </w:r>
      <w:r>
        <w:rPr>
          <w:bCs/>
          <w:color w:val="000000"/>
          <w:sz w:val="24"/>
          <w:szCs w:val="24"/>
        </w:rPr>
        <w:t>起</w:t>
      </w:r>
      <w:r>
        <w:rPr>
          <w:rFonts w:hint="eastAsia"/>
          <w:bCs/>
          <w:color w:val="000000"/>
          <w:sz w:val="24"/>
          <w:szCs w:val="24"/>
        </w:rPr>
        <w:t>向</w:t>
      </w:r>
      <w:r>
        <w:rPr>
          <w:bCs/>
          <w:color w:val="000000"/>
          <w:sz w:val="24"/>
          <w:szCs w:val="24"/>
        </w:rPr>
        <w:t>社会公众发行，</w:t>
      </w:r>
      <w:r>
        <w:rPr>
          <w:rFonts w:hint="eastAsia"/>
          <w:bCs/>
          <w:color w:val="000000"/>
          <w:sz w:val="24"/>
          <w:szCs w:val="24"/>
        </w:rPr>
        <w:t>2013</w:t>
      </w:r>
      <w:r>
        <w:rPr>
          <w:rFonts w:hint="eastAsia"/>
          <w:bCs/>
          <w:color w:val="000000"/>
          <w:sz w:val="24"/>
          <w:szCs w:val="24"/>
        </w:rPr>
        <w:t>年</w:t>
      </w:r>
      <w:r>
        <w:rPr>
          <w:rFonts w:hint="eastAsia"/>
          <w:bCs/>
          <w:color w:val="000000"/>
          <w:sz w:val="24"/>
          <w:szCs w:val="24"/>
        </w:rPr>
        <w:t>5</w:t>
      </w:r>
      <w:r>
        <w:rPr>
          <w:rFonts w:hint="eastAsia"/>
          <w:bCs/>
          <w:color w:val="000000"/>
          <w:sz w:val="24"/>
          <w:szCs w:val="24"/>
        </w:rPr>
        <w:t>月</w:t>
      </w:r>
      <w:r>
        <w:rPr>
          <w:rFonts w:hint="eastAsia"/>
          <w:bCs/>
          <w:color w:val="000000"/>
          <w:sz w:val="24"/>
          <w:szCs w:val="24"/>
        </w:rPr>
        <w:t>23</w:t>
      </w:r>
      <w:r>
        <w:rPr>
          <w:rFonts w:hint="eastAsia"/>
          <w:bCs/>
          <w:color w:val="000000"/>
          <w:sz w:val="24"/>
          <w:szCs w:val="24"/>
        </w:rPr>
        <w:t>日</w:t>
      </w:r>
      <w:r>
        <w:rPr>
          <w:bCs/>
          <w:color w:val="000000"/>
          <w:sz w:val="24"/>
          <w:szCs w:val="24"/>
        </w:rPr>
        <w:t>结束募集并</w:t>
      </w:r>
      <w:r>
        <w:rPr>
          <w:rFonts w:hint="eastAsia"/>
          <w:bCs/>
          <w:color w:val="000000"/>
          <w:sz w:val="24"/>
          <w:szCs w:val="24"/>
        </w:rPr>
        <w:t>于</w:t>
      </w:r>
      <w:r>
        <w:rPr>
          <w:rFonts w:hint="eastAsia"/>
          <w:bCs/>
          <w:color w:val="000000"/>
          <w:sz w:val="24"/>
          <w:szCs w:val="24"/>
        </w:rPr>
        <w:t>2013</w:t>
      </w:r>
      <w:r>
        <w:rPr>
          <w:rFonts w:hint="eastAsia"/>
          <w:bCs/>
          <w:color w:val="000000"/>
          <w:sz w:val="24"/>
          <w:szCs w:val="24"/>
        </w:rPr>
        <w:t>年</w:t>
      </w:r>
      <w:r>
        <w:rPr>
          <w:rFonts w:hint="eastAsia"/>
          <w:bCs/>
          <w:color w:val="000000"/>
          <w:sz w:val="24"/>
          <w:szCs w:val="24"/>
        </w:rPr>
        <w:t>5</w:t>
      </w:r>
      <w:r>
        <w:rPr>
          <w:rFonts w:hint="eastAsia"/>
          <w:bCs/>
          <w:color w:val="000000"/>
          <w:sz w:val="24"/>
          <w:szCs w:val="24"/>
        </w:rPr>
        <w:t>月</w:t>
      </w:r>
      <w:r>
        <w:rPr>
          <w:rFonts w:hint="eastAsia"/>
          <w:bCs/>
          <w:color w:val="000000"/>
          <w:sz w:val="24"/>
          <w:szCs w:val="24"/>
        </w:rPr>
        <w:t>29</w:t>
      </w:r>
      <w:r>
        <w:rPr>
          <w:rFonts w:hint="eastAsia"/>
          <w:bCs/>
          <w:color w:val="000000"/>
          <w:sz w:val="24"/>
          <w:szCs w:val="24"/>
        </w:rPr>
        <w:t>日</w:t>
      </w:r>
      <w:r>
        <w:rPr>
          <w:bCs/>
          <w:color w:val="000000"/>
          <w:sz w:val="24"/>
          <w:szCs w:val="24"/>
        </w:rPr>
        <w:t>成立。</w:t>
      </w:r>
      <w:r>
        <w:rPr>
          <w:bCs/>
          <w:color w:val="000000"/>
          <w:sz w:val="24"/>
          <w:szCs w:val="24"/>
        </w:rPr>
        <w:t>2013</w:t>
      </w:r>
      <w:r>
        <w:rPr>
          <w:bCs/>
          <w:color w:val="000000"/>
          <w:sz w:val="24"/>
          <w:szCs w:val="24"/>
        </w:rPr>
        <w:t>年</w:t>
      </w:r>
      <w:r>
        <w:rPr>
          <w:bCs/>
          <w:color w:val="000000"/>
          <w:sz w:val="24"/>
          <w:szCs w:val="24"/>
        </w:rPr>
        <w:t>6</w:t>
      </w:r>
      <w:r>
        <w:rPr>
          <w:bCs/>
          <w:color w:val="000000"/>
          <w:sz w:val="24"/>
          <w:szCs w:val="24"/>
        </w:rPr>
        <w:t>月</w:t>
      </w:r>
      <w:r>
        <w:rPr>
          <w:bCs/>
          <w:color w:val="000000"/>
          <w:sz w:val="24"/>
          <w:szCs w:val="24"/>
        </w:rPr>
        <w:t>5</w:t>
      </w:r>
      <w:r>
        <w:rPr>
          <w:bCs/>
          <w:color w:val="000000"/>
          <w:sz w:val="24"/>
          <w:szCs w:val="24"/>
        </w:rPr>
        <w:t>日</w:t>
      </w:r>
      <w:r>
        <w:rPr>
          <w:rFonts w:hint="eastAsia"/>
          <w:bCs/>
          <w:color w:val="000000"/>
          <w:sz w:val="24"/>
          <w:szCs w:val="24"/>
        </w:rPr>
        <w:t>获得</w:t>
      </w:r>
      <w:r>
        <w:rPr>
          <w:bCs/>
          <w:color w:val="000000"/>
          <w:sz w:val="24"/>
          <w:szCs w:val="24"/>
        </w:rPr>
        <w:t>中国证券业协会</w:t>
      </w:r>
      <w:r>
        <w:rPr>
          <w:rFonts w:hint="eastAsia"/>
          <w:bCs/>
          <w:color w:val="000000"/>
          <w:sz w:val="24"/>
          <w:szCs w:val="24"/>
        </w:rPr>
        <w:t>（中</w:t>
      </w:r>
      <w:r>
        <w:rPr>
          <w:rFonts w:hint="eastAsia"/>
          <w:bCs/>
          <w:color w:val="000000"/>
          <w:sz w:val="24"/>
          <w:szCs w:val="24"/>
        </w:rPr>
        <w:t>证协</w:t>
      </w:r>
      <w:r>
        <w:rPr>
          <w:bCs/>
          <w:color w:val="000000"/>
          <w:sz w:val="24"/>
          <w:szCs w:val="24"/>
        </w:rPr>
        <w:t>函</w:t>
      </w:r>
      <w:r>
        <w:rPr>
          <w:bCs/>
          <w:color w:val="000000"/>
          <w:sz w:val="24"/>
          <w:szCs w:val="24"/>
        </w:rPr>
        <w:t>【</w:t>
      </w:r>
      <w:r>
        <w:rPr>
          <w:rFonts w:hint="eastAsia"/>
          <w:bCs/>
          <w:color w:val="000000"/>
          <w:sz w:val="24"/>
          <w:szCs w:val="24"/>
        </w:rPr>
        <w:t>2013</w:t>
      </w:r>
      <w:r>
        <w:rPr>
          <w:bCs/>
          <w:color w:val="000000"/>
          <w:sz w:val="24"/>
          <w:szCs w:val="24"/>
        </w:rPr>
        <w:t>】</w:t>
      </w:r>
      <w:r>
        <w:rPr>
          <w:rFonts w:hint="eastAsia"/>
          <w:bCs/>
          <w:color w:val="000000"/>
          <w:sz w:val="24"/>
          <w:szCs w:val="24"/>
        </w:rPr>
        <w:t>581</w:t>
      </w:r>
      <w:r>
        <w:rPr>
          <w:rFonts w:hint="eastAsia"/>
          <w:bCs/>
          <w:color w:val="000000"/>
          <w:sz w:val="24"/>
          <w:szCs w:val="24"/>
        </w:rPr>
        <w:t>号）</w:t>
      </w:r>
      <w:r>
        <w:rPr>
          <w:bCs/>
          <w:color w:val="000000"/>
          <w:sz w:val="24"/>
          <w:szCs w:val="24"/>
        </w:rPr>
        <w:t>《</w:t>
      </w:r>
      <w:r>
        <w:rPr>
          <w:rFonts w:hint="eastAsia"/>
          <w:bCs/>
          <w:color w:val="000000"/>
          <w:sz w:val="24"/>
          <w:szCs w:val="24"/>
        </w:rPr>
        <w:t>关于</w:t>
      </w:r>
      <w:r>
        <w:rPr>
          <w:bCs/>
          <w:color w:val="000000"/>
          <w:sz w:val="24"/>
          <w:szCs w:val="24"/>
        </w:rPr>
        <w:t>上海海通证券资产管理有限公司发起设立海通半年升集合资产管理计划的备案确认函》</w:t>
      </w:r>
      <w:r>
        <w:rPr>
          <w:rFonts w:hint="eastAsia"/>
          <w:bCs/>
          <w:color w:val="000000"/>
          <w:sz w:val="24"/>
          <w:szCs w:val="24"/>
        </w:rPr>
        <w:t>。</w:t>
      </w:r>
    </w:p>
    <w:p w:rsidR="00AA3326">
      <w:pPr>
        <w:spacing w:line="360" w:lineRule="auto"/>
        <w:ind w:firstLine="480" w:firstLineChars="200"/>
        <w:rPr>
          <w:rFonts w:ascii="宋体" w:hAnsi="宋体" w:hint="eastAsia"/>
          <w:bCs/>
          <w:color w:val="000000"/>
          <w:sz w:val="24"/>
          <w:szCs w:val="24"/>
        </w:rPr>
      </w:pPr>
      <w:bookmarkStart w:id="129" w:name="_Hlk196642598"/>
      <w:r>
        <w:rPr>
          <w:rFonts w:ascii="宋体" w:hAnsi="宋体" w:hint="eastAsia"/>
          <w:bCs/>
          <w:color w:val="000000"/>
          <w:sz w:val="24"/>
          <w:szCs w:val="24"/>
        </w:rPr>
        <w:t>根据中国证监会于2018年11月</w:t>
      </w:r>
      <w:r>
        <w:rPr>
          <w:rFonts w:ascii="宋体" w:hAnsi="宋体"/>
          <w:bCs/>
          <w:color w:val="000000"/>
          <w:sz w:val="24"/>
          <w:szCs w:val="24"/>
        </w:rPr>
        <w:t>28</w:t>
      </w:r>
      <w:r>
        <w:rPr>
          <w:rFonts w:ascii="宋体" w:hAnsi="宋体" w:hint="eastAsia"/>
          <w:bCs/>
          <w:color w:val="000000"/>
          <w:sz w:val="24"/>
          <w:szCs w:val="24"/>
        </w:rPr>
        <w:t>日发布的</w:t>
      </w:r>
      <w:bookmarkStart w:id="130" w:name="OLE_LINK24"/>
      <w:bookmarkStart w:id="131" w:name="OLE_LINK23"/>
      <w:bookmarkStart w:id="132" w:name="OLE_LINK22"/>
      <w:r>
        <w:rPr>
          <w:rFonts w:ascii="宋体" w:hAnsi="宋体" w:hint="eastAsia"/>
          <w:bCs/>
          <w:color w:val="000000"/>
          <w:sz w:val="24"/>
          <w:szCs w:val="24"/>
        </w:rPr>
        <w:t>《证券公司大集合资产管理业务适用&lt;关于规范金融机构资产管理业务的指导意见&gt;操作指引》</w:t>
      </w:r>
      <w:bookmarkEnd w:id="130"/>
      <w:bookmarkEnd w:id="131"/>
      <w:bookmarkEnd w:id="132"/>
      <w:r>
        <w:rPr>
          <w:rFonts w:ascii="宋体" w:hAnsi="宋体" w:hint="eastAsia"/>
          <w:bCs/>
          <w:color w:val="000000"/>
          <w:sz w:val="24"/>
          <w:szCs w:val="24"/>
        </w:rPr>
        <w:t>的要求，经中国证监会批准，</w:t>
      </w:r>
      <w:r>
        <w:rPr>
          <w:rFonts w:ascii="宋体" w:hAnsi="宋体"/>
          <w:bCs/>
          <w:color w:val="000000"/>
          <w:sz w:val="24"/>
          <w:szCs w:val="24"/>
        </w:rPr>
        <w:t>海通</w:t>
      </w:r>
      <w:r>
        <w:rPr>
          <w:rFonts w:ascii="宋体" w:hAnsi="宋体"/>
          <w:bCs/>
          <w:color w:val="000000"/>
          <w:sz w:val="24"/>
          <w:szCs w:val="24"/>
        </w:rPr>
        <w:t>半年升集合</w:t>
      </w:r>
      <w:r>
        <w:rPr>
          <w:rFonts w:ascii="宋体" w:hAnsi="宋体"/>
          <w:bCs/>
          <w:color w:val="000000"/>
          <w:sz w:val="24"/>
          <w:szCs w:val="24"/>
        </w:rPr>
        <w:t>资产管理计划</w:t>
      </w:r>
      <w:r>
        <w:rPr>
          <w:rFonts w:ascii="宋体" w:hAnsi="宋体" w:hint="eastAsia"/>
          <w:bCs/>
          <w:color w:val="000000"/>
          <w:sz w:val="24"/>
          <w:szCs w:val="24"/>
        </w:rPr>
        <w:t>变更为</w:t>
      </w:r>
      <w:r>
        <w:rPr>
          <w:rFonts w:ascii="宋体" w:hAnsi="宋体"/>
          <w:bCs/>
          <w:color w:val="000000"/>
          <w:sz w:val="24"/>
          <w:szCs w:val="24"/>
        </w:rPr>
        <w:t>海通策略优选混合型集合资产管理计划</w:t>
      </w:r>
      <w:r>
        <w:rPr>
          <w:rFonts w:ascii="宋体" w:hAnsi="宋体" w:hint="eastAsia"/>
          <w:bCs/>
          <w:color w:val="000000"/>
          <w:sz w:val="24"/>
          <w:szCs w:val="24"/>
        </w:rPr>
        <w:t>，</w:t>
      </w:r>
      <w:bookmarkStart w:id="133" w:name="OLE_LINK69"/>
      <w:bookmarkStart w:id="134" w:name="OLE_LINK70"/>
      <w:bookmarkStart w:id="135" w:name="OLE_LINK21"/>
      <w:bookmarkStart w:id="136" w:name="OLE_LINK68"/>
      <w:r>
        <w:rPr>
          <w:rFonts w:ascii="宋体" w:hAnsi="宋体" w:hint="eastAsia"/>
          <w:bCs/>
          <w:color w:val="000000"/>
          <w:sz w:val="24"/>
          <w:szCs w:val="24"/>
        </w:rPr>
        <w:t>《</w:t>
      </w:r>
      <w:r>
        <w:rPr>
          <w:rFonts w:ascii="宋体" w:hAnsi="宋体"/>
          <w:bCs/>
          <w:color w:val="000000"/>
          <w:sz w:val="24"/>
          <w:szCs w:val="24"/>
        </w:rPr>
        <w:t>海通策略优选混合型集合资产管理计划</w:t>
      </w:r>
      <w:r>
        <w:rPr>
          <w:rFonts w:ascii="宋体" w:hAnsi="宋体" w:hint="eastAsia"/>
          <w:bCs/>
          <w:color w:val="000000"/>
          <w:sz w:val="24"/>
          <w:szCs w:val="24"/>
        </w:rPr>
        <w:t>资产管理合同》</w:t>
      </w:r>
      <w:bookmarkEnd w:id="133"/>
      <w:bookmarkEnd w:id="134"/>
      <w:bookmarkEnd w:id="135"/>
      <w:bookmarkEnd w:id="136"/>
      <w:r>
        <w:rPr>
          <w:rFonts w:ascii="宋体" w:hAnsi="宋体" w:hint="eastAsia"/>
          <w:bCs/>
          <w:color w:val="000000"/>
          <w:sz w:val="24"/>
          <w:szCs w:val="24"/>
        </w:rPr>
        <w:t>自2022年1</w:t>
      </w:r>
      <w:r>
        <w:rPr>
          <w:rFonts w:ascii="宋体" w:hAnsi="宋体"/>
          <w:bCs/>
          <w:color w:val="000000"/>
          <w:sz w:val="24"/>
          <w:szCs w:val="24"/>
        </w:rPr>
        <w:t>0</w:t>
      </w:r>
      <w:r>
        <w:rPr>
          <w:rFonts w:ascii="宋体" w:hAnsi="宋体" w:hint="eastAsia"/>
          <w:bCs/>
          <w:color w:val="000000"/>
          <w:sz w:val="24"/>
          <w:szCs w:val="24"/>
        </w:rPr>
        <w:t>月3</w:t>
      </w:r>
      <w:r>
        <w:rPr>
          <w:rFonts w:ascii="宋体" w:hAnsi="宋体"/>
          <w:bCs/>
          <w:color w:val="000000"/>
          <w:sz w:val="24"/>
          <w:szCs w:val="24"/>
        </w:rPr>
        <w:t>1</w:t>
      </w:r>
      <w:r>
        <w:rPr>
          <w:rFonts w:ascii="宋体" w:hAnsi="宋体" w:hint="eastAsia"/>
          <w:bCs/>
          <w:color w:val="000000"/>
          <w:sz w:val="24"/>
          <w:szCs w:val="24"/>
        </w:rPr>
        <w:t>日</w:t>
      </w:r>
      <w:r>
        <w:rPr>
          <w:rFonts w:ascii="宋体" w:hAnsi="宋体"/>
          <w:bCs/>
          <w:color w:val="000000"/>
          <w:sz w:val="24"/>
          <w:szCs w:val="24"/>
        </w:rPr>
        <w:t>起</w:t>
      </w:r>
      <w:r>
        <w:rPr>
          <w:rFonts w:ascii="宋体" w:hAnsi="宋体" w:hint="eastAsia"/>
          <w:bCs/>
          <w:color w:val="000000"/>
          <w:sz w:val="24"/>
          <w:szCs w:val="24"/>
        </w:rPr>
        <w:t>生效，《海通半年升集合资产管理计划资产管理合同》同日起失效。</w:t>
      </w:r>
    </w:p>
    <w:p w:rsidR="00AA3326">
      <w:pPr>
        <w:spacing w:line="360" w:lineRule="auto"/>
        <w:ind w:firstLine="480" w:firstLineChars="200"/>
        <w:rPr>
          <w:rFonts w:ascii="宋体" w:hAnsi="宋体" w:hint="eastAsia"/>
          <w:bCs/>
          <w:color w:val="000000"/>
          <w:sz w:val="24"/>
          <w:szCs w:val="24"/>
        </w:rPr>
      </w:pPr>
      <w:bookmarkEnd w:id="129"/>
      <w:r>
        <w:rPr>
          <w:rFonts w:ascii="宋体" w:hAnsi="宋体" w:hint="eastAsia"/>
          <w:bCs/>
          <w:color w:val="000000"/>
          <w:sz w:val="24"/>
          <w:szCs w:val="24"/>
        </w:rPr>
        <w:t>根据《基金法》、《运作办法》、《证券公司大集合资产管理业务适用&lt;关于规范金融机构资产管理业务的指导意见&gt;操作指引》等相关法律、行政法规及中国证监会的规定，</w:t>
      </w:r>
      <w:r>
        <w:rPr>
          <w:rFonts w:ascii="宋体" w:hAnsi="宋体"/>
          <w:bCs/>
          <w:color w:val="000000"/>
          <w:sz w:val="24"/>
          <w:szCs w:val="24"/>
        </w:rPr>
        <w:t>海通策略优选混合型集合资产管理计划</w:t>
      </w:r>
      <w:r>
        <w:rPr>
          <w:rFonts w:ascii="宋体" w:hAnsi="宋体" w:hint="eastAsia"/>
          <w:bCs/>
          <w:color w:val="000000"/>
          <w:sz w:val="24"/>
          <w:szCs w:val="24"/>
        </w:rPr>
        <w:t>经中国证监会2025年08月29日证监许可[2025]1892号文准予变更注册。</w:t>
      </w:r>
    </w:p>
    <w:p w:rsidR="00AA3326">
      <w:pPr>
        <w:spacing w:line="360" w:lineRule="auto"/>
        <w:ind w:firstLine="480" w:firstLineChars="200"/>
        <w:rPr>
          <w:rFonts w:ascii="宋体" w:hAnsi="宋体" w:hint="eastAsia"/>
          <w:bCs/>
          <w:color w:val="000000"/>
          <w:sz w:val="24"/>
          <w:szCs w:val="24"/>
        </w:rPr>
      </w:pPr>
      <w:r>
        <w:rPr>
          <w:rFonts w:ascii="宋体" w:hAnsi="宋体"/>
          <w:bCs/>
          <w:color w:val="000000"/>
          <w:sz w:val="24"/>
          <w:szCs w:val="24"/>
        </w:rPr>
        <w:t>海通策略优选混合型集合资产管理计划</w:t>
      </w:r>
      <w:r>
        <w:rPr>
          <w:rFonts w:ascii="宋体" w:hAnsi="宋体" w:hint="eastAsia"/>
          <w:bCs/>
          <w:color w:val="000000"/>
          <w:sz w:val="24"/>
          <w:szCs w:val="24"/>
        </w:rPr>
        <w:t>以通讯方式召开集合计划份额持有人大会，并于2025年10月16日表决通过了《关于</w:t>
      </w:r>
      <w:r>
        <w:rPr>
          <w:rFonts w:ascii="宋体" w:hAnsi="宋体"/>
          <w:bCs/>
          <w:color w:val="000000"/>
          <w:sz w:val="24"/>
          <w:szCs w:val="24"/>
        </w:rPr>
        <w:t>海通策略优选混合型集合资产管理计划</w:t>
      </w:r>
      <w:r>
        <w:rPr>
          <w:rFonts w:ascii="宋体" w:hAnsi="宋体" w:hint="eastAsia"/>
          <w:bCs/>
          <w:color w:val="000000"/>
          <w:sz w:val="24"/>
          <w:szCs w:val="24"/>
        </w:rPr>
        <w:t>更换管理人并变更为</w:t>
      </w:r>
      <w:r>
        <w:rPr>
          <w:rFonts w:ascii="宋体" w:hAnsi="宋体"/>
          <w:bCs/>
          <w:color w:val="000000"/>
          <w:sz w:val="24"/>
          <w:szCs w:val="24"/>
        </w:rPr>
        <w:t>国泰海通新锐量化选股混合型证券投资基金</w:t>
      </w:r>
      <w:r>
        <w:rPr>
          <w:rFonts w:ascii="宋体" w:hAnsi="宋体" w:hint="eastAsia"/>
          <w:bCs/>
          <w:color w:val="000000"/>
          <w:sz w:val="24"/>
          <w:szCs w:val="24"/>
        </w:rPr>
        <w:t>有关事项的议案》，同意“</w:t>
      </w:r>
      <w:r>
        <w:rPr>
          <w:rFonts w:ascii="宋体" w:hAnsi="宋体"/>
          <w:bCs/>
          <w:color w:val="000000"/>
          <w:sz w:val="24"/>
          <w:szCs w:val="24"/>
        </w:rPr>
        <w:t>海通策略优选混合型集合资产管理计划</w:t>
      </w:r>
      <w:r>
        <w:rPr>
          <w:rFonts w:ascii="宋体" w:hAnsi="宋体" w:hint="eastAsia"/>
          <w:bCs/>
          <w:color w:val="000000"/>
          <w:sz w:val="24"/>
          <w:szCs w:val="24"/>
        </w:rPr>
        <w:t>”变更为“</w:t>
      </w:r>
      <w:r>
        <w:rPr>
          <w:rFonts w:ascii="宋体" w:hAnsi="宋体"/>
          <w:bCs/>
          <w:color w:val="000000"/>
          <w:sz w:val="24"/>
          <w:szCs w:val="24"/>
        </w:rPr>
        <w:t>国泰海通新锐量化选股混合型证券投资基金</w:t>
      </w:r>
      <w:r>
        <w:rPr>
          <w:rFonts w:ascii="宋体" w:hAnsi="宋体" w:hint="eastAsia"/>
          <w:bCs/>
          <w:color w:val="000000"/>
          <w:sz w:val="24"/>
          <w:szCs w:val="24"/>
        </w:rPr>
        <w:t>”，并变更管理人、调整产品名称、存续期限、</w:t>
      </w:r>
      <w:bookmarkStart w:id="137" w:name="_Hlk197965890"/>
      <w:r>
        <w:rPr>
          <w:rFonts w:ascii="宋体" w:hAnsi="宋体" w:hint="eastAsia"/>
          <w:bCs/>
          <w:color w:val="000000"/>
          <w:sz w:val="24"/>
          <w:szCs w:val="24"/>
        </w:rPr>
        <w:t>基金的存续、投资范围、投资策略、投资限制、业绩比较基准、估值</w:t>
      </w:r>
      <w:bookmarkEnd w:id="137"/>
      <w:r>
        <w:rPr>
          <w:rFonts w:ascii="宋体" w:hAnsi="宋体" w:hint="eastAsia"/>
          <w:bCs/>
          <w:color w:val="000000"/>
          <w:sz w:val="24"/>
          <w:szCs w:val="24"/>
        </w:rPr>
        <w:t>方法、调低申购费率等并修订合同等法律文件。集合计划份额持有人大会决议自表决通过之日起生效。</w:t>
      </w:r>
    </w:p>
    <w:p w:rsidR="00AA3326">
      <w:pPr>
        <w:spacing w:line="360" w:lineRule="auto"/>
        <w:ind w:firstLine="480" w:firstLineChars="200"/>
        <w:rPr>
          <w:rFonts w:ascii="宋体" w:hAnsi="宋体" w:hint="eastAsia"/>
          <w:bCs/>
          <w:color w:val="000000"/>
          <w:sz w:val="24"/>
          <w:szCs w:val="24"/>
        </w:rPr>
      </w:pPr>
      <w:r>
        <w:rPr>
          <w:rFonts w:ascii="宋体" w:hAnsi="宋体" w:hint="eastAsia"/>
          <w:bCs/>
          <w:color w:val="000000"/>
          <w:sz w:val="24"/>
          <w:szCs w:val="24"/>
        </w:rPr>
        <w:t>自2025年10月29日起，《</w:t>
      </w:r>
      <w:r>
        <w:rPr>
          <w:rFonts w:ascii="宋体" w:hAnsi="宋体"/>
          <w:bCs/>
          <w:color w:val="000000"/>
          <w:sz w:val="24"/>
          <w:szCs w:val="24"/>
        </w:rPr>
        <w:t>国泰海通新锐量化选股混合型证券投资基金</w:t>
      </w:r>
      <w:r>
        <w:rPr>
          <w:rFonts w:ascii="宋体" w:hAnsi="宋体" w:hint="eastAsia"/>
          <w:bCs/>
          <w:color w:val="000000"/>
          <w:sz w:val="24"/>
          <w:szCs w:val="24"/>
        </w:rPr>
        <w:t>基金合同》生效，《</w:t>
      </w:r>
      <w:r>
        <w:rPr>
          <w:rFonts w:ascii="宋体" w:hAnsi="宋体"/>
          <w:bCs/>
          <w:color w:val="000000"/>
          <w:sz w:val="24"/>
          <w:szCs w:val="24"/>
        </w:rPr>
        <w:t>海通策略优选混合型集合资产管理计划</w:t>
      </w:r>
      <w:r>
        <w:rPr>
          <w:rFonts w:ascii="宋体" w:hAnsi="宋体" w:hint="eastAsia"/>
          <w:bCs/>
          <w:color w:val="000000"/>
          <w:sz w:val="24"/>
          <w:szCs w:val="24"/>
        </w:rPr>
        <w:t>资产管理合同》同日起失效。</w:t>
      </w:r>
      <w:r>
        <w:rPr>
          <w:rFonts w:ascii="宋体" w:hAnsi="宋体"/>
          <w:bCs/>
          <w:color w:val="000000"/>
          <w:sz w:val="24"/>
          <w:szCs w:val="24"/>
        </w:rPr>
        <w:t>海通策略优选混合型集合资产管理计划</w:t>
      </w:r>
      <w:r>
        <w:rPr>
          <w:rFonts w:ascii="宋体" w:hAnsi="宋体" w:hint="eastAsia"/>
          <w:bCs/>
          <w:color w:val="000000"/>
          <w:sz w:val="24"/>
          <w:szCs w:val="24"/>
        </w:rPr>
        <w:t>变更为</w:t>
      </w:r>
      <w:r>
        <w:rPr>
          <w:rFonts w:ascii="宋体" w:hAnsi="宋体"/>
          <w:bCs/>
          <w:color w:val="000000"/>
          <w:sz w:val="24"/>
          <w:szCs w:val="24"/>
        </w:rPr>
        <w:t>国泰海通新锐量化选股混合</w:t>
      </w:r>
      <w:r>
        <w:rPr>
          <w:rFonts w:ascii="宋体" w:hAnsi="宋体"/>
          <w:bCs/>
          <w:color w:val="000000"/>
          <w:sz w:val="24"/>
          <w:szCs w:val="24"/>
        </w:rPr>
        <w:t>型证券投资基金</w:t>
      </w:r>
      <w:r>
        <w:rPr>
          <w:rFonts w:ascii="宋体" w:hAnsi="宋体" w:hint="eastAsia"/>
          <w:bCs/>
          <w:color w:val="000000"/>
          <w:sz w:val="24"/>
          <w:szCs w:val="24"/>
        </w:rPr>
        <w:t>，即本基金。</w:t>
      </w:r>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kern w:val="44"/>
          <w:sz w:val="21"/>
        </w:rPr>
        <w:br w:type="page"/>
      </w:r>
      <w:bookmarkStart w:id="138" w:name="_Toc532487730"/>
      <w:bookmarkStart w:id="139" w:name="_Toc1823"/>
      <w:bookmarkStart w:id="140" w:name="_Toc534140368"/>
      <w:bookmarkStart w:id="141" w:name="_Toc4741"/>
      <w:bookmarkStart w:id="142" w:name="_Toc17912"/>
      <w:bookmarkStart w:id="143" w:name="_Toc18526"/>
      <w:bookmarkStart w:id="144" w:name="_Toc139991735"/>
      <w:bookmarkStart w:id="145" w:name="_Toc14893"/>
      <w:bookmarkStart w:id="146" w:name="_Toc26986"/>
      <w:bookmarkStart w:id="147" w:name="_Toc141703885"/>
      <w:bookmarkStart w:id="148" w:name="_Toc6559"/>
      <w:bookmarkStart w:id="149" w:name="_Toc7848"/>
      <w:bookmarkStart w:id="150" w:name="_Toc21988"/>
      <w:bookmarkStart w:id="151" w:name="_Toc18329"/>
      <w:bookmarkStart w:id="152" w:name="_Toc207633403"/>
      <w:bookmarkStart w:id="153" w:name="_Toc18797"/>
      <w:r>
        <w:rPr>
          <w:rFonts w:asciiTheme="minorEastAsia" w:eastAsiaTheme="minorEastAsia" w:hAnsiTheme="minorEastAsia"/>
          <w:sz w:val="30"/>
        </w:rPr>
        <w:t xml:space="preserve">第五部分  </w:t>
      </w:r>
      <w:r>
        <w:rPr>
          <w:rFonts w:asciiTheme="minorEastAsia" w:eastAsiaTheme="minorEastAsia" w:hAnsiTheme="minorEastAsia" w:hint="eastAsia"/>
          <w:sz w:val="30"/>
        </w:rPr>
        <w:t>基金</w:t>
      </w:r>
      <w:bookmarkEnd w:id="138"/>
      <w:r>
        <w:rPr>
          <w:rFonts w:asciiTheme="minorEastAsia" w:eastAsiaTheme="minorEastAsia" w:hAnsiTheme="minorEastAsia" w:hint="eastAsia"/>
          <w:sz w:val="30"/>
        </w:rPr>
        <w:t>的存续</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AA3326">
      <w:pPr>
        <w:spacing w:line="360" w:lineRule="auto"/>
        <w:ind w:firstLine="54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w:t>
      </w:r>
      <w:r>
        <w:rPr>
          <w:rFonts w:asciiTheme="minorEastAsia" w:eastAsiaTheme="minorEastAsia" w:hAnsiTheme="minorEastAsia" w:hint="eastAsia"/>
          <w:bCs/>
          <w:color w:val="000000"/>
          <w:sz w:val="24"/>
        </w:rPr>
        <w:t>基金合同</w:t>
      </w:r>
      <w:r>
        <w:rPr>
          <w:rFonts w:asciiTheme="minorEastAsia" w:eastAsiaTheme="minorEastAsia" w:hAnsiTheme="minorEastAsia"/>
          <w:bCs/>
          <w:color w:val="000000"/>
          <w:sz w:val="24"/>
        </w:rPr>
        <w:t>》生效后，</w:t>
      </w:r>
      <w:r>
        <w:rPr>
          <w:rFonts w:asciiTheme="minorEastAsia" w:eastAsiaTheme="minorEastAsia" w:hAnsiTheme="minorEastAsia" w:hint="eastAsia"/>
          <w:bCs/>
          <w:color w:val="000000"/>
          <w:sz w:val="24"/>
        </w:rPr>
        <w:t>连续20个工作日出现基金份额持有人数量不满200人或者基金资产净值低于5000万元情形的，基金管理人应当在定期报告中予以披露；连续30个工作日、连续40个工作日及连续45个工作日出现基金份额持有人数量不满200人或者基金资产净值低于5000万元情形的，基金管理人将对可能触发基金合同终止情形的情况发布提示性公告；连续50个工作日出现前述情形之一的，本基金将依据《基金合同》的约定进入基金财产清算程序并终止，不需召开基金份额持有人大会。</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法律法规或中国证监会另有规定时，从其规定</w:t>
      </w:r>
      <w:r>
        <w:rPr>
          <w:rFonts w:asciiTheme="minorEastAsia" w:eastAsiaTheme="minorEastAsia" w:hAnsiTheme="minorEastAsia"/>
          <w:bCs/>
          <w:color w:val="000000"/>
          <w:sz w:val="24"/>
        </w:rPr>
        <w:t>。</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kern w:val="44"/>
          <w:sz w:val="21"/>
        </w:rPr>
        <w:br w:type="page"/>
      </w:r>
      <w:bookmarkStart w:id="154" w:name="_Toc534140369"/>
      <w:bookmarkStart w:id="155" w:name="_Toc11081"/>
      <w:bookmarkStart w:id="156" w:name="_Toc1427"/>
      <w:bookmarkStart w:id="157" w:name="_Toc123051452"/>
      <w:bookmarkStart w:id="158" w:name="_Toc139991736"/>
      <w:bookmarkStart w:id="159" w:name="_Toc17244"/>
      <w:bookmarkStart w:id="160" w:name="_Toc1270"/>
      <w:bookmarkStart w:id="161" w:name="_Toc610"/>
      <w:bookmarkStart w:id="162" w:name="_Toc7920"/>
      <w:bookmarkStart w:id="163" w:name="_Toc48649707"/>
      <w:bookmarkStart w:id="164" w:name="_Toc532487731"/>
      <w:bookmarkStart w:id="165" w:name="_Toc141703886"/>
      <w:bookmarkStart w:id="166" w:name="_Toc123102453"/>
      <w:bookmarkStart w:id="167" w:name="_Toc23261"/>
      <w:bookmarkStart w:id="168" w:name="_Toc4003"/>
      <w:bookmarkStart w:id="169" w:name="_Toc23822"/>
      <w:bookmarkStart w:id="170" w:name="_Toc10463"/>
      <w:bookmarkStart w:id="171" w:name="_Toc98560352"/>
      <w:bookmarkStart w:id="172" w:name="_Toc123112234"/>
      <w:bookmarkStart w:id="173" w:name="_Toc79392606"/>
      <w:bookmarkStart w:id="174" w:name="_Toc20733"/>
      <w:bookmarkStart w:id="175" w:name="_Toc207633404"/>
      <w:r>
        <w:rPr>
          <w:rFonts w:asciiTheme="minorEastAsia" w:eastAsiaTheme="minorEastAsia" w:hAnsiTheme="minorEastAsia"/>
          <w:sz w:val="30"/>
        </w:rPr>
        <w:t>第六部分  基金份额的申购与赎回</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AA3326">
      <w:pPr>
        <w:spacing w:line="360" w:lineRule="auto"/>
        <w:ind w:firstLine="54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一、申购和赎回场所</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本基金的申购与赎回将通过销售机构进行。具体的销售机构将由基金管理人在招募说明书或其</w:t>
      </w:r>
      <w:r>
        <w:rPr>
          <w:rFonts w:asciiTheme="minorEastAsia" w:eastAsiaTheme="minorEastAsia" w:hAnsiTheme="minorEastAsia" w:hint="eastAsia"/>
          <w:bCs/>
          <w:color w:val="000000"/>
          <w:sz w:val="24"/>
          <w:szCs w:val="24"/>
        </w:rPr>
        <w:t>网站</w:t>
      </w:r>
      <w:r>
        <w:rPr>
          <w:rFonts w:asciiTheme="minorEastAsia" w:eastAsiaTheme="minorEastAsia" w:hAnsiTheme="minorEastAsia"/>
          <w:bCs/>
          <w:color w:val="000000"/>
          <w:sz w:val="24"/>
          <w:szCs w:val="24"/>
        </w:rPr>
        <w:t>中列明。基金管理人可根据情况变更或增减销售机构，并</w:t>
      </w:r>
      <w:r>
        <w:rPr>
          <w:rFonts w:asciiTheme="minorEastAsia" w:eastAsiaTheme="minorEastAsia" w:hAnsiTheme="minorEastAsia" w:hint="eastAsia"/>
          <w:bCs/>
          <w:color w:val="000000"/>
          <w:sz w:val="24"/>
          <w:szCs w:val="24"/>
        </w:rPr>
        <w:t>在基金管理人网站公示</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基金投资者</w:t>
      </w:r>
      <w:r>
        <w:rPr>
          <w:rFonts w:asciiTheme="minorEastAsia" w:eastAsiaTheme="minorEastAsia" w:hAnsiTheme="minorEastAsia"/>
          <w:bCs/>
          <w:color w:val="000000"/>
          <w:sz w:val="24"/>
          <w:szCs w:val="24"/>
        </w:rPr>
        <w:t>应当</w:t>
      </w:r>
      <w:r>
        <w:rPr>
          <w:rFonts w:asciiTheme="minorEastAsia" w:eastAsiaTheme="minorEastAsia" w:hAnsiTheme="minorEastAsia" w:hint="eastAsia"/>
          <w:bCs/>
          <w:color w:val="000000"/>
          <w:sz w:val="24"/>
          <w:szCs w:val="24"/>
        </w:rPr>
        <w:t>在</w:t>
      </w:r>
      <w:r>
        <w:rPr>
          <w:rFonts w:asciiTheme="minorEastAsia" w:eastAsiaTheme="minorEastAsia" w:hAnsiTheme="minorEastAsia"/>
          <w:bCs/>
          <w:color w:val="000000"/>
          <w:sz w:val="24"/>
          <w:szCs w:val="24"/>
        </w:rPr>
        <w:t>销售机构办理</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销售业务的营业场所或按销售机构提供的其他方式办理基金份额的申购与赎回。</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若基金</w:t>
      </w:r>
      <w:r>
        <w:rPr>
          <w:rFonts w:asciiTheme="minorEastAsia" w:eastAsiaTheme="minorEastAsia" w:hAnsiTheme="minorEastAsia"/>
          <w:bCs/>
          <w:color w:val="000000"/>
          <w:sz w:val="24"/>
          <w:szCs w:val="24"/>
        </w:rPr>
        <w:t>管理人或其指定的销售机构开通电话、传真或网上等交易方式，投资人可以通过上述方式进行</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的申购与赎回。具体办法由基金管理人或指定的销售机构另行公告。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二、申购和赎回的开放日及时间</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开放日及开放时间</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投资人在开放日办理基金份额的申购和赎回，具体办理时间为上海证券交易所、深圳证券交易所的正常交易日的交易时间，但基金管理人根据法律法规、中国证监会的要求或本基金合同的</w:t>
      </w:r>
      <w:r>
        <w:rPr>
          <w:rFonts w:asciiTheme="minorEastAsia" w:eastAsiaTheme="minorEastAsia" w:hAnsiTheme="minorEastAsia" w:hint="eastAsia"/>
          <w:bCs/>
          <w:color w:val="000000"/>
          <w:sz w:val="24"/>
          <w:szCs w:val="24"/>
        </w:rPr>
        <w:t>约</w:t>
      </w:r>
      <w:r>
        <w:rPr>
          <w:rFonts w:asciiTheme="minorEastAsia" w:eastAsiaTheme="minorEastAsia" w:hAnsiTheme="minorEastAsia"/>
          <w:bCs/>
          <w:color w:val="000000"/>
          <w:sz w:val="24"/>
          <w:szCs w:val="24"/>
        </w:rPr>
        <w:t>定公告暂停申购、赎回时除外。开放日的具体业务办理时间在届时相关公告中载明。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基金合同生效后，若出现新的证券</w:t>
      </w:r>
      <w:r>
        <w:rPr>
          <w:rFonts w:asciiTheme="minorEastAsia" w:eastAsiaTheme="minorEastAsia" w:hAnsiTheme="minorEastAsia" w:hint="eastAsia"/>
          <w:bCs/>
          <w:color w:val="000000"/>
          <w:sz w:val="24"/>
          <w:szCs w:val="24"/>
        </w:rPr>
        <w:t>/期货</w:t>
      </w:r>
      <w:r>
        <w:rPr>
          <w:rFonts w:asciiTheme="minorEastAsia" w:eastAsiaTheme="minorEastAsia" w:hAnsiTheme="minorEastAsia"/>
          <w:bCs/>
          <w:color w:val="000000"/>
          <w:sz w:val="24"/>
          <w:szCs w:val="24"/>
        </w:rPr>
        <w:t>交易市场、证券</w:t>
      </w:r>
      <w:r>
        <w:rPr>
          <w:rFonts w:asciiTheme="minorEastAsia" w:eastAsiaTheme="minorEastAsia" w:hAnsiTheme="minorEastAsia" w:hint="eastAsia"/>
          <w:bCs/>
          <w:color w:val="000000"/>
          <w:sz w:val="24"/>
          <w:szCs w:val="24"/>
        </w:rPr>
        <w:t>/期货</w:t>
      </w:r>
      <w:r>
        <w:rPr>
          <w:rFonts w:asciiTheme="minorEastAsia" w:eastAsiaTheme="minorEastAsia" w:hAnsiTheme="minorEastAsia"/>
          <w:bCs/>
          <w:color w:val="000000"/>
          <w:sz w:val="24"/>
          <w:szCs w:val="24"/>
        </w:rPr>
        <w:t>交易所交易时间变更或其他特殊情况，基金管理人将视情况对前述开放日及开放时间进行相应的调整，但应在实施日前依照《信息披露办法》的有关规定在规定媒介上公告。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申购、赎回开始日及业务办理时间</w:t>
      </w:r>
    </w:p>
    <w:p w:rsidR="00AA3326">
      <w:pPr>
        <w:spacing w:line="360" w:lineRule="auto"/>
        <w:ind w:firstLine="480" w:firstLineChars="200"/>
        <w:rPr>
          <w:bCs/>
          <w:color w:val="000000"/>
          <w:sz w:val="24"/>
        </w:rPr>
      </w:pPr>
      <w:r>
        <w:rPr>
          <w:rFonts w:hint="eastAsia"/>
          <w:bCs/>
          <w:color w:val="000000"/>
          <w:sz w:val="24"/>
        </w:rPr>
        <w:t>基金合同生效后，基金管理人可根据实际情况依法决定本基金开始办理申购、赎回的具体日期，具体业务办理时间在相关公告中规定。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在确定申购开始与赎回开始时间后，基金管理人应在申购、赎回开放日前依照《信息披露办法》的有关规定在规定媒介上公告申购与赎回的开始时间。</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基金管理人不得在基金合同约定之外的日期或者时间办理基金份额的申购</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赎回或者转换。投资人在基金合同约定之外的日期和时间提出申购、赎回或转换申请</w:t>
      </w:r>
      <w:r>
        <w:rPr>
          <w:rFonts w:asciiTheme="minorEastAsia" w:eastAsiaTheme="minorEastAsia" w:hAnsiTheme="minorEastAsia" w:hint="eastAsia"/>
          <w:bCs/>
          <w:color w:val="000000"/>
          <w:sz w:val="24"/>
          <w:szCs w:val="24"/>
        </w:rPr>
        <w:t>且登记</w:t>
      </w:r>
      <w:r>
        <w:rPr>
          <w:rFonts w:asciiTheme="minorEastAsia" w:eastAsiaTheme="minorEastAsia" w:hAnsiTheme="minorEastAsia" w:hint="eastAsia"/>
          <w:bCs/>
          <w:color w:val="000000"/>
          <w:sz w:val="24"/>
          <w:szCs w:val="24"/>
        </w:rPr>
        <w:t>机构确认接受</w:t>
      </w:r>
      <w:r>
        <w:rPr>
          <w:rFonts w:asciiTheme="minorEastAsia" w:eastAsiaTheme="minorEastAsia" w:hAnsiTheme="minorEastAsia"/>
          <w:bCs/>
          <w:color w:val="000000"/>
          <w:sz w:val="24"/>
          <w:szCs w:val="24"/>
        </w:rPr>
        <w:t>的，其基金份额申购、赎回价格为下一开放日</w:t>
      </w:r>
      <w:r>
        <w:rPr>
          <w:rFonts w:asciiTheme="minorEastAsia" w:eastAsiaTheme="minorEastAsia" w:hAnsiTheme="minorEastAsia" w:hint="eastAsia"/>
          <w:bCs/>
          <w:color w:val="000000"/>
          <w:sz w:val="24"/>
          <w:szCs w:val="24"/>
        </w:rPr>
        <w:t>该类</w:t>
      </w:r>
      <w:r>
        <w:rPr>
          <w:rFonts w:asciiTheme="minorEastAsia" w:eastAsiaTheme="minorEastAsia" w:hAnsiTheme="minorEastAsia"/>
          <w:bCs/>
          <w:color w:val="000000"/>
          <w:sz w:val="24"/>
          <w:szCs w:val="24"/>
        </w:rPr>
        <w:t>基金份额申购、赎回的价格。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三、申购与赎回的原则</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“未知价”原则，即申购、赎回价格以申请当日收市后计算的</w:t>
      </w:r>
      <w:r>
        <w:rPr>
          <w:rFonts w:asciiTheme="minorEastAsia" w:eastAsiaTheme="minorEastAsia" w:hAnsiTheme="minorEastAsia" w:hint="eastAsia"/>
          <w:bCs/>
          <w:color w:val="000000"/>
          <w:sz w:val="24"/>
          <w:szCs w:val="24"/>
        </w:rPr>
        <w:t>该类</w:t>
      </w:r>
      <w:r>
        <w:rPr>
          <w:rFonts w:asciiTheme="minorEastAsia" w:eastAsiaTheme="minorEastAsia" w:hAnsiTheme="minorEastAsia"/>
          <w:bCs/>
          <w:color w:val="000000"/>
          <w:sz w:val="24"/>
          <w:szCs w:val="24"/>
        </w:rPr>
        <w:t>基金份额净值为基准进行计算；</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“金额申购、份额赎回”原则，即申购以金额申请，赎回以份额申请；</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当日的申购与赎回申请可以在基金管理人规定的时间以内撤销；</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赎回遵循“先进先出”原则，即按照基金份额持有人</w:t>
      </w:r>
      <w:r>
        <w:rPr>
          <w:rFonts w:asciiTheme="minorEastAsia" w:eastAsiaTheme="minorEastAsia" w:hAnsiTheme="minorEastAsia" w:hint="eastAsia"/>
          <w:bCs/>
          <w:color w:val="000000"/>
          <w:sz w:val="24"/>
          <w:szCs w:val="24"/>
        </w:rPr>
        <w:t>持有基金份额登记日期</w:t>
      </w:r>
      <w:r>
        <w:rPr>
          <w:rFonts w:asciiTheme="minorEastAsia" w:eastAsiaTheme="minorEastAsia" w:hAnsiTheme="minorEastAsia"/>
          <w:bCs/>
          <w:color w:val="000000"/>
          <w:sz w:val="24"/>
          <w:szCs w:val="24"/>
        </w:rPr>
        <w:t>的先后次序进行顺序赎回</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基金份额持有人</w:t>
      </w:r>
      <w:r>
        <w:rPr>
          <w:rFonts w:hint="eastAsia"/>
          <w:bCs/>
          <w:color w:val="000000"/>
          <w:sz w:val="24"/>
        </w:rPr>
        <w:t>持有原</w:t>
      </w:r>
      <w:r>
        <w:rPr>
          <w:rFonts w:ascii="宋体" w:hAnsi="宋体"/>
          <w:bCs/>
          <w:color w:val="000000"/>
          <w:sz w:val="24"/>
          <w:szCs w:val="24"/>
        </w:rPr>
        <w:t>海通策略优选混合型集合资产管理计划</w:t>
      </w:r>
      <w:r>
        <w:rPr>
          <w:rFonts w:hint="eastAsia"/>
          <w:bCs/>
          <w:color w:val="000000"/>
          <w:sz w:val="24"/>
        </w:rPr>
        <w:t>的份额</w:t>
      </w:r>
      <w:r>
        <w:rPr>
          <w:rFonts w:ascii="宋体" w:hAnsi="宋体" w:hint="eastAsia"/>
          <w:bCs/>
          <w:color w:val="000000"/>
          <w:sz w:val="24"/>
        </w:rPr>
        <w:t>持有</w:t>
      </w:r>
      <w:r>
        <w:rPr>
          <w:rFonts w:hint="eastAsia"/>
          <w:bCs/>
          <w:color w:val="000000"/>
          <w:sz w:val="24"/>
        </w:rPr>
        <w:t>期限连续计算</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
          <w:color w:val="000000"/>
          <w:sz w:val="24"/>
          <w:szCs w:val="24"/>
        </w:rPr>
      </w:pPr>
      <w:r>
        <w:rPr>
          <w:rFonts w:asciiTheme="minorEastAsia" w:eastAsiaTheme="minorEastAsia" w:hAnsiTheme="minorEastAsia"/>
          <w:bCs/>
          <w:color w:val="000000"/>
          <w:sz w:val="24"/>
          <w:szCs w:val="24"/>
        </w:rPr>
        <w:t>5、办理申购、赎回业务时，应当遵循基金份额持有人利益优先原则</w:t>
      </w:r>
      <w:r>
        <w:rPr>
          <w:rFonts w:asciiTheme="minorEastAsia" w:eastAsiaTheme="minorEastAsia" w:hAnsiTheme="minorEastAsia" w:hint="eastAsia"/>
          <w:bCs/>
          <w:color w:val="000000"/>
          <w:sz w:val="24"/>
          <w:szCs w:val="24"/>
        </w:rPr>
        <w:t>，确保投资者的合法权益不受损害并得到公平对待</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基金管理人可在法律法规允许</w:t>
      </w:r>
      <w:r>
        <w:rPr>
          <w:rFonts w:ascii="宋体" w:hAnsi="宋体" w:hint="eastAsia"/>
          <w:bCs/>
          <w:color w:val="000000"/>
          <w:sz w:val="24"/>
          <w:szCs w:val="24"/>
        </w:rPr>
        <w:t>且对基金份额持有人无实质性不利影响的前提</w:t>
      </w:r>
      <w:r>
        <w:rPr>
          <w:rFonts w:asciiTheme="minorEastAsia" w:eastAsiaTheme="minorEastAsia" w:hAnsiTheme="minorEastAsia"/>
          <w:bCs/>
          <w:color w:val="000000"/>
          <w:sz w:val="24"/>
          <w:szCs w:val="24"/>
        </w:rPr>
        <w:t>下，对上述原则进行调整。基金管理人必须在新规则开始实施前依照《信息披露办法》的有关规定在规定媒介上公告。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四、申购与赎回的程序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申购和赎回的申请方式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投资人必须根据销售机构规定的程序，在开放日的具体业务办理时间内提出申购或赎回的申请。</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申购和赎回的款项支付</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lang w:val="zh-CN"/>
        </w:rPr>
        <w:t>投资人申购基金份额时，必须全额交付申购款项，投资人交付</w:t>
      </w:r>
      <w:r>
        <w:rPr>
          <w:rFonts w:asciiTheme="minorEastAsia" w:eastAsiaTheme="minorEastAsia" w:hAnsiTheme="minorEastAsia" w:hint="eastAsia"/>
          <w:bCs/>
          <w:color w:val="000000"/>
          <w:sz w:val="24"/>
          <w:szCs w:val="24"/>
          <w:lang w:val="zh-CN"/>
        </w:rPr>
        <w:t>申购</w:t>
      </w:r>
      <w:r>
        <w:rPr>
          <w:rFonts w:asciiTheme="minorEastAsia" w:eastAsiaTheme="minorEastAsia" w:hAnsiTheme="minorEastAsia"/>
          <w:bCs/>
          <w:color w:val="000000"/>
          <w:sz w:val="24"/>
          <w:szCs w:val="24"/>
          <w:lang w:val="zh-CN"/>
        </w:rPr>
        <w:t>款项，申购成立；登记机构确认基金份额时，申购生效。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基金份额持有人递交赎回申请，赎回成立；登记机构确认赎回时，赎回生效。</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赎回申请生效后</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基金管理人将在T＋</w:t>
      </w:r>
      <w:r>
        <w:rPr>
          <w:rFonts w:asciiTheme="minorEastAsia" w:eastAsiaTheme="minorEastAsia" w:hAnsiTheme="minorEastAsia" w:hint="eastAsia"/>
          <w:bCs/>
          <w:color w:val="000000"/>
          <w:sz w:val="24"/>
          <w:szCs w:val="24"/>
        </w:rPr>
        <w:t>7</w:t>
      </w:r>
      <w:r>
        <w:rPr>
          <w:rFonts w:asciiTheme="minorEastAsia" w:eastAsiaTheme="minorEastAsia" w:hAnsiTheme="minorEastAsia"/>
          <w:bCs/>
          <w:color w:val="000000"/>
          <w:sz w:val="24"/>
          <w:szCs w:val="24"/>
        </w:rPr>
        <w:t>日（包括该日）内支付赎回款项。在发生巨额赎回时</w:t>
      </w:r>
      <w:r>
        <w:rPr>
          <w:rFonts w:asciiTheme="minorEastAsia" w:eastAsiaTheme="minorEastAsia" w:hAnsiTheme="minorEastAsia" w:hint="eastAsia"/>
          <w:bCs/>
          <w:color w:val="000000"/>
          <w:sz w:val="24"/>
          <w:szCs w:val="24"/>
        </w:rPr>
        <w:t>，或基金合同载明的其他暂停赎回或延缓支付赎回款项的情形</w:t>
      </w:r>
      <w:r>
        <w:rPr>
          <w:rFonts w:asciiTheme="minorEastAsia" w:eastAsiaTheme="minorEastAsia" w:hAnsiTheme="minorEastAsia"/>
          <w:bCs/>
          <w:color w:val="000000"/>
          <w:sz w:val="24"/>
          <w:szCs w:val="24"/>
        </w:rPr>
        <w:t>时，款项的支付办法参照本基金合同有关条款处理。</w:t>
      </w:r>
      <w:r>
        <w:rPr>
          <w:rFonts w:asciiTheme="minorEastAsia" w:eastAsiaTheme="minorEastAsia" w:hAnsiTheme="minorEastAsia"/>
          <w:bCs/>
          <w:color w:val="000000"/>
          <w:sz w:val="24"/>
          <w:szCs w:val="24"/>
        </w:rPr>
        <w:t>遇证券</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期货交易所或交易市场数据传输延迟、通讯系统故障、银行数据交换系统故障或其它</w:t>
      </w:r>
      <w:r>
        <w:rPr>
          <w:rFonts w:asciiTheme="minorEastAsia" w:eastAsiaTheme="minorEastAsia" w:hAnsiTheme="minorEastAsia"/>
          <w:bCs/>
          <w:color w:val="000000"/>
          <w:sz w:val="24"/>
          <w:szCs w:val="24"/>
        </w:rPr>
        <w:t>非基金</w:t>
      </w:r>
      <w:r>
        <w:rPr>
          <w:rFonts w:asciiTheme="minorEastAsia" w:eastAsiaTheme="minorEastAsia" w:hAnsiTheme="minorEastAsia"/>
          <w:bCs/>
          <w:color w:val="000000"/>
          <w:sz w:val="24"/>
          <w:szCs w:val="24"/>
        </w:rPr>
        <w:t>管理人及基金托管人所能控制的因素影响业务处理流程时，赎回款项顺延至前述因素消失日的下一个工作日划出。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申购和赎回申请的确认</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基金管理人应以交易时间结束前受理</w:t>
      </w:r>
      <w:r>
        <w:rPr>
          <w:rFonts w:asciiTheme="minorEastAsia" w:eastAsiaTheme="minorEastAsia" w:hAnsiTheme="minorEastAsia" w:hint="eastAsia"/>
          <w:bCs/>
          <w:color w:val="000000"/>
          <w:sz w:val="24"/>
          <w:szCs w:val="24"/>
        </w:rPr>
        <w:t>有效</w:t>
      </w:r>
      <w:r>
        <w:rPr>
          <w:rFonts w:asciiTheme="minorEastAsia" w:eastAsiaTheme="minorEastAsia" w:hAnsiTheme="minorEastAsia"/>
          <w:bCs/>
          <w:color w:val="000000"/>
          <w:sz w:val="24"/>
          <w:szCs w:val="24"/>
        </w:rPr>
        <w:t>申购和赎回申请的当天作为申购或赎回申请日（T日），在正常情况下，登记机构在T+</w:t>
      </w:r>
      <w:r>
        <w:rPr>
          <w:rFonts w:asciiTheme="minorEastAsia" w:eastAsiaTheme="minorEastAsia" w:hAnsiTheme="minorEastAsia" w:hint="eastAsia"/>
          <w:bCs/>
          <w:color w:val="000000"/>
          <w:sz w:val="24"/>
          <w:szCs w:val="24"/>
        </w:rPr>
        <w:t>1</w:t>
      </w:r>
      <w:r>
        <w:rPr>
          <w:rFonts w:asciiTheme="minorEastAsia" w:eastAsiaTheme="minorEastAsia" w:hAnsiTheme="minorEastAsia"/>
          <w:bCs/>
          <w:color w:val="000000"/>
          <w:sz w:val="24"/>
          <w:szCs w:val="24"/>
        </w:rPr>
        <w:t>日内对该交易的有效性</w:t>
      </w:r>
      <w:r>
        <w:rPr>
          <w:rFonts w:asciiTheme="minorEastAsia" w:eastAsiaTheme="minorEastAsia" w:hAnsiTheme="minorEastAsia"/>
          <w:bCs/>
          <w:color w:val="000000"/>
          <w:sz w:val="24"/>
          <w:szCs w:val="24"/>
        </w:rPr>
        <w:t>进行确认。T日提交的有效申请，投资人</w:t>
      </w:r>
      <w:r>
        <w:rPr>
          <w:rFonts w:asciiTheme="minorEastAsia" w:eastAsiaTheme="minorEastAsia" w:hAnsiTheme="minorEastAsia" w:hint="eastAsia"/>
          <w:bCs/>
          <w:color w:val="000000"/>
          <w:sz w:val="24"/>
          <w:szCs w:val="24"/>
        </w:rPr>
        <w:t>可</w:t>
      </w:r>
      <w:r>
        <w:rPr>
          <w:rFonts w:asciiTheme="minorEastAsia" w:eastAsiaTheme="minorEastAsia" w:hAnsiTheme="minorEastAsia"/>
          <w:bCs/>
          <w:color w:val="000000"/>
          <w:sz w:val="24"/>
          <w:szCs w:val="24"/>
        </w:rPr>
        <w:t>在T+</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日后（包括该日）到销售机构柜台或以销售机构规定的其他方式查询申请的确认情况。若申购不成功，则申购款项退还给投资人。基金管理人可以在法律法规允许的范围内，对上述业务办理时间进行调整，并提前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销售机构对申购、赎回申请的受理并不代表该申请一定成功，而仅代表销售机构确实接收到申购、赎回申请。申购、赎回的确认以登记机构的确认结果为准。对于申购申请及申购份额的确认情况，投资人应及时查询并妥善行使合法权利。</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五、申购和赎回的数量限制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基金管理人可以规定投资人首次申购和每次申购的最低金额以及每次赎回的最低份额，具体规定请参见招募说明书</w:t>
      </w:r>
      <w:r>
        <w:rPr>
          <w:rFonts w:asciiTheme="minorEastAsia" w:eastAsiaTheme="minorEastAsia" w:hAnsiTheme="minorEastAsia" w:hint="eastAsia"/>
          <w:bCs/>
          <w:color w:val="000000"/>
          <w:sz w:val="24"/>
          <w:szCs w:val="24"/>
        </w:rPr>
        <w:t>或相关公告</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基金管理人可以规定投资人每个</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交易账户的最低基金份额余额，具体规定请参见招募说明书</w:t>
      </w:r>
      <w:r>
        <w:rPr>
          <w:rFonts w:asciiTheme="minorEastAsia" w:eastAsiaTheme="minorEastAsia" w:hAnsiTheme="minorEastAsia" w:hint="eastAsia"/>
          <w:bCs/>
          <w:color w:val="000000"/>
          <w:sz w:val="24"/>
          <w:szCs w:val="24"/>
        </w:rPr>
        <w:t>或相关公告</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基金管理人可以规定单个投资人累计持有的基金份额上限，具体规定请参见招募说明书</w:t>
      </w:r>
      <w:r>
        <w:rPr>
          <w:rFonts w:asciiTheme="minorEastAsia" w:eastAsiaTheme="minorEastAsia" w:hAnsiTheme="minorEastAsia" w:hint="eastAsia"/>
          <w:bCs/>
          <w:color w:val="000000"/>
          <w:sz w:val="24"/>
          <w:szCs w:val="24"/>
        </w:rPr>
        <w:t>或相关公告</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4、基金管理人可以规定本基金单日的申购金额上限或单日净申购比例上限，具体规定请参见招募说明书或相关公告</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5、基金管理人可以规定本基金的总规模限额、单个投资人单日/单笔申购金额上限，具体规定请参见招募说明书或相关公告。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当接受申购申请对存量基金份额持有人利益构成潜在重大不利影响时，基金管理人应当采取设定单一投资者申购金额上限或</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单日净申购比例上限、拒绝大额申购、暂停</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申购等措施，切实保护存量基金份额持有人的合法权益。基金管理人基于投资运作与风险控制的需要，可采取上述措施对</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规模予以控制。具体</w:t>
      </w:r>
      <w:r>
        <w:rPr>
          <w:rFonts w:asciiTheme="minorEastAsia" w:eastAsiaTheme="minorEastAsia" w:hAnsiTheme="minorEastAsia"/>
          <w:bCs/>
          <w:color w:val="000000"/>
          <w:sz w:val="24"/>
          <w:szCs w:val="24"/>
        </w:rPr>
        <w:t>见基金</w:t>
      </w:r>
      <w:r>
        <w:rPr>
          <w:rFonts w:asciiTheme="minorEastAsia" w:eastAsiaTheme="minorEastAsia" w:hAnsiTheme="minorEastAsia"/>
          <w:bCs/>
          <w:color w:val="000000"/>
          <w:sz w:val="24"/>
          <w:szCs w:val="24"/>
        </w:rPr>
        <w:t>管理人相关公告。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基金管理人可在法律法规允许的情况下，调整上述规定申购金额和赎回份额的数量限制。基金管理人必须在调整前依照《信息披露办法》的有关规定在规定媒介上公告。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六、申购和赎回的价格、费用及其用途</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w:t>
      </w:r>
      <w:bookmarkStart w:id="176" w:name="_Hlk196899008"/>
      <w:r>
        <w:rPr>
          <w:rFonts w:asciiTheme="minorEastAsia" w:eastAsiaTheme="minorEastAsia" w:hAnsiTheme="minorEastAsia" w:hint="eastAsia"/>
          <w:bCs/>
          <w:color w:val="000000"/>
          <w:sz w:val="24"/>
          <w:szCs w:val="24"/>
        </w:rPr>
        <w:t>本基金A类基金份额和C类基金份额分别设置代码，</w:t>
      </w:r>
      <w:bookmarkEnd w:id="176"/>
      <w:r>
        <w:rPr>
          <w:rFonts w:asciiTheme="minorEastAsia" w:eastAsiaTheme="minorEastAsia" w:hAnsiTheme="minorEastAsia" w:hint="eastAsia"/>
          <w:bCs/>
          <w:color w:val="000000"/>
          <w:sz w:val="24"/>
          <w:szCs w:val="24"/>
        </w:rPr>
        <w:t>分别计算和公告基金份额净值和基金份额累计净值。</w:t>
      </w:r>
      <w:r>
        <w:rPr>
          <w:rFonts w:asciiTheme="minorEastAsia" w:eastAsiaTheme="minorEastAsia" w:hAnsiTheme="minorEastAsia"/>
          <w:bCs/>
          <w:color w:val="000000"/>
          <w:sz w:val="24"/>
          <w:szCs w:val="24"/>
        </w:rPr>
        <w:t>本基金</w:t>
      </w:r>
      <w:r>
        <w:rPr>
          <w:rFonts w:asciiTheme="minorEastAsia" w:eastAsiaTheme="minorEastAsia" w:hAnsiTheme="minorEastAsia" w:hint="eastAsia"/>
          <w:bCs/>
          <w:color w:val="000000"/>
          <w:sz w:val="24"/>
          <w:szCs w:val="24"/>
        </w:rPr>
        <w:t>各类基金</w:t>
      </w:r>
      <w:r>
        <w:rPr>
          <w:rFonts w:asciiTheme="minorEastAsia" w:eastAsiaTheme="minorEastAsia" w:hAnsiTheme="minorEastAsia"/>
          <w:bCs/>
          <w:color w:val="000000"/>
          <w:sz w:val="24"/>
          <w:szCs w:val="24"/>
        </w:rPr>
        <w:t>份额净值的计算，均保留到小</w:t>
      </w:r>
      <w:r>
        <w:rPr>
          <w:rFonts w:asciiTheme="minorEastAsia" w:eastAsiaTheme="minorEastAsia" w:hAnsiTheme="minorEastAsia"/>
          <w:bCs/>
          <w:color w:val="000000"/>
          <w:sz w:val="24"/>
          <w:szCs w:val="24"/>
        </w:rPr>
        <w:t>数点后</w:t>
      </w: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位，小数点后第</w:t>
      </w:r>
      <w:r>
        <w:rPr>
          <w:rFonts w:asciiTheme="minorEastAsia" w:eastAsiaTheme="minorEastAsia" w:hAnsiTheme="minorEastAsia" w:hint="eastAsia"/>
          <w:bCs/>
          <w:color w:val="000000"/>
          <w:sz w:val="24"/>
          <w:szCs w:val="24"/>
        </w:rPr>
        <w:t>5</w:t>
      </w:r>
      <w:r>
        <w:rPr>
          <w:rFonts w:asciiTheme="minorEastAsia" w:eastAsiaTheme="minorEastAsia" w:hAnsiTheme="minorEastAsia"/>
          <w:bCs/>
          <w:color w:val="000000"/>
          <w:sz w:val="24"/>
          <w:szCs w:val="24"/>
        </w:rPr>
        <w:t>位四舍五入，由此产生的收益或损失由</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承担。T日的各类</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净值在当天收市后计算，并在T+</w:t>
      </w:r>
      <w:r>
        <w:rPr>
          <w:rFonts w:asciiTheme="minorEastAsia" w:eastAsiaTheme="minorEastAsia" w:hAnsiTheme="minorEastAsia" w:hint="eastAsia"/>
          <w:bCs/>
          <w:color w:val="000000"/>
          <w:sz w:val="24"/>
          <w:szCs w:val="24"/>
        </w:rPr>
        <w:t>1</w:t>
      </w:r>
      <w:r>
        <w:rPr>
          <w:rFonts w:asciiTheme="minorEastAsia" w:eastAsiaTheme="minorEastAsia" w:hAnsiTheme="minorEastAsia"/>
          <w:bCs/>
          <w:color w:val="000000"/>
          <w:sz w:val="24"/>
          <w:szCs w:val="24"/>
        </w:rPr>
        <w:t>日内公告。遇特殊情况，</w:t>
      </w:r>
      <w:r>
        <w:rPr>
          <w:rFonts w:asciiTheme="minorEastAsia" w:eastAsiaTheme="minorEastAsia" w:hAnsiTheme="minorEastAsia" w:hint="eastAsia"/>
          <w:bCs/>
          <w:color w:val="000000"/>
          <w:sz w:val="24"/>
          <w:szCs w:val="24"/>
        </w:rPr>
        <w:t>经履行适当程序</w:t>
      </w:r>
      <w:r>
        <w:rPr>
          <w:rFonts w:asciiTheme="minorEastAsia" w:eastAsiaTheme="minorEastAsia" w:hAnsiTheme="minorEastAsia"/>
          <w:bCs/>
          <w:color w:val="000000"/>
          <w:sz w:val="24"/>
          <w:szCs w:val="24"/>
        </w:rPr>
        <w:t>，可以适当延迟计算或公告。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申购份额的计算及余额的处理方式：本基金申购份额的计算详见《招募说明书》。本基金</w:t>
      </w:r>
      <w:r>
        <w:rPr>
          <w:rFonts w:asciiTheme="minorEastAsia" w:eastAsiaTheme="minorEastAsia" w:hAnsiTheme="minorEastAsia" w:hint="eastAsia"/>
          <w:bCs/>
          <w:color w:val="000000"/>
          <w:sz w:val="24"/>
          <w:szCs w:val="24"/>
        </w:rPr>
        <w:t>A类基金份额</w:t>
      </w:r>
      <w:r>
        <w:rPr>
          <w:rFonts w:asciiTheme="minorEastAsia" w:eastAsiaTheme="minorEastAsia" w:hAnsiTheme="minorEastAsia"/>
          <w:bCs/>
          <w:color w:val="000000"/>
          <w:sz w:val="24"/>
          <w:szCs w:val="24"/>
        </w:rPr>
        <w:t>的申购费率由基金管理人决定，并在招募说明书</w:t>
      </w:r>
      <w:r>
        <w:rPr>
          <w:rFonts w:asciiTheme="minorEastAsia" w:eastAsiaTheme="minorEastAsia" w:hAnsiTheme="minorEastAsia" w:hint="eastAsia"/>
          <w:bCs/>
          <w:color w:val="000000"/>
          <w:sz w:val="24"/>
          <w:szCs w:val="24"/>
        </w:rPr>
        <w:t>及基金产品资料概要</w:t>
      </w:r>
      <w:r>
        <w:rPr>
          <w:rFonts w:asciiTheme="minorEastAsia" w:eastAsiaTheme="minorEastAsia" w:hAnsiTheme="minorEastAsia"/>
          <w:bCs/>
          <w:color w:val="000000"/>
          <w:sz w:val="24"/>
          <w:szCs w:val="24"/>
        </w:rPr>
        <w:t>中列示。申购的有效份额为净申购金额除以当日的</w:t>
      </w:r>
      <w:r>
        <w:rPr>
          <w:rFonts w:asciiTheme="minorEastAsia" w:eastAsiaTheme="minorEastAsia" w:hAnsiTheme="minorEastAsia" w:hint="eastAsia"/>
          <w:bCs/>
          <w:color w:val="000000"/>
          <w:sz w:val="24"/>
          <w:szCs w:val="24"/>
        </w:rPr>
        <w:t>该类基金份额</w:t>
      </w:r>
      <w:r>
        <w:rPr>
          <w:rFonts w:asciiTheme="minorEastAsia" w:eastAsiaTheme="minorEastAsia" w:hAnsiTheme="minorEastAsia"/>
          <w:bCs/>
          <w:color w:val="000000"/>
          <w:sz w:val="24"/>
          <w:szCs w:val="24"/>
        </w:rPr>
        <w:t>净值，有效份额单位为份，上述计算结果均按四舍五入方法，保留到小数点后</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位，由此产生的收益或损失由</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承担。</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赎回金额的计算及处理方式：本基金赎回金额的计算详见《招募说明书》。本基金的赎回费率由基金管理人决定，并在招募说明书</w:t>
      </w:r>
      <w:r>
        <w:rPr>
          <w:rFonts w:asciiTheme="minorEastAsia" w:eastAsiaTheme="minorEastAsia" w:hAnsiTheme="minorEastAsia" w:hint="eastAsia"/>
          <w:bCs/>
          <w:color w:val="000000"/>
          <w:sz w:val="24"/>
          <w:szCs w:val="24"/>
        </w:rPr>
        <w:t>及基金产品资料概要</w:t>
      </w:r>
      <w:r>
        <w:rPr>
          <w:rFonts w:asciiTheme="minorEastAsia" w:eastAsiaTheme="minorEastAsia" w:hAnsiTheme="minorEastAsia"/>
          <w:bCs/>
          <w:color w:val="000000"/>
          <w:sz w:val="24"/>
          <w:szCs w:val="24"/>
        </w:rPr>
        <w:t>中列示</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赎回金额为按实际确认的有效赎回份额乘以当日</w:t>
      </w:r>
      <w:r>
        <w:rPr>
          <w:rFonts w:asciiTheme="minorEastAsia" w:eastAsiaTheme="minorEastAsia" w:hAnsiTheme="minorEastAsia" w:hint="eastAsia"/>
          <w:bCs/>
          <w:color w:val="000000"/>
          <w:sz w:val="24"/>
          <w:szCs w:val="24"/>
        </w:rPr>
        <w:t>该类基金份额</w:t>
      </w:r>
      <w:r>
        <w:rPr>
          <w:rFonts w:asciiTheme="minorEastAsia" w:eastAsiaTheme="minorEastAsia" w:hAnsiTheme="minorEastAsia"/>
          <w:bCs/>
          <w:color w:val="000000"/>
          <w:sz w:val="24"/>
          <w:szCs w:val="24"/>
        </w:rPr>
        <w:t>净值并扣除相应的费用，赎回金额单位为元。上述计算结果均按四舍五入方法，保留到小数点后</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位，由此产生的收益或损失由</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承担。</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本基金A类</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的申购费用由申购A类</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的投资人承担，不列入</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C类基金份额不收取申购费用</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赎回费用由赎回</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的</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承担，在</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赎回</w:t>
      </w:r>
      <w:r>
        <w:rPr>
          <w:rFonts w:asciiTheme="minorEastAsia" w:eastAsiaTheme="minorEastAsia" w:hAnsiTheme="minorEastAsia" w:hint="eastAsia"/>
          <w:bCs/>
          <w:color w:val="000000"/>
          <w:sz w:val="24"/>
          <w:szCs w:val="24"/>
        </w:rPr>
        <w:t>基金份额</w:t>
      </w:r>
      <w:r>
        <w:rPr>
          <w:rFonts w:asciiTheme="minorEastAsia" w:eastAsiaTheme="minorEastAsia" w:hAnsiTheme="minorEastAsia"/>
          <w:bCs/>
          <w:color w:val="000000"/>
          <w:sz w:val="24"/>
          <w:szCs w:val="24"/>
        </w:rPr>
        <w:t>时收取。赎回费用归入</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的比例</w:t>
      </w:r>
      <w:r>
        <w:rPr>
          <w:rFonts w:asciiTheme="minorEastAsia" w:eastAsiaTheme="minorEastAsia" w:hAnsiTheme="minorEastAsia" w:hint="eastAsia"/>
          <w:bCs/>
          <w:color w:val="000000"/>
          <w:sz w:val="24"/>
          <w:szCs w:val="24"/>
        </w:rPr>
        <w:t>依照相关法律法规设定，具体</w:t>
      </w:r>
      <w:r>
        <w:rPr>
          <w:rFonts w:asciiTheme="minorEastAsia" w:eastAsiaTheme="minorEastAsia" w:hAnsiTheme="minorEastAsia"/>
          <w:bCs/>
          <w:color w:val="000000"/>
          <w:sz w:val="24"/>
          <w:szCs w:val="24"/>
        </w:rPr>
        <w:t>见招募说明书</w:t>
      </w:r>
      <w:r>
        <w:rPr>
          <w:rFonts w:asciiTheme="minorEastAsia" w:eastAsiaTheme="minorEastAsia" w:hAnsiTheme="minorEastAsia" w:hint="eastAsia"/>
          <w:bCs/>
          <w:color w:val="000000"/>
          <w:sz w:val="24"/>
          <w:szCs w:val="24"/>
        </w:rPr>
        <w:t>的规定</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未归入基金财产的部分</w:t>
      </w:r>
      <w:r>
        <w:rPr>
          <w:rFonts w:asciiTheme="minorEastAsia" w:eastAsiaTheme="minorEastAsia" w:hAnsiTheme="minorEastAsia"/>
          <w:bCs/>
          <w:color w:val="000000"/>
          <w:sz w:val="24"/>
          <w:szCs w:val="24"/>
        </w:rPr>
        <w:t>用于支付登记费和其他必要的手续费。</w:t>
      </w:r>
      <w:r>
        <w:rPr>
          <w:rFonts w:asciiTheme="minorEastAsia" w:eastAsiaTheme="minorEastAsia" w:hAnsiTheme="minorEastAsia" w:hint="eastAsia"/>
          <w:bCs/>
          <w:color w:val="000000"/>
          <w:sz w:val="24"/>
          <w:szCs w:val="24"/>
        </w:rPr>
        <w:t>其中对于持有期少于7日的基金份额持有人收取不低于1.50%的赎回费并全额计入基金财产</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本基金的申购费率、申购份额具体的计算方法、赎回费率、赎回金额具体的计算方法和收费方式由基金管理人根据</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的规定确定，并在招募说明书及</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产品资料概要中列示。基金管理人可以在</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约定的范围内调整费率或收费方式，并最迟应于新的费率或收费方式实施日前依照《信息披露办法》的有关规定在规定媒介上公告。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7、其他</w:t>
      </w:r>
    </w:p>
    <w:p w:rsidR="00AA3326">
      <w:pPr>
        <w:spacing w:line="360" w:lineRule="auto"/>
        <w:ind w:firstLine="480" w:firstLineChars="200"/>
        <w:rPr>
          <w:rFonts w:asciiTheme="minorEastAsia" w:eastAsiaTheme="minorEastAsia" w:hAnsiTheme="minorEastAsia" w:hint="eastAsia"/>
          <w:color w:val="000000"/>
          <w:sz w:val="24"/>
          <w:szCs w:val="24"/>
        </w:rPr>
      </w:pPr>
      <w:r>
        <w:rPr>
          <w:rFonts w:asciiTheme="minorEastAsia" w:eastAsiaTheme="minorEastAsia" w:hAnsiTheme="minorEastAsia" w:hint="eastAsia"/>
          <w:color w:val="000000"/>
          <w:sz w:val="24"/>
          <w:szCs w:val="24"/>
        </w:rPr>
        <w:t>（1）</w:t>
      </w:r>
      <w:r>
        <w:rPr>
          <w:rFonts w:asciiTheme="minorEastAsia" w:eastAsiaTheme="minorEastAsia" w:hAnsiTheme="minorEastAsia"/>
          <w:bCs/>
          <w:color w:val="000000"/>
          <w:sz w:val="24"/>
          <w:szCs w:val="24"/>
        </w:rPr>
        <w:t>当本基金发生大额申购或赎回情形时，基金管理人可以采用摆动定价机制，以确保</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估值的公平性。具体处理原则与操作规范遵循相关法律法规以及监管部门、自律规则的规定</w:t>
      </w:r>
      <w:bookmarkStart w:id="177" w:name="_Hlk34407119"/>
      <w:r>
        <w:rPr>
          <w:rFonts w:ascii="宋体" w:hAnsi="宋体" w:hint="eastAsia"/>
          <w:bCs/>
          <w:color w:val="000000"/>
          <w:sz w:val="24"/>
          <w:szCs w:val="24"/>
        </w:rPr>
        <w:t>，具体</w:t>
      </w:r>
      <w:r>
        <w:rPr>
          <w:rFonts w:ascii="宋体" w:hAnsi="宋体" w:hint="eastAsia"/>
          <w:bCs/>
          <w:color w:val="000000"/>
          <w:sz w:val="24"/>
          <w:szCs w:val="24"/>
        </w:rPr>
        <w:t>见基金</w:t>
      </w:r>
      <w:r>
        <w:rPr>
          <w:rFonts w:ascii="宋体" w:hAnsi="宋体" w:hint="eastAsia"/>
          <w:bCs/>
          <w:color w:val="000000"/>
          <w:sz w:val="24"/>
          <w:szCs w:val="24"/>
        </w:rPr>
        <w:t>管理人届时的相关公告</w:t>
      </w:r>
      <w:bookmarkEnd w:id="177"/>
      <w:r>
        <w:rPr>
          <w:rFonts w:asciiTheme="minorEastAsia" w:eastAsiaTheme="minorEastAsia" w:hAnsiTheme="minorEastAsia"/>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color w:val="000000"/>
          <w:sz w:val="24"/>
          <w:szCs w:val="24"/>
        </w:rPr>
        <w:t>（2）</w:t>
      </w:r>
      <w:r>
        <w:rPr>
          <w:rFonts w:asciiTheme="minorEastAsia" w:eastAsiaTheme="minorEastAsia" w:hAnsiTheme="minorEastAsia"/>
          <w:bCs/>
          <w:color w:val="000000"/>
          <w:sz w:val="24"/>
          <w:szCs w:val="24"/>
        </w:rPr>
        <w:t>基金管理人可以在不</w:t>
      </w:r>
      <w:r>
        <w:rPr>
          <w:rFonts w:asciiTheme="minorEastAsia" w:eastAsiaTheme="minorEastAsia" w:hAnsiTheme="minorEastAsia"/>
          <w:color w:val="000000"/>
          <w:sz w:val="24"/>
          <w:szCs w:val="24"/>
        </w:rPr>
        <w:t>违背</w:t>
      </w:r>
      <w:r>
        <w:rPr>
          <w:rFonts w:asciiTheme="minorEastAsia" w:eastAsiaTheme="minorEastAsia" w:hAnsiTheme="minorEastAsia"/>
          <w:bCs/>
          <w:color w:val="000000"/>
          <w:sz w:val="24"/>
          <w:szCs w:val="24"/>
        </w:rPr>
        <w:t>法律法规规定及</w:t>
      </w:r>
      <w:r>
        <w:rPr>
          <w:rFonts w:asciiTheme="minorEastAsia" w:eastAsiaTheme="minorEastAsia" w:hAnsiTheme="minorEastAsia" w:hint="eastAsia"/>
          <w:color w:val="000000"/>
          <w:sz w:val="24"/>
          <w:szCs w:val="24"/>
        </w:rPr>
        <w:t>基金合同</w:t>
      </w:r>
      <w:r>
        <w:rPr>
          <w:rFonts w:asciiTheme="minorEastAsia" w:eastAsiaTheme="minorEastAsia" w:hAnsiTheme="minorEastAsia"/>
          <w:bCs/>
          <w:color w:val="000000"/>
          <w:sz w:val="24"/>
          <w:szCs w:val="24"/>
        </w:rPr>
        <w:t>约定</w:t>
      </w:r>
      <w:r>
        <w:rPr>
          <w:rFonts w:asciiTheme="minorEastAsia" w:eastAsiaTheme="minorEastAsia" w:hAnsiTheme="minorEastAsia" w:hint="eastAsia"/>
          <w:bCs/>
          <w:color w:val="000000"/>
          <w:sz w:val="24"/>
          <w:szCs w:val="24"/>
        </w:rPr>
        <w:t>且对基金份额持有人利益无实质性不利影响</w:t>
      </w:r>
      <w:r>
        <w:rPr>
          <w:rFonts w:asciiTheme="minorEastAsia" w:eastAsiaTheme="minorEastAsia" w:hAnsiTheme="minorEastAsia"/>
          <w:bCs/>
          <w:color w:val="000000"/>
          <w:sz w:val="24"/>
          <w:szCs w:val="24"/>
        </w:rPr>
        <w:t>的</w:t>
      </w:r>
      <w:r>
        <w:rPr>
          <w:rFonts w:asciiTheme="minorEastAsia" w:eastAsiaTheme="minorEastAsia" w:hAnsiTheme="minorEastAsia"/>
          <w:color w:val="000000"/>
          <w:sz w:val="24"/>
          <w:szCs w:val="24"/>
        </w:rPr>
        <w:t>情况</w:t>
      </w:r>
      <w:r>
        <w:rPr>
          <w:rFonts w:asciiTheme="minorEastAsia" w:eastAsiaTheme="minorEastAsia" w:hAnsiTheme="minorEastAsia"/>
          <w:bCs/>
          <w:color w:val="000000"/>
          <w:sz w:val="24"/>
          <w:szCs w:val="24"/>
        </w:rPr>
        <w:t>下根据市场情况制定</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促销计划，</w:t>
      </w:r>
      <w:r>
        <w:rPr>
          <w:rFonts w:asciiTheme="minorEastAsia" w:eastAsiaTheme="minorEastAsia" w:hAnsiTheme="minorEastAsia"/>
          <w:color w:val="000000"/>
          <w:sz w:val="24"/>
          <w:szCs w:val="24"/>
        </w:rPr>
        <w:t>针对</w:t>
      </w:r>
      <w:r>
        <w:rPr>
          <w:rFonts w:asciiTheme="minorEastAsia" w:eastAsiaTheme="minorEastAsia" w:hAnsiTheme="minorEastAsia" w:hint="eastAsia"/>
          <w:color w:val="000000"/>
          <w:sz w:val="24"/>
          <w:szCs w:val="24"/>
        </w:rPr>
        <w:t>基金投资者</w:t>
      </w:r>
      <w:r>
        <w:rPr>
          <w:rFonts w:asciiTheme="minorEastAsia" w:eastAsiaTheme="minorEastAsia" w:hAnsiTheme="minorEastAsia"/>
          <w:bCs/>
          <w:color w:val="000000"/>
          <w:sz w:val="24"/>
          <w:szCs w:val="24"/>
        </w:rPr>
        <w:t>定期</w:t>
      </w:r>
      <w:r>
        <w:rPr>
          <w:rFonts w:asciiTheme="minorEastAsia" w:eastAsiaTheme="minorEastAsia" w:hAnsiTheme="minorEastAsia"/>
          <w:color w:val="000000"/>
          <w:sz w:val="24"/>
          <w:szCs w:val="24"/>
        </w:rPr>
        <w:t>和</w:t>
      </w:r>
      <w:r>
        <w:rPr>
          <w:rFonts w:asciiTheme="minorEastAsia" w:eastAsiaTheme="minorEastAsia" w:hAnsiTheme="minorEastAsia"/>
          <w:bCs/>
          <w:color w:val="000000"/>
          <w:sz w:val="24"/>
          <w:szCs w:val="24"/>
        </w:rPr>
        <w:t>不定期地开展</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促销活动。在</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促销活动期间，</w:t>
      </w:r>
      <w:r>
        <w:rPr>
          <w:rFonts w:asciiTheme="minorEastAsia" w:eastAsiaTheme="minorEastAsia" w:hAnsiTheme="minorEastAsia"/>
          <w:color w:val="000000"/>
          <w:sz w:val="24"/>
          <w:szCs w:val="24"/>
        </w:rPr>
        <w:t>基金管理人可以</w:t>
      </w:r>
      <w:r>
        <w:rPr>
          <w:rFonts w:asciiTheme="minorEastAsia" w:eastAsiaTheme="minorEastAsia" w:hAnsiTheme="minorEastAsia"/>
          <w:bCs/>
          <w:color w:val="000000"/>
          <w:sz w:val="24"/>
          <w:szCs w:val="24"/>
        </w:rPr>
        <w:t>按</w:t>
      </w:r>
      <w:r>
        <w:rPr>
          <w:rFonts w:asciiTheme="minorEastAsia" w:eastAsiaTheme="minorEastAsia" w:hAnsiTheme="minorEastAsia"/>
          <w:color w:val="000000"/>
          <w:sz w:val="24"/>
          <w:szCs w:val="24"/>
        </w:rPr>
        <w:t>中国证监会</w:t>
      </w:r>
      <w:r>
        <w:rPr>
          <w:rFonts w:asciiTheme="minorEastAsia" w:eastAsiaTheme="minorEastAsia" w:hAnsiTheme="minorEastAsia"/>
          <w:bCs/>
          <w:color w:val="000000"/>
          <w:sz w:val="24"/>
          <w:szCs w:val="24"/>
        </w:rPr>
        <w:t>要求履行必要手续后，</w:t>
      </w:r>
      <w:r>
        <w:rPr>
          <w:rFonts w:asciiTheme="minorEastAsia" w:eastAsiaTheme="minorEastAsia" w:hAnsiTheme="minorEastAsia"/>
          <w:color w:val="000000"/>
          <w:sz w:val="24"/>
          <w:szCs w:val="24"/>
        </w:rPr>
        <w:t>对</w:t>
      </w:r>
      <w:r>
        <w:rPr>
          <w:rFonts w:asciiTheme="minorEastAsia" w:eastAsiaTheme="minorEastAsia" w:hAnsiTheme="minorEastAsia" w:hint="eastAsia"/>
          <w:color w:val="000000"/>
          <w:sz w:val="24"/>
          <w:szCs w:val="24"/>
        </w:rPr>
        <w:t>基金投资者</w:t>
      </w:r>
      <w:r>
        <w:rPr>
          <w:rFonts w:asciiTheme="minorEastAsia" w:eastAsiaTheme="minorEastAsia" w:hAnsiTheme="minorEastAsia"/>
          <w:bCs/>
          <w:color w:val="000000"/>
          <w:sz w:val="24"/>
          <w:szCs w:val="24"/>
        </w:rPr>
        <w:t>适当</w:t>
      </w:r>
      <w:r>
        <w:rPr>
          <w:rFonts w:ascii="宋体" w:hAnsi="宋体"/>
          <w:color w:val="000000"/>
          <w:sz w:val="24"/>
          <w:szCs w:val="24"/>
        </w:rPr>
        <w:t>调</w:t>
      </w:r>
      <w:r>
        <w:rPr>
          <w:rFonts w:ascii="宋体" w:hAnsi="宋体" w:hint="eastAsia"/>
          <w:color w:val="000000"/>
          <w:sz w:val="24"/>
          <w:szCs w:val="24"/>
        </w:rPr>
        <w:t>低</w:t>
      </w:r>
      <w:r>
        <w:rPr>
          <w:rFonts w:asciiTheme="minorEastAsia" w:eastAsiaTheme="minorEastAsia" w:hAnsiTheme="minorEastAsia" w:hint="eastAsia"/>
          <w:bCs/>
          <w:color w:val="000000"/>
          <w:sz w:val="24"/>
          <w:szCs w:val="24"/>
        </w:rPr>
        <w:t>基金</w:t>
      </w:r>
      <w:r>
        <w:rPr>
          <w:rFonts w:asciiTheme="minorEastAsia" w:eastAsiaTheme="minorEastAsia" w:hAnsiTheme="minorEastAsia" w:hint="eastAsia"/>
          <w:color w:val="000000"/>
          <w:sz w:val="24"/>
          <w:szCs w:val="24"/>
        </w:rPr>
        <w:t>申购</w:t>
      </w:r>
      <w:r>
        <w:rPr>
          <w:rFonts w:asciiTheme="minorEastAsia" w:eastAsiaTheme="minorEastAsia" w:hAnsiTheme="minorEastAsia"/>
          <w:color w:val="000000"/>
          <w:sz w:val="24"/>
          <w:szCs w:val="24"/>
        </w:rPr>
        <w:t>费率、赎回费率和转换</w:t>
      </w:r>
      <w:r>
        <w:rPr>
          <w:rFonts w:asciiTheme="minorEastAsia" w:eastAsiaTheme="minorEastAsia" w:hAnsiTheme="minorEastAsia"/>
          <w:bCs/>
          <w:color w:val="000000"/>
          <w:sz w:val="24"/>
          <w:szCs w:val="24"/>
        </w:rPr>
        <w:t>费率。</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七</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拒绝或暂停申购的情形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发生下列情况时，基金管理人可拒绝或暂停接受投资人的申购申请：</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因不可抗力导致</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无法正常运作。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2、发生基金合同约定的暂停基金资产估值情况时，基金管理人可暂停接受投资人的申购申请。</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证券</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期货交易所交易时间非正常停市，导致基金管理人无法计算当日</w:t>
      </w:r>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178" w:name="_Hlt70481650"/>
      <w:bookmarkEnd w:id="178"/>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接受某笔或某些申购申请可能会影响或损害现有基金份额持有人利益时。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5、基金资产</w:t>
      </w:r>
      <w:r>
        <w:rPr>
          <w:rFonts w:asciiTheme="minorEastAsia" w:eastAsiaTheme="minorEastAsia" w:hAnsiTheme="minorEastAsia"/>
          <w:bCs/>
          <w:color w:val="000000"/>
          <w:sz w:val="24"/>
          <w:szCs w:val="24"/>
        </w:rPr>
        <w:t>规模过大，使基金管理人无法找到合适的投资品种，或其他可能对</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业绩产生负面影响，或发生其他损害现有基金份额持有人利益的情形。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6、当前一估值日基金资产净值50%以上的资产出现无可参考的活跃市场价格且采用估值技术</w:t>
      </w:r>
      <w:r>
        <w:rPr>
          <w:rFonts w:asciiTheme="minorEastAsia" w:eastAsiaTheme="minorEastAsia" w:hAnsiTheme="minorEastAsia" w:hint="eastAsia"/>
          <w:bCs/>
          <w:color w:val="000000"/>
          <w:sz w:val="24"/>
          <w:szCs w:val="24"/>
        </w:rPr>
        <w:t>仍导致</w:t>
      </w:r>
      <w:r>
        <w:rPr>
          <w:rFonts w:asciiTheme="minorEastAsia" w:eastAsiaTheme="minorEastAsia" w:hAnsiTheme="minorEastAsia" w:hint="eastAsia"/>
          <w:bCs/>
          <w:color w:val="000000"/>
          <w:sz w:val="24"/>
          <w:szCs w:val="24"/>
        </w:rPr>
        <w:t>公允价值存在重大不确定性时，经与基金托管人协商确认后，基金管理人应当暂停接受基金申购申请。</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7、基金管理人接受某笔或者某些申购申请有可能导致单一投资者持有基金份额的比例达到或者超过50%，或者变相规避50%集中度的情形。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当日申购申请超出基金管理人规定的总规模限制、单日净申购比例上限、单个投资人单日/单笔申购金额上限、单个投资人累计持有份额上限的情形</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法律法规规定或中国证监会认定的其他情形。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发生上述第1、2、</w:t>
      </w: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、5</w:t>
      </w:r>
      <w:r>
        <w:rPr>
          <w:rFonts w:asciiTheme="minorEastAsia" w:eastAsiaTheme="minorEastAsia" w:hAnsiTheme="minorEastAsia" w:hint="eastAsia"/>
          <w:bCs/>
          <w:color w:val="000000"/>
          <w:sz w:val="24"/>
          <w:szCs w:val="24"/>
        </w:rPr>
        <w:t>、6、</w:t>
      </w:r>
      <w:r>
        <w:rPr>
          <w:rFonts w:asciiTheme="minorEastAsia" w:eastAsiaTheme="minorEastAsia" w:hAnsiTheme="minorEastAsia"/>
          <w:bCs/>
          <w:color w:val="000000"/>
          <w:sz w:val="24"/>
          <w:szCs w:val="24"/>
        </w:rPr>
        <w:t>9项暂停申购情形之一</w:t>
      </w:r>
      <w:r>
        <w:rPr>
          <w:rFonts w:asciiTheme="minorEastAsia" w:eastAsiaTheme="minorEastAsia" w:hAnsiTheme="minorEastAsia"/>
          <w:bCs/>
          <w:color w:val="000000"/>
          <w:sz w:val="24"/>
          <w:szCs w:val="24"/>
        </w:rPr>
        <w:t>且基金</w:t>
      </w:r>
      <w:r>
        <w:rPr>
          <w:rFonts w:asciiTheme="minorEastAsia" w:eastAsiaTheme="minorEastAsia" w:hAnsiTheme="minorEastAsia"/>
          <w:bCs/>
          <w:color w:val="000000"/>
          <w:sz w:val="24"/>
          <w:szCs w:val="24"/>
        </w:rPr>
        <w:t>管理人决定暂停接受投资人申购申请时，基金管理人应当根据有关规定在规定媒介上刊登暂停申购公告。</w:t>
      </w:r>
      <w:r>
        <w:rPr>
          <w:rFonts w:asciiTheme="minorEastAsia" w:eastAsiaTheme="minorEastAsia" w:hAnsiTheme="minorEastAsia" w:hint="eastAsia"/>
          <w:bCs/>
          <w:color w:val="000000"/>
          <w:sz w:val="24"/>
          <w:szCs w:val="24"/>
        </w:rPr>
        <w:t>发生上述第</w:t>
      </w:r>
      <w:r>
        <w:rPr>
          <w:rFonts w:asciiTheme="minorEastAsia" w:eastAsiaTheme="minorEastAsia" w:hAnsiTheme="minorEastAsia"/>
          <w:bCs/>
          <w:color w:val="000000"/>
          <w:sz w:val="24"/>
          <w:szCs w:val="24"/>
        </w:rPr>
        <w:t>7</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8</w:t>
      </w:r>
      <w:r>
        <w:rPr>
          <w:rFonts w:asciiTheme="minorEastAsia" w:eastAsiaTheme="minorEastAsia" w:hAnsiTheme="minorEastAsia" w:hint="eastAsia"/>
          <w:bCs/>
          <w:color w:val="000000"/>
          <w:sz w:val="24"/>
          <w:szCs w:val="24"/>
        </w:rPr>
        <w:t>项情形时，基金管理人可以采取比例确认等方式对该投资人的申购申请进行限制，基金管理人有权拒绝该等全部或者部分申购申请。</w:t>
      </w:r>
      <w:r>
        <w:rPr>
          <w:rFonts w:asciiTheme="minorEastAsia" w:eastAsiaTheme="minorEastAsia" w:hAnsiTheme="minorEastAsia"/>
          <w:bCs/>
          <w:color w:val="000000"/>
          <w:sz w:val="24"/>
          <w:szCs w:val="24"/>
        </w:rPr>
        <w:t>如果投资人的申购申请被</w:t>
      </w:r>
      <w:r>
        <w:rPr>
          <w:rFonts w:asciiTheme="minorEastAsia" w:eastAsiaTheme="minorEastAsia" w:hAnsiTheme="minorEastAsia" w:hint="eastAsia"/>
          <w:bCs/>
          <w:color w:val="000000"/>
          <w:sz w:val="24"/>
          <w:szCs w:val="24"/>
        </w:rPr>
        <w:t>全部或部分</w:t>
      </w:r>
      <w:r>
        <w:rPr>
          <w:rFonts w:asciiTheme="minorEastAsia" w:eastAsiaTheme="minorEastAsia" w:hAnsiTheme="minorEastAsia"/>
          <w:bCs/>
          <w:color w:val="000000"/>
          <w:sz w:val="24"/>
          <w:szCs w:val="24"/>
        </w:rPr>
        <w:t>拒绝，被拒绝的申购款项将退还给投资人。在暂停申购的情况消除时，基金管理人应及时恢复申购业务的办理。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八</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暂停赎回或延缓支付赎回款项的情形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发生下列情形时，基金管理人可暂停接受</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的赎回申请或延缓支付赎回款项：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因不可抗力导致基金管理人不能支付赎回款项。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2、发生基金合同规定的暂停基金资产估值情况时，基金管理人可暂停接受基金份额持有人的赎回申请或延缓支付赎回款项。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证券</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期货交易所交易时间非正常停市，导致基金管理人无法计算当日</w:t>
      </w:r>
      <w:bookmarkStart w:id="179" w:name="_Hlt152500890"/>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连续两个或两个以上开放日发生巨额赎回。</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5、发生继续接受赎回申请将损害现有基金份额持有人利益的情形时，基金管理人可暂停接受基金份额持有人的赎回申请。</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6、当前一估值日</w:t>
      </w:r>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50%以上的资产出现无可参考的活跃市场价格且采用估值技术</w:t>
      </w:r>
      <w:r>
        <w:rPr>
          <w:rFonts w:asciiTheme="minorEastAsia" w:eastAsiaTheme="minorEastAsia" w:hAnsiTheme="minorEastAsia"/>
          <w:bCs/>
          <w:color w:val="000000"/>
          <w:sz w:val="24"/>
          <w:szCs w:val="24"/>
        </w:rPr>
        <w:t>仍导致</w:t>
      </w:r>
      <w:r>
        <w:rPr>
          <w:rFonts w:asciiTheme="minorEastAsia" w:eastAsiaTheme="minorEastAsia" w:hAnsiTheme="minorEastAsia"/>
          <w:bCs/>
          <w:color w:val="000000"/>
          <w:sz w:val="24"/>
          <w:szCs w:val="24"/>
        </w:rPr>
        <w:t>公允价值存在重大不确定性时，经与基金托管人协商确认后，基金管理人应当延缓支付赎回款项或暂停接受</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赎回申请。</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179"/>
      <w:r>
        <w:rPr>
          <w:rFonts w:asciiTheme="minorEastAsia" w:eastAsiaTheme="minorEastAsia" w:hAnsiTheme="minorEastAsia" w:hint="eastAsia"/>
          <w:bCs/>
          <w:color w:val="000000"/>
          <w:sz w:val="24"/>
          <w:szCs w:val="24"/>
        </w:rPr>
        <w:t>7、</w:t>
      </w:r>
      <w:r>
        <w:rPr>
          <w:rFonts w:asciiTheme="minorEastAsia" w:eastAsiaTheme="minorEastAsia" w:hAnsiTheme="minorEastAsia"/>
          <w:bCs/>
          <w:color w:val="000000"/>
          <w:sz w:val="24"/>
          <w:szCs w:val="24"/>
        </w:rPr>
        <w:t>法律法规规定或中国证监会认定的其他情形。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发生上述</w:t>
      </w:r>
      <w:r>
        <w:rPr>
          <w:bCs/>
          <w:color w:val="000000"/>
          <w:sz w:val="24"/>
          <w:szCs w:val="24"/>
        </w:rPr>
        <w:t>第</w:t>
      </w:r>
      <w:r>
        <w:rPr>
          <w:bCs/>
          <w:color w:val="000000"/>
          <w:sz w:val="24"/>
          <w:szCs w:val="24"/>
        </w:rPr>
        <w:t>1</w:t>
      </w:r>
      <w:r>
        <w:rPr>
          <w:bCs/>
          <w:color w:val="000000"/>
          <w:sz w:val="24"/>
          <w:szCs w:val="24"/>
        </w:rPr>
        <w:t>、</w:t>
      </w:r>
      <w:r>
        <w:rPr>
          <w:bCs/>
          <w:color w:val="000000"/>
          <w:sz w:val="24"/>
          <w:szCs w:val="24"/>
        </w:rPr>
        <w:t>2</w:t>
      </w:r>
      <w:r>
        <w:rPr>
          <w:bCs/>
          <w:color w:val="000000"/>
          <w:sz w:val="24"/>
          <w:szCs w:val="24"/>
        </w:rPr>
        <w:t>、</w:t>
      </w:r>
      <w:r>
        <w:rPr>
          <w:rFonts w:hint="eastAsia"/>
          <w:bCs/>
          <w:color w:val="000000"/>
          <w:sz w:val="24"/>
          <w:szCs w:val="24"/>
        </w:rPr>
        <w:t>3</w:t>
      </w:r>
      <w:r>
        <w:rPr>
          <w:bCs/>
          <w:color w:val="000000"/>
          <w:sz w:val="24"/>
          <w:szCs w:val="24"/>
        </w:rPr>
        <w:t>、</w:t>
      </w:r>
      <w:r>
        <w:rPr>
          <w:bCs/>
          <w:color w:val="000000"/>
          <w:sz w:val="24"/>
          <w:szCs w:val="24"/>
        </w:rPr>
        <w:t>5</w:t>
      </w:r>
      <w:r>
        <w:rPr>
          <w:rFonts w:hint="eastAsia"/>
          <w:bCs/>
          <w:color w:val="000000"/>
          <w:sz w:val="24"/>
          <w:szCs w:val="24"/>
        </w:rPr>
        <w:t>、</w:t>
      </w:r>
      <w:r>
        <w:rPr>
          <w:rFonts w:hint="eastAsia"/>
          <w:bCs/>
          <w:color w:val="000000"/>
          <w:sz w:val="24"/>
          <w:szCs w:val="24"/>
        </w:rPr>
        <w:t>6</w:t>
      </w:r>
      <w:r>
        <w:rPr>
          <w:rFonts w:hint="eastAsia"/>
          <w:bCs/>
          <w:color w:val="000000"/>
          <w:sz w:val="24"/>
          <w:szCs w:val="24"/>
        </w:rPr>
        <w:t>、</w:t>
      </w:r>
      <w:r>
        <w:rPr>
          <w:rFonts w:hint="eastAsia"/>
          <w:bCs/>
          <w:color w:val="000000"/>
          <w:sz w:val="24"/>
          <w:szCs w:val="24"/>
        </w:rPr>
        <w:t>7</w:t>
      </w:r>
      <w:r>
        <w:rPr>
          <w:bCs/>
          <w:color w:val="000000"/>
          <w:sz w:val="24"/>
          <w:szCs w:val="24"/>
        </w:rPr>
        <w:t>项</w:t>
      </w:r>
      <w:r>
        <w:rPr>
          <w:rFonts w:asciiTheme="minorEastAsia" w:eastAsiaTheme="minorEastAsia" w:hAnsiTheme="minorEastAsia"/>
          <w:bCs/>
          <w:color w:val="000000"/>
          <w:sz w:val="24"/>
          <w:szCs w:val="24"/>
        </w:rPr>
        <w:t>情形之一</w:t>
      </w:r>
      <w:r>
        <w:rPr>
          <w:rFonts w:asciiTheme="minorEastAsia" w:eastAsiaTheme="minorEastAsia" w:hAnsiTheme="minorEastAsia"/>
          <w:bCs/>
          <w:color w:val="000000"/>
          <w:sz w:val="24"/>
          <w:szCs w:val="24"/>
        </w:rPr>
        <w:t>且基金</w:t>
      </w:r>
      <w:r>
        <w:rPr>
          <w:rFonts w:asciiTheme="minorEastAsia" w:eastAsiaTheme="minorEastAsia" w:hAnsiTheme="minorEastAsia"/>
          <w:bCs/>
          <w:color w:val="000000"/>
          <w:sz w:val="24"/>
          <w:szCs w:val="24"/>
        </w:rPr>
        <w:t>管理人决定暂停</w:t>
      </w:r>
      <w:r>
        <w:rPr>
          <w:rFonts w:asciiTheme="minorEastAsia" w:eastAsiaTheme="minorEastAsia" w:hAnsiTheme="minorEastAsia" w:hint="eastAsia"/>
          <w:bCs/>
          <w:color w:val="000000"/>
          <w:sz w:val="24"/>
          <w:szCs w:val="24"/>
        </w:rPr>
        <w:t>接受</w:t>
      </w:r>
      <w:r>
        <w:rPr>
          <w:rFonts w:asciiTheme="minorEastAsia" w:eastAsiaTheme="minorEastAsia" w:hAnsiTheme="minorEastAsia"/>
          <w:bCs/>
          <w:color w:val="000000"/>
          <w:sz w:val="24"/>
          <w:szCs w:val="24"/>
        </w:rPr>
        <w:t>赎回</w:t>
      </w:r>
      <w:r>
        <w:rPr>
          <w:rFonts w:asciiTheme="minorEastAsia" w:eastAsiaTheme="minorEastAsia" w:hAnsiTheme="minorEastAsia" w:hint="eastAsia"/>
          <w:bCs/>
          <w:color w:val="000000"/>
          <w:sz w:val="24"/>
          <w:szCs w:val="24"/>
        </w:rPr>
        <w:t>申请</w:t>
      </w:r>
      <w:r>
        <w:rPr>
          <w:rFonts w:asciiTheme="minorEastAsia" w:eastAsiaTheme="minorEastAsia" w:hAnsiTheme="minorEastAsia"/>
          <w:bCs/>
          <w:color w:val="000000"/>
          <w:sz w:val="24"/>
          <w:szCs w:val="24"/>
        </w:rPr>
        <w:t>或延缓支付赎回款项时，基金管理人应</w:t>
      </w:r>
      <w:r>
        <w:rPr>
          <w:rFonts w:asciiTheme="minorEastAsia" w:eastAsiaTheme="minorEastAsia" w:hAnsiTheme="minorEastAsia" w:hint="eastAsia"/>
          <w:bCs/>
          <w:color w:val="000000"/>
          <w:sz w:val="24"/>
          <w:szCs w:val="24"/>
        </w:rPr>
        <w:t>及时</w:t>
      </w:r>
      <w:r>
        <w:rPr>
          <w:rFonts w:asciiTheme="minorEastAsia" w:eastAsiaTheme="minorEastAsia" w:hAnsiTheme="minorEastAsia"/>
          <w:bCs/>
          <w:color w:val="000000"/>
          <w:sz w:val="24"/>
          <w:szCs w:val="24"/>
        </w:rPr>
        <w:t>报中国证监会备案，已确认的赎回申请，基金管理人应足额支付；如暂时不能足额支付，应将可支付部分按单个账户申请量占申请总量的比例分配给赎回申请人，未支付部分可延期支付。若出现上述第</w:t>
      </w: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项所述情形，按基金合同的相关条款处理。基金份额持有人在申请赎回时可事先选择将当日可能未获受理部分予以撤销。在暂停赎回的情况消除时，基金管理人应及时恢复赎回业务的办理并公告。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九</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巨额赎回的情形及处理方式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巨额赎回的认定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若本基金单个开放日内的基金份额净赎回申请（赎回申请份额总数加上</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转换中转出申请份额总数后扣除申购申请份额总数及</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转换中转入申请份额总数后的余额）超过前一开放日的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总份额的</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，即认为是发生了巨额赎回。</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巨额赎回的处理方式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当</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出现巨额赎回时，基金管理人可以根据</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当时的资产组合状况决定</w:t>
      </w:r>
      <w:r>
        <w:rPr>
          <w:rFonts w:asciiTheme="minorEastAsia" w:eastAsiaTheme="minorEastAsia" w:hAnsiTheme="minorEastAsia"/>
          <w:bCs/>
          <w:color w:val="000000"/>
          <w:sz w:val="24"/>
          <w:szCs w:val="24"/>
        </w:rPr>
        <w:t>全额赎回</w:t>
      </w:r>
      <w:r>
        <w:rPr>
          <w:rFonts w:asciiTheme="minorEastAsia" w:eastAsiaTheme="minorEastAsia" w:hAnsiTheme="minorEastAsia" w:hint="eastAsia"/>
          <w:bCs/>
          <w:color w:val="000000"/>
          <w:sz w:val="24"/>
          <w:szCs w:val="24"/>
        </w:rPr>
        <w:t>或</w:t>
      </w:r>
      <w:r>
        <w:rPr>
          <w:rFonts w:asciiTheme="minorEastAsia" w:eastAsiaTheme="minorEastAsia" w:hAnsiTheme="minorEastAsia"/>
          <w:bCs/>
          <w:color w:val="000000"/>
          <w:sz w:val="24"/>
          <w:szCs w:val="24"/>
        </w:rPr>
        <w:t>部分延期赎回。</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（1）全额赎回：当基金管理人认为有能力支付</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的全部赎回申请时，按正常赎回程序执行。</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）部分延期赎回：当基金管理人认为支付</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的赎回申请有困难或认为因支付</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的赎回申请而进行的财产变现可能会对</w:t>
      </w:r>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造成较大波动时，基金管理人在当日接受赎回比例不低于上一开放日</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总份额的</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的前提下，可对其余赎回申请延期办理。对于当日的赎回申请，应当按单个账户赎回申请量占赎回申请总量的比例，确定当日受理的赎回份额；对于未能赎回部分，</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r>
        <w:rPr>
          <w:rFonts w:asciiTheme="minorEastAsia" w:eastAsiaTheme="minorEastAsia" w:hAnsiTheme="minorEastAsia"/>
          <w:bCs/>
          <w:color w:val="000000"/>
          <w:sz w:val="24"/>
          <w:szCs w:val="24"/>
        </w:rPr>
        <w:t>并以下</w:t>
      </w:r>
      <w:r>
        <w:rPr>
          <w:rFonts w:asciiTheme="minorEastAsia" w:eastAsiaTheme="minorEastAsia" w:hAnsiTheme="minorEastAsia"/>
          <w:bCs/>
          <w:color w:val="000000"/>
          <w:sz w:val="24"/>
          <w:szCs w:val="24"/>
        </w:rPr>
        <w:t>一开放日的</w:t>
      </w:r>
      <w:r>
        <w:rPr>
          <w:rFonts w:asciiTheme="minorEastAsia" w:eastAsiaTheme="minorEastAsia" w:hAnsiTheme="minorEastAsia" w:hint="eastAsia"/>
          <w:bCs/>
          <w:color w:val="000000"/>
          <w:sz w:val="24"/>
          <w:szCs w:val="24"/>
        </w:rPr>
        <w:t>该类</w:t>
      </w:r>
      <w:r>
        <w:rPr>
          <w:rFonts w:asciiTheme="minorEastAsia" w:eastAsiaTheme="minorEastAsia" w:hAnsiTheme="minorEastAsia"/>
          <w:bCs/>
          <w:color w:val="000000"/>
          <w:sz w:val="24"/>
          <w:szCs w:val="24"/>
        </w:rPr>
        <w:t>基金份额净值为基础计算赎回金额，以此类推，直到全部赎回为止。如</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在提交赎回申请时未作明确选择，</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未能赎回部分作自动延期赎回处理。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若本基金发生巨额赎回，在出现单个基金份额持有人超过上一开放日基金总份额20%的赎回申请（以下简称“大额赎回申请人”）情形下，基金管理人可以延期办理。基金管理人在当日接受赎回比例不低于上一开放日基金总份额10%的前提下，优先确认其他赎回申请人（以下简称“小额赎回申请人”）的赎回申请：若小额赎回申请人的赎回申请在当日予以全部确认，</w:t>
      </w:r>
      <w:r>
        <w:rPr>
          <w:rFonts w:asciiTheme="minorEastAsia" w:eastAsiaTheme="minorEastAsia" w:hAnsiTheme="minorEastAsia" w:hint="eastAsia"/>
          <w:bCs/>
          <w:color w:val="000000"/>
          <w:sz w:val="24"/>
          <w:szCs w:val="24"/>
        </w:rPr>
        <w:t>则基金</w:t>
      </w:r>
      <w:r>
        <w:rPr>
          <w:rFonts w:asciiTheme="minorEastAsia" w:eastAsiaTheme="minorEastAsia" w:hAnsiTheme="minorEastAsia" w:hint="eastAsia"/>
          <w:bCs/>
          <w:color w:val="000000"/>
          <w:sz w:val="24"/>
          <w:szCs w:val="24"/>
        </w:rPr>
        <w:t>管理人在仍可接受赎回申请的范围内对大额赎回申请人的赎回</w:t>
      </w:r>
      <w:r>
        <w:rPr>
          <w:rFonts w:asciiTheme="minorEastAsia" w:eastAsiaTheme="minorEastAsia" w:hAnsiTheme="minorEastAsia" w:hint="eastAsia"/>
          <w:bCs/>
          <w:color w:val="000000"/>
          <w:sz w:val="24"/>
          <w:szCs w:val="24"/>
        </w:rPr>
        <w:t>申请按</w:t>
      </w:r>
      <w:r>
        <w:rPr>
          <w:rFonts w:asciiTheme="minorEastAsia" w:eastAsiaTheme="minorEastAsia" w:hAnsiTheme="minorEastAsia" w:hint="eastAsia"/>
          <w:bCs/>
          <w:color w:val="000000"/>
          <w:sz w:val="24"/>
          <w:szCs w:val="24"/>
        </w:rPr>
        <w:t>比例确认，对大额赎回申请人未予确认的赎回申请延期办理；若小额赎回申请人的赎回申请在当日无法被全部确认，</w:t>
      </w:r>
      <w:r>
        <w:rPr>
          <w:rFonts w:asciiTheme="minorEastAsia" w:eastAsiaTheme="minorEastAsia" w:hAnsiTheme="minorEastAsia" w:hint="eastAsia"/>
          <w:bCs/>
          <w:color w:val="000000"/>
          <w:sz w:val="24"/>
          <w:szCs w:val="24"/>
        </w:rPr>
        <w:t>则基金</w:t>
      </w:r>
      <w:r>
        <w:rPr>
          <w:rFonts w:asciiTheme="minorEastAsia" w:eastAsiaTheme="minorEastAsia" w:hAnsiTheme="minorEastAsia" w:hint="eastAsia"/>
          <w:bCs/>
          <w:color w:val="000000"/>
          <w:sz w:val="24"/>
          <w:szCs w:val="24"/>
        </w:rPr>
        <w:t>管理人在可接受赎回申请的范围内对小额赎回申请人的赎回</w:t>
      </w:r>
      <w:r>
        <w:rPr>
          <w:rFonts w:asciiTheme="minorEastAsia" w:eastAsiaTheme="minorEastAsia" w:hAnsiTheme="minorEastAsia" w:hint="eastAsia"/>
          <w:bCs/>
          <w:color w:val="000000"/>
          <w:sz w:val="24"/>
          <w:szCs w:val="24"/>
        </w:rPr>
        <w:t>申请按</w:t>
      </w:r>
      <w:r>
        <w:rPr>
          <w:rFonts w:asciiTheme="minorEastAsia" w:eastAsiaTheme="minorEastAsia" w:hAnsiTheme="minorEastAsia" w:hint="eastAsia"/>
          <w:bCs/>
          <w:color w:val="000000"/>
          <w:sz w:val="24"/>
          <w:szCs w:val="24"/>
        </w:rPr>
        <w:t>比例确认，对未确认的赎回申请（含小额赎回申请人的其余赎回申请与大额赎回申请人的全部赎回申请）延期办理。延期办理的赎回申请适用本条规定的延期赎回或取消赎回的规则，选择延期赎回的，当日未获处理的赎回申请将自动转入下一个开放日继续赎回，直到全部赎回为止。延期的赎回申请与下一个开放日赎回申请一并处理，无优先权</w:t>
      </w:r>
      <w:r>
        <w:rPr>
          <w:rFonts w:asciiTheme="minorEastAsia" w:eastAsiaTheme="minorEastAsia" w:hAnsiTheme="minorEastAsia" w:hint="eastAsia"/>
          <w:bCs/>
          <w:color w:val="000000"/>
          <w:sz w:val="24"/>
          <w:szCs w:val="24"/>
        </w:rPr>
        <w:t>并以下</w:t>
      </w:r>
      <w:r>
        <w:rPr>
          <w:rFonts w:asciiTheme="minorEastAsia" w:eastAsiaTheme="minorEastAsia" w:hAnsiTheme="minorEastAsia" w:hint="eastAsia"/>
          <w:bCs/>
          <w:color w:val="000000"/>
          <w:sz w:val="24"/>
          <w:szCs w:val="24"/>
        </w:rPr>
        <w:t>一开放日的该类基金份额净值为基础计算赎回金额，以此类推。同时，基金管理人应当对延期办理的事宜在</w:t>
      </w:r>
      <w:r>
        <w:rPr>
          <w:rFonts w:asciiTheme="minorEastAsia" w:eastAsiaTheme="minorEastAsia" w:hAnsiTheme="minorEastAsia"/>
          <w:bCs/>
          <w:color w:val="000000"/>
          <w:sz w:val="24"/>
          <w:szCs w:val="24"/>
        </w:rPr>
        <w:t>规定媒介上进行公告。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（4）暂停赎回：连续</w:t>
      </w:r>
      <w:r>
        <w:rPr>
          <w:rFonts w:asciiTheme="minorEastAsia" w:eastAsiaTheme="minorEastAsia" w:hAnsiTheme="minorEastAsia" w:hint="eastAsia"/>
          <w:bCs/>
          <w:color w:val="000000"/>
          <w:sz w:val="24"/>
          <w:szCs w:val="24"/>
        </w:rPr>
        <w:t>2个开放</w:t>
      </w:r>
      <w:r>
        <w:rPr>
          <w:rFonts w:asciiTheme="minorEastAsia" w:eastAsiaTheme="minorEastAsia" w:hAnsiTheme="minorEastAsia"/>
          <w:bCs/>
          <w:color w:val="000000"/>
          <w:sz w:val="24"/>
          <w:szCs w:val="24"/>
        </w:rPr>
        <w:t>日以上（含本数）发生巨额赎回，如基金管理人认为有必要，可暂停接受</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的赎回申请；已经接受的赎回申请可以延缓支付赎回款项，但不得超过</w:t>
      </w:r>
      <w:r>
        <w:rPr>
          <w:rFonts w:asciiTheme="minorEastAsia" w:eastAsiaTheme="minorEastAsia" w:hAnsiTheme="minorEastAsia" w:hint="eastAsia"/>
          <w:bCs/>
          <w:color w:val="000000"/>
          <w:sz w:val="24"/>
          <w:szCs w:val="24"/>
        </w:rPr>
        <w:t>20</w:t>
      </w:r>
      <w:r>
        <w:rPr>
          <w:rFonts w:asciiTheme="minorEastAsia" w:eastAsiaTheme="minorEastAsia" w:hAnsiTheme="minorEastAsia"/>
          <w:bCs/>
          <w:color w:val="000000"/>
          <w:sz w:val="24"/>
          <w:szCs w:val="24"/>
        </w:rPr>
        <w:t>个工作日，并应当在规定媒介上进行公告。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巨额赎回的公告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当发生上述</w:t>
      </w:r>
      <w:r>
        <w:rPr>
          <w:rFonts w:asciiTheme="minorEastAsia" w:eastAsiaTheme="minorEastAsia" w:hAnsiTheme="minorEastAsia" w:hint="eastAsia"/>
          <w:bCs/>
          <w:color w:val="000000"/>
          <w:sz w:val="24"/>
          <w:szCs w:val="24"/>
        </w:rPr>
        <w:t>巨额</w:t>
      </w:r>
      <w:r>
        <w:rPr>
          <w:rFonts w:asciiTheme="minorEastAsia" w:eastAsiaTheme="minorEastAsia" w:hAnsiTheme="minorEastAsia"/>
          <w:bCs/>
          <w:color w:val="000000"/>
          <w:sz w:val="24"/>
          <w:szCs w:val="24"/>
        </w:rPr>
        <w:t>赎回并延期办理时，基金管理人应当通过邮寄、传真或者招募说明书规定的其他方式在</w:t>
      </w: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个交易日内通知基金份额持有人，说明有关处理方法，</w:t>
      </w:r>
      <w:r>
        <w:rPr>
          <w:rFonts w:asciiTheme="minorEastAsia" w:eastAsiaTheme="minorEastAsia" w:hAnsiTheme="minorEastAsia" w:hint="eastAsia"/>
          <w:bCs/>
          <w:color w:val="000000"/>
          <w:sz w:val="24"/>
          <w:szCs w:val="24"/>
        </w:rPr>
        <w:t>并在2日内</w:t>
      </w:r>
      <w:r>
        <w:rPr>
          <w:rFonts w:asciiTheme="minorEastAsia" w:eastAsiaTheme="minorEastAsia" w:hAnsiTheme="minorEastAsia"/>
          <w:bCs/>
          <w:color w:val="000000"/>
          <w:sz w:val="24"/>
          <w:szCs w:val="24"/>
        </w:rPr>
        <w:t>在规定媒介上刊登公告。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十</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暂停申购或赎回的公告和重新开放申购或赎回的公告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发生上述暂停申购或赎回情况的，基金管理人应在规定期限内在规定媒介上刊登暂停公告。</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180" w:name="_Hlk198026650"/>
      <w:r>
        <w:rPr>
          <w:rFonts w:asciiTheme="minorEastAsia" w:eastAsiaTheme="minorEastAsia" w:hAnsiTheme="minorEastAsia" w:hint="eastAsia"/>
          <w:bCs/>
          <w:color w:val="000000"/>
          <w:sz w:val="24"/>
          <w:szCs w:val="24"/>
        </w:rPr>
        <w:t>2、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180"/>
      <w:r>
        <w:rPr>
          <w:rFonts w:asciiTheme="minorEastAsia" w:eastAsiaTheme="minorEastAsia" w:hAnsiTheme="minorEastAsia"/>
          <w:bCs/>
          <w:color w:val="000000"/>
          <w:sz w:val="24"/>
          <w:szCs w:val="24"/>
        </w:rPr>
        <w:t>十一</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转换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基金管理人可以根据相关法律法规以及本基金合同的规定决定开办本基金与基金管理人管理的其他</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之间的转换业务，</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转换可以收取一定的转换费，相关规则由基金管理人届时根据相关法律法规及本基金合同的规定制定并公告，并提前告知基金托管人与相关机构。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十二</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w:t>
      </w:r>
      <w:r>
        <w:rPr>
          <w:rFonts w:asciiTheme="minorEastAsia" w:eastAsiaTheme="minorEastAsia" w:hAnsiTheme="minorEastAsia"/>
          <w:bCs/>
          <w:color w:val="000000"/>
          <w:sz w:val="24"/>
          <w:szCs w:val="24"/>
        </w:rPr>
        <w:t>非交易</w:t>
      </w:r>
      <w:r>
        <w:rPr>
          <w:rFonts w:asciiTheme="minorEastAsia" w:eastAsiaTheme="minorEastAsia" w:hAnsiTheme="minorEastAsia"/>
          <w:bCs/>
          <w:color w:val="000000"/>
          <w:sz w:val="24"/>
          <w:szCs w:val="24"/>
        </w:rPr>
        <w:t>过户</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w:t>
      </w:r>
      <w:r>
        <w:rPr>
          <w:rFonts w:asciiTheme="minorEastAsia" w:eastAsiaTheme="minorEastAsia" w:hAnsiTheme="minorEastAsia"/>
          <w:bCs/>
          <w:color w:val="000000"/>
          <w:sz w:val="24"/>
          <w:szCs w:val="24"/>
        </w:rPr>
        <w:t>非交易</w:t>
      </w:r>
      <w:r>
        <w:rPr>
          <w:rFonts w:asciiTheme="minorEastAsia" w:eastAsiaTheme="minorEastAsia" w:hAnsiTheme="minorEastAsia"/>
          <w:bCs/>
          <w:color w:val="000000"/>
          <w:sz w:val="24"/>
          <w:szCs w:val="24"/>
        </w:rPr>
        <w:t>过户是指登记机构受理继承、捐赠和司法强制执行</w:t>
      </w:r>
      <w:r>
        <w:rPr>
          <w:rFonts w:asciiTheme="minorEastAsia" w:eastAsiaTheme="minorEastAsia" w:hAnsiTheme="minorEastAsia" w:hint="eastAsia"/>
          <w:bCs/>
          <w:color w:val="000000"/>
          <w:sz w:val="24"/>
          <w:szCs w:val="24"/>
        </w:rPr>
        <w:t>等情形</w:t>
      </w:r>
      <w:r>
        <w:rPr>
          <w:rFonts w:asciiTheme="minorEastAsia" w:eastAsiaTheme="minorEastAsia" w:hAnsiTheme="minorEastAsia"/>
          <w:bCs/>
          <w:color w:val="000000"/>
          <w:sz w:val="24"/>
          <w:szCs w:val="24"/>
        </w:rPr>
        <w:t>而产生的</w:t>
      </w:r>
      <w:r>
        <w:rPr>
          <w:rFonts w:asciiTheme="minorEastAsia" w:eastAsiaTheme="minorEastAsia" w:hAnsiTheme="minorEastAsia"/>
          <w:bCs/>
          <w:color w:val="000000"/>
          <w:sz w:val="24"/>
          <w:szCs w:val="24"/>
        </w:rPr>
        <w:t>非交易</w:t>
      </w:r>
      <w:r>
        <w:rPr>
          <w:rFonts w:asciiTheme="minorEastAsia" w:eastAsiaTheme="minorEastAsia" w:hAnsiTheme="minorEastAsia"/>
          <w:bCs/>
          <w:color w:val="000000"/>
          <w:sz w:val="24"/>
          <w:szCs w:val="24"/>
        </w:rPr>
        <w:t>过户以及登记机构认可、符合法律法规的其它</w:t>
      </w:r>
      <w:r>
        <w:rPr>
          <w:rFonts w:asciiTheme="minorEastAsia" w:eastAsiaTheme="minorEastAsia" w:hAnsiTheme="minorEastAsia"/>
          <w:bCs/>
          <w:color w:val="000000"/>
          <w:sz w:val="24"/>
          <w:szCs w:val="24"/>
        </w:rPr>
        <w:t>非交易</w:t>
      </w:r>
      <w:r>
        <w:rPr>
          <w:rFonts w:asciiTheme="minorEastAsia" w:eastAsiaTheme="minorEastAsia" w:hAnsiTheme="minorEastAsia"/>
          <w:bCs/>
          <w:color w:val="000000"/>
          <w:sz w:val="24"/>
          <w:szCs w:val="24"/>
        </w:rPr>
        <w:t>过户。无论在上述何种情况下，接受划转的主体必须是依法可以持有本</w:t>
      </w:r>
      <w:r>
        <w:rPr>
          <w:rFonts w:asciiTheme="minorEastAsia" w:eastAsiaTheme="minorEastAsia" w:hAnsiTheme="minorEastAsia"/>
          <w:bCs/>
          <w:color w:val="000000"/>
          <w:sz w:val="24"/>
          <w:szCs w:val="24"/>
        </w:rPr>
        <w:t>基金基金</w:t>
      </w:r>
      <w:r>
        <w:rPr>
          <w:rFonts w:asciiTheme="minorEastAsia" w:eastAsiaTheme="minorEastAsia" w:hAnsiTheme="minorEastAsia"/>
          <w:bCs/>
          <w:color w:val="000000"/>
          <w:sz w:val="24"/>
          <w:szCs w:val="24"/>
        </w:rPr>
        <w:t>份额的投资人。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color w:val="000000"/>
          <w:sz w:val="24"/>
          <w:szCs w:val="24"/>
        </w:rPr>
        <w:t>继承是指基金份额持有人死亡，其持有的基金份额由其合法的继承人继承；</w:t>
      </w:r>
      <w:r>
        <w:rPr>
          <w:rFonts w:asciiTheme="minorEastAsia" w:eastAsiaTheme="minorEastAsia" w:hAnsiTheme="minorEastAsia" w:hint="eastAsia"/>
          <w:color w:val="000000"/>
          <w:sz w:val="24"/>
          <w:szCs w:val="24"/>
        </w:rPr>
        <w:t>捐赠指</w:t>
      </w:r>
      <w:r>
        <w:rPr>
          <w:rFonts w:asciiTheme="minorEastAsia" w:eastAsiaTheme="minorEastAsia" w:hAnsiTheme="minorEastAsia" w:hint="eastAsia"/>
          <w:color w:val="000000"/>
          <w:sz w:val="24"/>
          <w:szCs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r>
        <w:rPr>
          <w:rFonts w:asciiTheme="minorEastAsia" w:eastAsiaTheme="minorEastAsia" w:hAnsiTheme="minorEastAsia" w:hint="eastAsia"/>
          <w:color w:val="000000"/>
          <w:sz w:val="24"/>
          <w:szCs w:val="24"/>
        </w:rPr>
        <w:t>非交易</w:t>
      </w:r>
      <w:r>
        <w:rPr>
          <w:rFonts w:asciiTheme="minorEastAsia" w:eastAsiaTheme="minorEastAsia" w:hAnsiTheme="minorEastAsia" w:hint="eastAsia"/>
          <w:color w:val="000000"/>
          <w:sz w:val="24"/>
          <w:szCs w:val="24"/>
        </w:rPr>
        <w:t>过户必须提供登记机构要求提供的相关资料，对于符合条件的</w:t>
      </w:r>
      <w:r>
        <w:rPr>
          <w:rFonts w:asciiTheme="minorEastAsia" w:eastAsiaTheme="minorEastAsia" w:hAnsiTheme="minorEastAsia" w:hint="eastAsia"/>
          <w:color w:val="000000"/>
          <w:sz w:val="24"/>
          <w:szCs w:val="24"/>
        </w:rPr>
        <w:t>非交易过户申请按</w:t>
      </w:r>
      <w:r>
        <w:rPr>
          <w:rFonts w:asciiTheme="minorEastAsia" w:eastAsiaTheme="minorEastAsia" w:hAnsiTheme="minorEastAsia" w:hint="eastAsia"/>
          <w:color w:val="000000"/>
          <w:sz w:val="24"/>
          <w:szCs w:val="24"/>
        </w:rPr>
        <w:t>登记机构的规定办理，并按登记机构规定的标准收费。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十三</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的转托管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基金份额持有人可办理已持有基金份额在不同销售机构之间的转托管，销售机构可以按照规定的标准收取转托管费。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十四</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定期定额投资计划</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十五</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的冻结和解冻</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登记机构只受理国家有权机关依法要求的基金份额的冻结与解冻，以及登记机构认可、符合法律法规的其他情况下的冻结与解冻。</w:t>
      </w:r>
      <w:r>
        <w:rPr>
          <w:rFonts w:asciiTheme="minorEastAsia" w:eastAsiaTheme="minorEastAsia" w:hAnsiTheme="minorEastAsia" w:hint="eastAsia"/>
          <w:bCs/>
          <w:color w:val="000000"/>
          <w:sz w:val="24"/>
          <w:szCs w:val="24"/>
        </w:rPr>
        <w:t>基金账户或基金份额被冻结的，被冻结部分产生的权益一并冻结，被冻结部分份额仍然参与收益分配与支付，法律法规另有规定的除外。</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十六、基金份额的转让</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如相关法律法规允许基金管理人办理基金份额的质押业务或其他基金业务且条件具备的情况下，基金管理人将制定和实施相应的业务规则。</w:t>
      </w:r>
    </w:p>
    <w:p w:rsidR="00AA3326">
      <w:pPr>
        <w:spacing w:line="360" w:lineRule="auto"/>
        <w:ind w:firstLine="480" w:firstLineChars="200"/>
        <w:rPr>
          <w:rFonts w:asciiTheme="minorEastAsia" w:eastAsiaTheme="minorEastAsia" w:hAnsiTheme="minorEastAsia" w:hint="eastAsia"/>
          <w:b/>
          <w:bCs/>
          <w:color w:val="000000"/>
          <w:sz w:val="24"/>
          <w:szCs w:val="24"/>
        </w:rPr>
      </w:pPr>
      <w:r>
        <w:rPr>
          <w:rFonts w:asciiTheme="minorEastAsia" w:eastAsiaTheme="minorEastAsia" w:hAnsiTheme="minorEastAsia" w:hint="eastAsia"/>
          <w:b/>
          <w:bCs/>
          <w:color w:val="000000"/>
          <w:sz w:val="24"/>
          <w:szCs w:val="24"/>
        </w:rPr>
        <w:t>十七、实施</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期间本基金的申购与赎回</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
          <w:bCs/>
          <w:color w:val="000000"/>
          <w:sz w:val="24"/>
          <w:szCs w:val="24"/>
        </w:rPr>
        <w:t>本基金实施</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的，本基金的申购和赎回安排详见招募说明书或相关公告。</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rPr>
        <w:br w:type="page"/>
      </w:r>
      <w:bookmarkStart w:id="181" w:name="_Toc123051453"/>
      <w:bookmarkStart w:id="182" w:name="_Toc6405"/>
      <w:bookmarkStart w:id="183" w:name="_Toc15143"/>
      <w:bookmarkStart w:id="184" w:name="_Toc532487732"/>
      <w:bookmarkStart w:id="185" w:name="_Toc207633405"/>
      <w:bookmarkStart w:id="186" w:name="_Toc14835"/>
      <w:bookmarkStart w:id="187" w:name="_Toc29251"/>
      <w:bookmarkStart w:id="188" w:name="_Toc139991737"/>
      <w:bookmarkStart w:id="189" w:name="_Toc3601"/>
      <w:bookmarkStart w:id="190" w:name="_Toc141703887"/>
      <w:bookmarkStart w:id="191" w:name="_Toc12245"/>
      <w:bookmarkStart w:id="192" w:name="_Toc31235"/>
      <w:bookmarkStart w:id="193" w:name="_Toc26207"/>
      <w:bookmarkStart w:id="194" w:name="_Toc31644"/>
      <w:bookmarkStart w:id="195" w:name="_Toc98560353"/>
      <w:bookmarkStart w:id="196" w:name="_Toc534140370"/>
      <w:bookmarkStart w:id="197" w:name="_Toc123102454"/>
      <w:bookmarkStart w:id="198" w:name="_Toc31653"/>
      <w:bookmarkStart w:id="199" w:name="_Toc123112235"/>
      <w:bookmarkStart w:id="200" w:name="_Toc16859"/>
      <w:r>
        <w:rPr>
          <w:rFonts w:asciiTheme="minorEastAsia" w:eastAsiaTheme="minorEastAsia" w:hAnsiTheme="minorEastAsia"/>
          <w:sz w:val="30"/>
        </w:rPr>
        <w:t xml:space="preserve">第七部分  </w:t>
      </w:r>
      <w:r>
        <w:rPr>
          <w:rFonts w:asciiTheme="minorEastAsia" w:eastAsiaTheme="minorEastAsia" w:hAnsiTheme="minorEastAsia" w:hint="eastAsia"/>
          <w:sz w:val="30"/>
        </w:rPr>
        <w:t>基金合同</w:t>
      </w:r>
      <w:r>
        <w:rPr>
          <w:rFonts w:asciiTheme="minorEastAsia" w:eastAsiaTheme="minorEastAsia" w:hAnsiTheme="minorEastAsia"/>
          <w:sz w:val="30"/>
        </w:rPr>
        <w:t>当事人及权利义务</w:t>
      </w:r>
      <w:bookmarkStart w:id="201" w:name="_Hlt55355235"/>
      <w:bookmarkStart w:id="202" w:name="_Toc523711668"/>
      <w:bookmarkStart w:id="203" w:name="_Toc57530239"/>
      <w:bookmarkStart w:id="204" w:name="_Toc79392580"/>
      <w:bookmarkStart w:id="205" w:name="_Toc15118234"/>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一、</w:t>
      </w:r>
      <w:bookmarkEnd w:id="202"/>
      <w:bookmarkEnd w:id="203"/>
      <w:bookmarkEnd w:id="204"/>
      <w:bookmarkEnd w:id="205"/>
      <w:r>
        <w:rPr>
          <w:rFonts w:asciiTheme="minorEastAsia" w:eastAsiaTheme="minorEastAsia" w:hAnsiTheme="minorEastAsia"/>
          <w:bCs/>
          <w:color w:val="000000"/>
          <w:sz w:val="24"/>
          <w:szCs w:val="24"/>
        </w:rPr>
        <w:t>基金管理人</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06" w:name="_Toc15118235"/>
      <w:r>
        <w:rPr>
          <w:rFonts w:asciiTheme="minorEastAsia" w:eastAsiaTheme="minorEastAsia" w:hAnsiTheme="minorEastAsia"/>
          <w:bCs/>
          <w:color w:val="000000"/>
          <w:sz w:val="24"/>
          <w:szCs w:val="24"/>
        </w:rPr>
        <w:t>（一）</w:t>
      </w:r>
      <w:r>
        <w:rPr>
          <w:rFonts w:asciiTheme="minorEastAsia" w:eastAsiaTheme="minorEastAsia" w:hAnsiTheme="minorEastAsia"/>
          <w:bCs/>
          <w:color w:val="000000"/>
          <w:sz w:val="24"/>
          <w:szCs w:val="24"/>
        </w:rPr>
        <w:tab/>
        <w:t>基金管理人简况</w:t>
      </w:r>
      <w:bookmarkEnd w:id="206"/>
    </w:p>
    <w:p w:rsidR="00AA3326">
      <w:pPr>
        <w:spacing w:line="360" w:lineRule="auto"/>
        <w:ind w:firstLine="480" w:firstLineChars="200"/>
        <w:rPr>
          <w:bCs/>
          <w:color w:val="000000"/>
          <w:sz w:val="24"/>
        </w:rPr>
      </w:pPr>
      <w:bookmarkStart w:id="207" w:name="_Toc15118236"/>
      <w:bookmarkStart w:id="208" w:name="_Toc15118237"/>
      <w:r>
        <w:rPr>
          <w:bCs/>
          <w:color w:val="000000"/>
          <w:sz w:val="24"/>
        </w:rPr>
        <w:t>名称：</w:t>
      </w:r>
      <w:r>
        <w:rPr>
          <w:rFonts w:ascii="宋体" w:hAnsi="宋体" w:hint="eastAsia"/>
          <w:color w:val="000000"/>
          <w:sz w:val="24"/>
          <w:szCs w:val="24"/>
        </w:rPr>
        <w:t>上海国泰海通证券资产管理有限公司</w:t>
      </w:r>
    </w:p>
    <w:p w:rsidR="00AA3326">
      <w:pPr>
        <w:spacing w:line="360" w:lineRule="auto"/>
        <w:ind w:firstLine="480" w:firstLineChars="200"/>
        <w:rPr>
          <w:bCs/>
          <w:color w:val="000000"/>
          <w:sz w:val="24"/>
        </w:rPr>
      </w:pPr>
      <w:r>
        <w:rPr>
          <w:bCs/>
          <w:color w:val="000000"/>
          <w:sz w:val="24"/>
        </w:rPr>
        <w:t>住所：</w:t>
      </w:r>
      <w:bookmarkStart w:id="209" w:name="_Hlk197435215"/>
      <w:r>
        <w:rPr>
          <w:rFonts w:ascii="宋体" w:hAnsi="宋体" w:hint="eastAsia"/>
          <w:color w:val="000000"/>
          <w:sz w:val="24"/>
          <w:szCs w:val="24"/>
        </w:rPr>
        <w:t>上海市黄浦区中山南路888号8层</w:t>
      </w:r>
      <w:bookmarkEnd w:id="209"/>
    </w:p>
    <w:p w:rsidR="00AA3326">
      <w:pPr>
        <w:spacing w:line="360" w:lineRule="auto"/>
        <w:ind w:firstLine="480" w:firstLineChars="200"/>
        <w:rPr>
          <w:bCs/>
          <w:color w:val="000000"/>
          <w:sz w:val="24"/>
        </w:rPr>
      </w:pPr>
      <w:r>
        <w:rPr>
          <w:rFonts w:hint="eastAsia"/>
          <w:bCs/>
          <w:color w:val="000000"/>
          <w:sz w:val="24"/>
        </w:rPr>
        <w:t>邮政编码：</w:t>
      </w:r>
      <w:bookmarkStart w:id="210" w:name="_Hlk77855348"/>
      <w:r>
        <w:rPr>
          <w:rFonts w:hint="eastAsia"/>
          <w:bCs/>
          <w:color w:val="000000"/>
          <w:sz w:val="24"/>
        </w:rPr>
        <w:t>2000</w:t>
      </w:r>
      <w:bookmarkEnd w:id="210"/>
      <w:r>
        <w:rPr>
          <w:rFonts w:hint="eastAsia"/>
          <w:bCs/>
          <w:color w:val="000000"/>
          <w:sz w:val="24"/>
        </w:rPr>
        <w:t>11</w:t>
      </w:r>
    </w:p>
    <w:p w:rsidR="00AA3326">
      <w:pPr>
        <w:spacing w:line="360" w:lineRule="auto"/>
        <w:ind w:firstLine="480" w:firstLineChars="200"/>
        <w:rPr>
          <w:bCs/>
          <w:color w:val="000000"/>
          <w:sz w:val="24"/>
        </w:rPr>
      </w:pPr>
      <w:r>
        <w:rPr>
          <w:bCs/>
          <w:color w:val="000000"/>
          <w:sz w:val="24"/>
        </w:rPr>
        <w:t>法定代表人：</w:t>
      </w:r>
      <w:bookmarkStart w:id="211" w:name="_Hlk143682638"/>
      <w:r>
        <w:rPr>
          <w:rFonts w:hint="eastAsia"/>
          <w:bCs/>
          <w:color w:val="000000"/>
          <w:sz w:val="24"/>
        </w:rPr>
        <w:t>陶耿</w:t>
      </w:r>
      <w:bookmarkEnd w:id="211"/>
    </w:p>
    <w:p w:rsidR="00AA3326">
      <w:pPr>
        <w:spacing w:line="360" w:lineRule="auto"/>
        <w:ind w:firstLine="480" w:firstLineChars="200"/>
        <w:rPr>
          <w:bCs/>
          <w:color w:val="000000"/>
          <w:sz w:val="24"/>
        </w:rPr>
      </w:pPr>
      <w:r>
        <w:rPr>
          <w:bCs/>
          <w:color w:val="000000"/>
          <w:sz w:val="24"/>
        </w:rPr>
        <w:t>设立日期：</w:t>
      </w:r>
      <w:r>
        <w:rPr>
          <w:rFonts w:hint="eastAsia"/>
          <w:bCs/>
          <w:color w:val="000000"/>
          <w:sz w:val="24"/>
        </w:rPr>
        <w:t>2010</w:t>
      </w:r>
      <w:r>
        <w:rPr>
          <w:rFonts w:hint="eastAsia"/>
          <w:bCs/>
          <w:color w:val="000000"/>
          <w:sz w:val="24"/>
        </w:rPr>
        <w:t>年</w:t>
      </w:r>
      <w:r>
        <w:rPr>
          <w:rFonts w:hint="eastAsia"/>
          <w:bCs/>
          <w:color w:val="000000"/>
          <w:sz w:val="24"/>
        </w:rPr>
        <w:t>8</w:t>
      </w:r>
      <w:r>
        <w:rPr>
          <w:rFonts w:hint="eastAsia"/>
          <w:bCs/>
          <w:color w:val="000000"/>
          <w:sz w:val="24"/>
        </w:rPr>
        <w:t>月</w:t>
      </w:r>
      <w:r>
        <w:rPr>
          <w:rFonts w:hint="eastAsia"/>
          <w:bCs/>
          <w:color w:val="000000"/>
          <w:sz w:val="24"/>
        </w:rPr>
        <w:t>27</w:t>
      </w:r>
      <w:r>
        <w:rPr>
          <w:rFonts w:hint="eastAsia"/>
          <w:bCs/>
          <w:color w:val="000000"/>
          <w:sz w:val="24"/>
        </w:rPr>
        <w:t>日</w:t>
      </w:r>
    </w:p>
    <w:p w:rsidR="00AA3326">
      <w:pPr>
        <w:spacing w:line="360" w:lineRule="auto"/>
        <w:ind w:firstLine="480" w:firstLineChars="200"/>
        <w:rPr>
          <w:bCs/>
          <w:color w:val="000000"/>
          <w:sz w:val="24"/>
        </w:rPr>
      </w:pPr>
      <w:r>
        <w:rPr>
          <w:bCs/>
          <w:color w:val="000000"/>
          <w:sz w:val="24"/>
        </w:rPr>
        <w:t>批准设立机关及批准设立文号：</w:t>
      </w:r>
      <w:r>
        <w:rPr>
          <w:rFonts w:hint="eastAsia"/>
          <w:bCs/>
          <w:color w:val="000000"/>
          <w:sz w:val="24"/>
        </w:rPr>
        <w:t>中国证券监督管理委员会；证监许可【</w:t>
      </w:r>
      <w:r>
        <w:rPr>
          <w:rFonts w:hint="eastAsia"/>
          <w:bCs/>
          <w:color w:val="000000"/>
          <w:sz w:val="24"/>
        </w:rPr>
        <w:t>2010</w:t>
      </w:r>
      <w:r>
        <w:rPr>
          <w:rFonts w:hint="eastAsia"/>
          <w:bCs/>
          <w:color w:val="000000"/>
          <w:sz w:val="24"/>
        </w:rPr>
        <w:t>】</w:t>
      </w:r>
      <w:r>
        <w:rPr>
          <w:rFonts w:hint="eastAsia"/>
          <w:bCs/>
          <w:color w:val="000000"/>
          <w:sz w:val="24"/>
        </w:rPr>
        <w:t>631</w:t>
      </w:r>
      <w:r>
        <w:rPr>
          <w:rFonts w:hint="eastAsia"/>
          <w:bCs/>
          <w:color w:val="000000"/>
          <w:sz w:val="24"/>
        </w:rPr>
        <w:t>号</w:t>
      </w:r>
    </w:p>
    <w:p w:rsidR="00AA3326">
      <w:pPr>
        <w:spacing w:line="360" w:lineRule="auto"/>
        <w:ind w:firstLine="480" w:firstLineChars="200"/>
        <w:rPr>
          <w:bCs/>
          <w:color w:val="000000"/>
          <w:sz w:val="24"/>
        </w:rPr>
      </w:pPr>
      <w:r>
        <w:rPr>
          <w:bCs/>
          <w:color w:val="000000"/>
          <w:sz w:val="24"/>
        </w:rPr>
        <w:t>组织形式：</w:t>
      </w:r>
      <w:r>
        <w:rPr>
          <w:rFonts w:ascii="宋体" w:hAnsi="宋体" w:hint="eastAsia"/>
          <w:color w:val="000000"/>
          <w:sz w:val="24"/>
          <w:szCs w:val="24"/>
        </w:rPr>
        <w:t>有限责任公司</w:t>
      </w:r>
    </w:p>
    <w:p w:rsidR="00AA3326">
      <w:pPr>
        <w:spacing w:line="360" w:lineRule="auto"/>
        <w:ind w:firstLine="480" w:firstLineChars="200"/>
        <w:rPr>
          <w:bCs/>
          <w:color w:val="000000"/>
          <w:sz w:val="24"/>
        </w:rPr>
      </w:pPr>
      <w:r>
        <w:rPr>
          <w:bCs/>
          <w:color w:val="000000"/>
          <w:sz w:val="24"/>
        </w:rPr>
        <w:t>注册资本：</w:t>
      </w:r>
      <w:r>
        <w:rPr>
          <w:rFonts w:hint="eastAsia"/>
          <w:bCs/>
          <w:color w:val="000000"/>
          <w:sz w:val="24"/>
        </w:rPr>
        <w:t>20</w:t>
      </w:r>
      <w:r>
        <w:rPr>
          <w:rFonts w:hint="eastAsia"/>
          <w:bCs/>
          <w:color w:val="000000"/>
          <w:sz w:val="24"/>
        </w:rPr>
        <w:t>亿元人民币</w:t>
      </w:r>
    </w:p>
    <w:p w:rsidR="00AA3326">
      <w:pPr>
        <w:spacing w:line="360" w:lineRule="auto"/>
        <w:ind w:firstLine="480" w:firstLineChars="200"/>
        <w:rPr>
          <w:bCs/>
          <w:color w:val="000000"/>
          <w:sz w:val="24"/>
        </w:rPr>
      </w:pPr>
      <w:r>
        <w:rPr>
          <w:bCs/>
          <w:color w:val="000000"/>
          <w:sz w:val="24"/>
        </w:rPr>
        <w:t>存续期限：</w:t>
      </w:r>
      <w:r>
        <w:rPr>
          <w:rFonts w:ascii="宋体" w:hAnsi="宋体" w:hint="eastAsia"/>
          <w:color w:val="000000"/>
          <w:sz w:val="24"/>
          <w:szCs w:val="24"/>
        </w:rPr>
        <w:t>持续经营</w:t>
      </w:r>
    </w:p>
    <w:p w:rsidR="00AA3326">
      <w:pPr>
        <w:spacing w:line="360" w:lineRule="auto"/>
        <w:ind w:firstLine="480" w:firstLineChars="200"/>
        <w:rPr>
          <w:bCs/>
          <w:color w:val="000000"/>
          <w:sz w:val="24"/>
        </w:rPr>
      </w:pPr>
      <w:r>
        <w:rPr>
          <w:bCs/>
          <w:color w:val="000000"/>
          <w:sz w:val="24"/>
        </w:rPr>
        <w:t>联系电话：</w:t>
      </w:r>
      <w:r>
        <w:rPr>
          <w:rFonts w:hint="eastAsia"/>
          <w:bCs/>
          <w:color w:val="000000"/>
          <w:sz w:val="24"/>
        </w:rPr>
        <w:t>021-38676999</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207"/>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（二）</w:t>
      </w:r>
      <w:r>
        <w:rPr>
          <w:rFonts w:asciiTheme="minorEastAsia" w:eastAsiaTheme="minorEastAsia" w:hAnsiTheme="minorEastAsia"/>
          <w:bCs/>
          <w:color w:val="000000"/>
          <w:sz w:val="24"/>
          <w:szCs w:val="24"/>
        </w:rPr>
        <w:tab/>
        <w:t>基金管理人的权利与义务</w:t>
      </w:r>
      <w:bookmarkEnd w:id="208"/>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1、根据《基金法》、《运作办法》及其他有关规定，基金管理人的权利包括但不限于：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（1）自《</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》生效之日起，根据法律法规和《</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》独立运用并管理</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（2）依照《</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》收取</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管理费以及法律法规规定或中国证监会批准的其他费用；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（3）销售基金份额；</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w:t>
      </w:r>
      <w:bookmarkStart w:id="212" w:name="_Hlt88896155"/>
      <w:r>
        <w:rPr>
          <w:rFonts w:asciiTheme="minorEastAsia" w:eastAsiaTheme="minorEastAsia" w:hAnsiTheme="minorEastAsia" w:hint="eastAsia"/>
          <w:bCs/>
          <w:color w:val="000000"/>
          <w:sz w:val="24"/>
          <w:szCs w:val="24"/>
        </w:rPr>
        <w:t>按照规定</w:t>
      </w:r>
      <w:r>
        <w:rPr>
          <w:rFonts w:asciiTheme="minorEastAsia" w:eastAsiaTheme="minorEastAsia" w:hAnsiTheme="minorEastAsia"/>
          <w:bCs/>
          <w:color w:val="000000"/>
          <w:sz w:val="24"/>
          <w:szCs w:val="24"/>
        </w:rPr>
        <w:t>召集</w:t>
      </w:r>
      <w:bookmarkEnd w:id="212"/>
      <w:r>
        <w:rPr>
          <w:rFonts w:asciiTheme="minorEastAsia" w:eastAsiaTheme="minorEastAsia" w:hAnsiTheme="minorEastAsia"/>
          <w:bCs/>
          <w:color w:val="000000"/>
          <w:sz w:val="24"/>
          <w:szCs w:val="24"/>
        </w:rPr>
        <w:t>基金份额持有人大会；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（5）依据《</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》及有关法律规定监督基金托管人，如认为基金托管人违反了《</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》及国家有关法律规定，应呈报中国证监会和其他监管部门，并采取必要措施保护</w:t>
      </w:r>
      <w:r>
        <w:rPr>
          <w:rFonts w:asciiTheme="minorEastAsia" w:eastAsiaTheme="minorEastAsia" w:hAnsiTheme="minorEastAsia" w:hint="eastAsia"/>
          <w:bCs/>
          <w:color w:val="000000"/>
          <w:sz w:val="24"/>
          <w:szCs w:val="24"/>
        </w:rPr>
        <w:t>基金投资者</w:t>
      </w:r>
      <w:r>
        <w:rPr>
          <w:rFonts w:asciiTheme="minorEastAsia" w:eastAsiaTheme="minorEastAsia" w:hAnsiTheme="minorEastAsia"/>
          <w:bCs/>
          <w:color w:val="000000"/>
          <w:sz w:val="24"/>
          <w:szCs w:val="24"/>
        </w:rPr>
        <w:t>的利益；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（6）在基金托管人更换时，提名新的基金托管人；</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（7）选择、更换</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销售机构，对</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 xml:space="preserve">销售机构的相关行为进行监督和处理； </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（8）担任或委托其他符合条件的机构担任</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登记机构办理</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 xml:space="preserve">登记业务并获得《基金合同》规定的费用； </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（9）依据《基金合同》及有关法律规定决定</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收益的分配方案；</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 xml:space="preserve">（10）在《基金合同》约定的范围内，拒绝或暂停受理申购与赎回申请； </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（11）依照法律法规为</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的利益对被投资公司行使股东权利，为</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的利益行使因基金财产投资于证券所产生的权利；</w:t>
      </w:r>
      <w:r>
        <w:rPr>
          <w:rFonts w:asciiTheme="minorEastAsia" w:eastAsiaTheme="minorEastAsia" w:hAnsiTheme="minorEastAsia"/>
          <w:bCs/>
          <w:color w:val="000000"/>
          <w:sz w:val="24"/>
          <w:szCs w:val="24"/>
        </w:rPr>
        <w:tab/>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（12）在法律法规允许的前提下，为</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的利益依法为</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进行融资；</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（13）以基金管理人的名义，代表基金份额持有人的利益行使诉讼权利或者实施其他法律行为；</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1</w:t>
      </w:r>
      <w:r>
        <w:rPr>
          <w:rFonts w:asciiTheme="minorEastAsia" w:eastAsiaTheme="minorEastAsia" w:hAnsiTheme="minorEastAsia"/>
          <w:bCs/>
          <w:color w:val="000000"/>
          <w:sz w:val="24"/>
          <w:szCs w:val="24"/>
        </w:rPr>
        <w:t>4）选择、更换律师事务所、会计师事务所、证券经纪商</w:t>
      </w:r>
      <w:r>
        <w:rPr>
          <w:rFonts w:asciiTheme="minorEastAsia" w:eastAsiaTheme="minorEastAsia" w:hAnsiTheme="minorEastAsia" w:hint="eastAsia"/>
          <w:bCs/>
          <w:color w:val="000000"/>
          <w:sz w:val="24"/>
          <w:szCs w:val="24"/>
        </w:rPr>
        <w:t>、期货经纪机构</w:t>
      </w:r>
      <w:r>
        <w:rPr>
          <w:rFonts w:asciiTheme="minorEastAsia" w:eastAsiaTheme="minorEastAsia" w:hAnsiTheme="minorEastAsia"/>
          <w:bCs/>
          <w:color w:val="000000"/>
          <w:sz w:val="24"/>
          <w:szCs w:val="24"/>
        </w:rPr>
        <w:t>或其他为</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提供服务的外部机构；</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（15）在符合有关法律、法规的前提下，制订和调整有关</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申购、赎回、转换和</w:t>
      </w:r>
      <w:r>
        <w:rPr>
          <w:rFonts w:asciiTheme="minorEastAsia" w:eastAsiaTheme="minorEastAsia" w:hAnsiTheme="minorEastAsia"/>
          <w:bCs/>
          <w:color w:val="000000"/>
          <w:sz w:val="24"/>
          <w:szCs w:val="24"/>
        </w:rPr>
        <w:t>非交易</w:t>
      </w:r>
      <w:r>
        <w:rPr>
          <w:rFonts w:asciiTheme="minorEastAsia" w:eastAsiaTheme="minorEastAsia" w:hAnsiTheme="minorEastAsia"/>
          <w:bCs/>
          <w:color w:val="000000"/>
          <w:sz w:val="24"/>
          <w:szCs w:val="24"/>
        </w:rPr>
        <w:t>过户的业务规则；</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（16）法律法规及中国证监会规定的和《基金合同》约定的其他权利。</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2、根据《基金法》、《运作办法》及其他有关规定，基金管理人的义务包括但不限于：</w:t>
      </w:r>
    </w:p>
    <w:p w:rsidR="00AA3326">
      <w:pPr>
        <w:spacing w:line="440" w:lineRule="atLeast"/>
        <w:ind w:firstLine="480" w:firstLineChars="200"/>
        <w:rPr>
          <w:rFonts w:asciiTheme="minorEastAsia" w:eastAsiaTheme="minorEastAsia" w:hAnsiTheme="minorEastAsia" w:hint="eastAsia"/>
          <w:bCs/>
          <w:color w:val="000000"/>
          <w:sz w:val="24"/>
          <w:szCs w:val="24"/>
        </w:rPr>
      </w:pPr>
      <w:bookmarkStart w:id="213" w:name="_Toc523711669"/>
      <w:r>
        <w:rPr>
          <w:rFonts w:asciiTheme="minorEastAsia" w:eastAsiaTheme="minorEastAsia" w:hAnsiTheme="minorEastAsia"/>
          <w:bCs/>
          <w:color w:val="000000"/>
          <w:sz w:val="24"/>
          <w:szCs w:val="24"/>
        </w:rPr>
        <w:t>（1）办理或者委托经中国证监会认定的其他机构代为办理基金份额的申购、赎回和登记事宜；</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（2）办理</w:t>
      </w:r>
      <w:r>
        <w:rPr>
          <w:rFonts w:asciiTheme="minorEastAsia" w:eastAsiaTheme="minorEastAsia" w:hAnsiTheme="minorEastAsia" w:hint="eastAsia"/>
          <w:bCs/>
          <w:color w:val="000000"/>
          <w:sz w:val="24"/>
          <w:szCs w:val="24"/>
        </w:rPr>
        <w:t>基金备案手续</w:t>
      </w:r>
      <w:r>
        <w:rPr>
          <w:rFonts w:asciiTheme="minorEastAsia" w:eastAsiaTheme="minorEastAsia" w:hAnsiTheme="minorEastAsia"/>
          <w:bCs/>
          <w:color w:val="000000"/>
          <w:sz w:val="24"/>
          <w:szCs w:val="24"/>
        </w:rPr>
        <w:t>；</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（3）自《基金合同》生效之日起，以诚实信用、谨慎勤勉的原则管理和运用基金财产；</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（4）配备足够的具有专业资格的人员进行</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投资分析、决策，以专业化的经营方式管理和运作</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（5）建立健全内部风险控制、监察与稽核、财务管理及人事管理等制度，保证所管理的基金财产和基金管理人的财产相互独立</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对所管理的不同</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分别管理，分别记账，进行证券投资；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（6）除依据《基金法》、《基金合同》及其他有关规定外</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不得利用基金财产为自己及任何第三人谋取利益，不得委托第三人运作基金财产；</w:t>
      </w:r>
      <w:bookmarkStart w:id="214" w:name="_Hlt88897298"/>
      <w:bookmarkEnd w:id="214"/>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（7）依法接受基金托管人的监督；</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（8）采取适当合理的措施使计算基金份额申购、赎回和注销价格的方法符合《基金合同》等法律文件的规定，按有关规定计算并公告</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净值</w:t>
      </w:r>
      <w:r>
        <w:rPr>
          <w:rFonts w:asciiTheme="minorEastAsia" w:eastAsiaTheme="minorEastAsia" w:hAnsiTheme="minorEastAsia" w:hint="eastAsia"/>
          <w:bCs/>
          <w:color w:val="000000"/>
          <w:sz w:val="24"/>
          <w:szCs w:val="24"/>
        </w:rPr>
        <w:t>信息</w:t>
      </w:r>
      <w:r>
        <w:rPr>
          <w:rFonts w:asciiTheme="minorEastAsia" w:eastAsiaTheme="minorEastAsia" w:hAnsiTheme="minorEastAsia"/>
          <w:bCs/>
          <w:color w:val="000000"/>
          <w:sz w:val="24"/>
          <w:szCs w:val="24"/>
        </w:rPr>
        <w:t>，确定基金份额申购、赎回的价格；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（9）进行</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会计核算并编制</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财务会计报告；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（10）编制季度</w:t>
      </w:r>
      <w:r>
        <w:rPr>
          <w:rFonts w:asciiTheme="minorEastAsia" w:eastAsiaTheme="minorEastAsia" w:hAnsiTheme="minorEastAsia" w:hint="eastAsia"/>
          <w:bCs/>
          <w:color w:val="000000"/>
          <w:sz w:val="24"/>
          <w:szCs w:val="24"/>
        </w:rPr>
        <w:t>报告</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中期</w:t>
      </w:r>
      <w:r>
        <w:rPr>
          <w:rFonts w:asciiTheme="minorEastAsia" w:eastAsiaTheme="minorEastAsia" w:hAnsiTheme="minorEastAsia"/>
          <w:bCs/>
          <w:color w:val="000000"/>
          <w:sz w:val="24"/>
          <w:szCs w:val="24"/>
        </w:rPr>
        <w:t>报告和年度报告；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（11）严格按照《基金法》、《基金合同》及其他有关规定，履行信息披露及报告义务；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（12）保守</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商业秘密，不泄露</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投资计划、投资意向等。除《基金法》、《基金合同》及其他有关规定另有规定外，在</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信息公开披露前应予保密，不向他人泄露</w:t>
      </w:r>
      <w:r>
        <w:rPr>
          <w:rFonts w:asciiTheme="minorEastAsia" w:eastAsiaTheme="minorEastAsia" w:hAnsiTheme="minorEastAsia" w:hint="eastAsia"/>
          <w:bCs/>
          <w:color w:val="000000"/>
          <w:sz w:val="24"/>
          <w:szCs w:val="24"/>
        </w:rPr>
        <w:t>，因向审计、法律等外部专业顾问提供的情况除外</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（13）按《基金合同》的约定确定</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收益分配方案，及时向基金份额持有人分配</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收益；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（14）按规定受理申购与赎回申请，及时、足额支付赎回款项；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（15）依据《基金法》、《基金合同》及其他有关规定召集基金份额持有人大会或配合基金托管人、基金份额持有人依法召集基金份额持有人大会；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（16）按规定保存基金</w:t>
      </w:r>
      <w:r>
        <w:rPr>
          <w:rFonts w:asciiTheme="minorEastAsia" w:eastAsiaTheme="minorEastAsia" w:hAnsiTheme="minorEastAsia" w:hint="eastAsia"/>
          <w:bCs/>
          <w:color w:val="000000"/>
          <w:sz w:val="24"/>
          <w:szCs w:val="24"/>
        </w:rPr>
        <w:t>资产</w:t>
      </w:r>
      <w:r>
        <w:rPr>
          <w:rFonts w:asciiTheme="minorEastAsia" w:eastAsiaTheme="minorEastAsia" w:hAnsiTheme="minorEastAsia"/>
          <w:bCs/>
          <w:color w:val="000000"/>
          <w:sz w:val="24"/>
          <w:szCs w:val="24"/>
        </w:rPr>
        <w:t>管理业务活动的会计账册、报表、记录和其他相关资料</w:t>
      </w:r>
      <w:r>
        <w:rPr>
          <w:rFonts w:asciiTheme="minorEastAsia" w:eastAsiaTheme="minorEastAsia" w:hAnsiTheme="minorEastAsia" w:hint="eastAsia"/>
          <w:bCs/>
          <w:color w:val="000000"/>
          <w:sz w:val="24"/>
          <w:szCs w:val="24"/>
        </w:rPr>
        <w:t>不低于法律法规规定的最低期限</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（17）确保需要向</w:t>
      </w:r>
      <w:r>
        <w:rPr>
          <w:rFonts w:asciiTheme="minorEastAsia" w:eastAsiaTheme="minorEastAsia" w:hAnsiTheme="minorEastAsia" w:hint="eastAsia"/>
          <w:bCs/>
          <w:color w:val="000000"/>
          <w:sz w:val="24"/>
          <w:szCs w:val="24"/>
        </w:rPr>
        <w:t>基金投资者</w:t>
      </w:r>
      <w:r>
        <w:rPr>
          <w:rFonts w:asciiTheme="minorEastAsia" w:eastAsiaTheme="minorEastAsia" w:hAnsiTheme="minorEastAsia"/>
          <w:bCs/>
          <w:color w:val="000000"/>
          <w:sz w:val="24"/>
          <w:szCs w:val="24"/>
        </w:rPr>
        <w:t>提供的各项文件或资料在规定时间发出，并且保证投资者能够按照《基金合同》规定的时间和方式，随时查阅到与</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有关的公开资料，并在支付合理成本的条件下得到有关资料的复印件；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（18）组织并参加基金财产清算小组，参与</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的保管、清理、估价、变现和分配；</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（19）面临解散、依法被撤销或者被依法宣告破产时，及时报告中国证监会并通知基金托管人；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（20）因违反《基金合同》导致</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的损失或损害基金份额持有人合法权益时，应当承担赔偿责任，其赔偿责任不因其退任而免除；</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（21）监督基金托管人按法律法规和《基金合同》规定履行自己的义务，基金托管人违反《基金合同》造成</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损失时，基金管理人应为基金份额持有人利益向基金托管人追偿；</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（22）当基金管理人将其义务委托第三方处理时，应当对第三方处理有关</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事务的行为承担责任；</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（23）以基金管理人名义，代表基金份额持有人利益行使诉讼权利或实施其他法律行为；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（24）</w:t>
      </w:r>
      <w:bookmarkStart w:id="215" w:name="_Hlt88823209"/>
      <w:bookmarkEnd w:id="215"/>
      <w:r>
        <w:rPr>
          <w:rFonts w:asciiTheme="minorEastAsia" w:eastAsiaTheme="minorEastAsia" w:hAnsiTheme="minorEastAsia"/>
          <w:bCs/>
          <w:color w:val="000000"/>
          <w:sz w:val="24"/>
          <w:szCs w:val="24"/>
        </w:rPr>
        <w:t>执行生效的基金份额持有人大会的</w:t>
      </w:r>
      <w:r>
        <w:rPr>
          <w:rFonts w:asciiTheme="minorEastAsia" w:eastAsiaTheme="minorEastAsia" w:hAnsiTheme="minorEastAsia" w:hint="eastAsia"/>
          <w:bCs/>
          <w:color w:val="000000"/>
          <w:sz w:val="24"/>
          <w:szCs w:val="24"/>
        </w:rPr>
        <w:t>决议</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（25）建立并保存基金份额持有人名册；</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（26）法律法规及中国证监会规定的和《基金合同》约定的其他义务。</w:t>
      </w:r>
    </w:p>
    <w:p w:rsidR="00AA3326">
      <w:pPr>
        <w:spacing w:line="360" w:lineRule="auto"/>
        <w:ind w:firstLine="480"/>
        <w:rPr>
          <w:rFonts w:asciiTheme="minorEastAsia" w:cs="宋体" w:eastAsiaTheme="minorEastAsia" w:hAnsiTheme="minorEastAsia" w:hint="eastAsia"/>
          <w:bCs/>
          <w:color w:val="000000"/>
          <w:sz w:val="24"/>
          <w:szCs w:val="24"/>
        </w:rPr>
      </w:pPr>
      <w:bookmarkStart w:id="216" w:name="_Toc15118238"/>
      <w:bookmarkStart w:id="217" w:name="_Toc79392581"/>
      <w:bookmarkStart w:id="218" w:name="_Toc57530240"/>
      <w:r>
        <w:rPr>
          <w:rFonts w:asciiTheme="minorEastAsia" w:cs="宋体" w:eastAsiaTheme="minorEastAsia" w:hAnsiTheme="minorEastAsia"/>
          <w:bCs/>
          <w:color w:val="000000"/>
          <w:sz w:val="24"/>
          <w:szCs w:val="24"/>
        </w:rPr>
        <w:t>二、</w:t>
      </w:r>
      <w:bookmarkEnd w:id="213"/>
      <w:bookmarkEnd w:id="216"/>
      <w:bookmarkEnd w:id="217"/>
      <w:bookmarkEnd w:id="218"/>
      <w:r>
        <w:rPr>
          <w:rFonts w:asciiTheme="minorEastAsia" w:cs="宋体" w:eastAsiaTheme="minorEastAsia" w:hAnsiTheme="minorEastAsia"/>
          <w:bCs/>
          <w:color w:val="000000"/>
          <w:sz w:val="24"/>
          <w:szCs w:val="24"/>
        </w:rPr>
        <w:t>基金托管人</w:t>
      </w:r>
    </w:p>
    <w:p w:rsidR="00AA3326">
      <w:pPr>
        <w:spacing w:line="360" w:lineRule="auto"/>
        <w:ind w:firstLine="480"/>
        <w:rPr>
          <w:rFonts w:asciiTheme="minorEastAsia" w:cs="宋体" w:eastAsiaTheme="minorEastAsia" w:hAnsiTheme="minorEastAsia" w:hint="eastAsia"/>
          <w:bCs/>
          <w:color w:val="000000"/>
          <w:sz w:val="24"/>
          <w:szCs w:val="24"/>
        </w:rPr>
      </w:pPr>
      <w:bookmarkStart w:id="219" w:name="_Toc15118239"/>
      <w:r>
        <w:rPr>
          <w:rFonts w:asciiTheme="minorEastAsia" w:cs="宋体" w:eastAsiaTheme="minorEastAsia" w:hAnsiTheme="minorEastAsia"/>
          <w:bCs/>
          <w:color w:val="000000"/>
          <w:sz w:val="24"/>
          <w:szCs w:val="24"/>
        </w:rPr>
        <w:t>（一）</w:t>
      </w:r>
      <w:r>
        <w:rPr>
          <w:rFonts w:asciiTheme="minorEastAsia" w:cs="宋体" w:eastAsiaTheme="minorEastAsia" w:hAnsiTheme="minorEastAsia"/>
          <w:bCs/>
          <w:color w:val="000000"/>
          <w:sz w:val="24"/>
          <w:szCs w:val="24"/>
        </w:rPr>
        <w:tab/>
        <w:t>基金托管人简况</w:t>
      </w:r>
      <w:bookmarkEnd w:id="219"/>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名称：中国民生银行股份有限公司</w:t>
      </w:r>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住所：北京市西城区复兴门内大街2号</w:t>
      </w:r>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办公地址：北京市西城区复兴门内大街2号</w:t>
      </w:r>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法定代表人：高迎欣</w:t>
      </w:r>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成立时间：1996年2月7日</w:t>
      </w:r>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批准设立机关和设立文号：中国人民银行银复[1996]14号</w:t>
      </w:r>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基金托管业务批准文号：证</w:t>
      </w:r>
      <w:r>
        <w:rPr>
          <w:rFonts w:ascii="宋体" w:hAnsi="宋体" w:hint="eastAsia"/>
          <w:color w:val="000000"/>
          <w:sz w:val="24"/>
        </w:rPr>
        <w:t>监基金字</w:t>
      </w:r>
      <w:r>
        <w:rPr>
          <w:rFonts w:ascii="宋体" w:hAnsi="宋体" w:hint="eastAsia"/>
          <w:color w:val="000000"/>
          <w:sz w:val="24"/>
        </w:rPr>
        <w:t>［2004］101号</w:t>
      </w:r>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组织形式：其他股份有限公司（上市）</w:t>
      </w:r>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注册资本：</w:t>
      </w:r>
      <w:r>
        <w:rPr>
          <w:rFonts w:ascii="宋体" w:hAnsi="宋体"/>
          <w:bCs/>
          <w:color w:val="000000"/>
          <w:sz w:val="24"/>
        </w:rPr>
        <w:t>43,782,418,502</w:t>
      </w:r>
      <w:r>
        <w:rPr>
          <w:rFonts w:ascii="宋体" w:hAnsi="宋体" w:hint="eastAsia"/>
          <w:color w:val="000000"/>
          <w:sz w:val="24"/>
        </w:rPr>
        <w:t>元人民币</w:t>
      </w:r>
    </w:p>
    <w:p w:rsidR="00AA3326">
      <w:pPr>
        <w:snapToGrid w:val="0"/>
        <w:spacing w:line="360" w:lineRule="auto"/>
        <w:ind w:firstLine="480" w:firstLineChars="200"/>
        <w:rPr>
          <w:rFonts w:ascii="宋体" w:hAnsi="宋体" w:hint="eastAsia"/>
          <w:color w:val="000000"/>
          <w:sz w:val="24"/>
        </w:rPr>
      </w:pPr>
      <w:r>
        <w:rPr>
          <w:rFonts w:ascii="宋体" w:hAnsi="宋体" w:hint="eastAsia"/>
          <w:color w:val="000000"/>
          <w:sz w:val="24"/>
        </w:rPr>
        <w:t>存续期间：</w:t>
      </w:r>
      <w:r>
        <w:rPr>
          <w:rFonts w:ascii="宋体" w:cs="Arial" w:hAnsi="宋体" w:hint="eastAsia"/>
          <w:color w:val="000000"/>
          <w:sz w:val="24"/>
        </w:rPr>
        <w:t>1996年02月07日至长期</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20" w:name="_Toc15118240"/>
      <w:r>
        <w:rPr>
          <w:rFonts w:asciiTheme="minorEastAsia" w:eastAsiaTheme="minorEastAsia" w:hAnsiTheme="minorEastAsia"/>
          <w:bCs/>
          <w:color w:val="000000"/>
          <w:sz w:val="24"/>
          <w:szCs w:val="24"/>
        </w:rPr>
        <w:t>（二）</w:t>
      </w:r>
      <w:r>
        <w:rPr>
          <w:rFonts w:asciiTheme="minorEastAsia" w:eastAsiaTheme="minorEastAsia" w:hAnsiTheme="minorEastAsia"/>
          <w:bCs/>
          <w:color w:val="000000"/>
          <w:sz w:val="24"/>
          <w:szCs w:val="24"/>
        </w:rPr>
        <w:tab/>
        <w:t>基金托管人的权利与义务</w:t>
      </w:r>
      <w:bookmarkEnd w:id="220"/>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1、根据《基金法》、《运作办法》及其他有关规定，基金托管人的权利包括但不限于：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（1）自《基金合同》生效之日起，依法</w:t>
      </w:r>
      <w:r>
        <w:rPr>
          <w:rFonts w:asciiTheme="minorEastAsia" w:eastAsiaTheme="minorEastAsia" w:hAnsiTheme="minorEastAsia"/>
          <w:bCs/>
          <w:color w:val="000000"/>
          <w:sz w:val="24"/>
          <w:szCs w:val="24"/>
        </w:rPr>
        <w:t>律法规</w:t>
      </w:r>
      <w:r>
        <w:rPr>
          <w:rFonts w:asciiTheme="minorEastAsia" w:eastAsiaTheme="minorEastAsia" w:hAnsiTheme="minorEastAsia"/>
          <w:bCs/>
          <w:color w:val="000000"/>
          <w:sz w:val="24"/>
          <w:szCs w:val="24"/>
        </w:rPr>
        <w:t>和《基金合同》的规定安全保管</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（2）依《基金合同》约定获得</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托管费以及法律法规规定或监管部门批准的其他费用；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（3）监督基金管理人对本基金的投资运作，如发现基金管理人有违反《基金合同》及国家法律法规行为，对</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、其他当事人的利益造成重大损失的情形，应呈报中国证监会，并采取必要措施保护投资者的利益；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（4）根据相关市场规则，为</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开设</w:t>
      </w:r>
      <w:r>
        <w:rPr>
          <w:rFonts w:asciiTheme="minorEastAsia" w:eastAsiaTheme="minorEastAsia" w:hAnsiTheme="minorEastAsia" w:hint="eastAsia"/>
          <w:bCs/>
          <w:color w:val="000000"/>
          <w:sz w:val="24"/>
          <w:szCs w:val="24"/>
        </w:rPr>
        <w:t>资金账户、</w:t>
      </w:r>
      <w:bookmarkStart w:id="221" w:name="OLE_LINK36"/>
      <w:bookmarkStart w:id="222" w:name="OLE_LINK38"/>
      <w:bookmarkStart w:id="223" w:name="OLE_LINK37"/>
      <w:r>
        <w:rPr>
          <w:rFonts w:asciiTheme="minorEastAsia" w:eastAsiaTheme="minorEastAsia" w:hAnsiTheme="minorEastAsia"/>
          <w:bCs/>
          <w:color w:val="000000"/>
          <w:sz w:val="24"/>
          <w:szCs w:val="24"/>
        </w:rPr>
        <w:t>证券</w:t>
      </w:r>
      <w:r>
        <w:rPr>
          <w:rFonts w:asciiTheme="minorEastAsia" w:eastAsiaTheme="minorEastAsia" w:hAnsiTheme="minorEastAsia" w:hint="eastAsia"/>
          <w:bCs/>
          <w:color w:val="000000"/>
          <w:sz w:val="24"/>
          <w:szCs w:val="24"/>
        </w:rPr>
        <w:t>账户</w:t>
      </w:r>
      <w:bookmarkEnd w:id="221"/>
      <w:bookmarkEnd w:id="222"/>
      <w:bookmarkEnd w:id="223"/>
      <w:r>
        <w:rPr>
          <w:rFonts w:asciiTheme="minorEastAsia" w:eastAsiaTheme="minorEastAsia" w:hAnsiTheme="minorEastAsia" w:hint="eastAsia"/>
          <w:bCs/>
          <w:color w:val="000000"/>
          <w:sz w:val="24"/>
          <w:szCs w:val="24"/>
        </w:rPr>
        <w:t>等投资所需账户</w:t>
      </w:r>
      <w:r>
        <w:rPr>
          <w:rFonts w:asciiTheme="minorEastAsia" w:eastAsiaTheme="minorEastAsia" w:hAnsiTheme="minorEastAsia"/>
          <w:bCs/>
          <w:color w:val="000000"/>
          <w:sz w:val="24"/>
          <w:szCs w:val="24"/>
        </w:rPr>
        <w:t>、</w:t>
      </w:r>
      <w:r>
        <w:rPr>
          <w:rFonts w:asciiTheme="minorEastAsia" w:eastAsiaTheme="minorEastAsia" w:hAnsiTheme="minorEastAsia"/>
          <w:bCs/>
          <w:color w:val="000000"/>
          <w:sz w:val="24"/>
          <w:szCs w:val="24"/>
        </w:rPr>
        <w:t>为</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办理证券</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期货交易资金清算</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（5）提议召开或召集基金份额持有人大会；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（6）在基金管理人更换时，提名新的基金管理人；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w:t>
      </w:r>
      <w:r>
        <w:rPr>
          <w:rFonts w:asciiTheme="minorEastAsia" w:eastAsiaTheme="minorEastAsia" w:hAnsiTheme="minorEastAsia" w:hint="eastAsia"/>
          <w:bCs/>
          <w:color w:val="000000"/>
          <w:sz w:val="24"/>
          <w:szCs w:val="24"/>
        </w:rPr>
        <w:t>法律法规及中国证监会规定的和《基金合同》约定的其他</w:t>
      </w:r>
      <w:r>
        <w:rPr>
          <w:rFonts w:asciiTheme="minorEastAsia" w:eastAsiaTheme="minorEastAsia" w:hAnsiTheme="minorEastAsia"/>
          <w:bCs/>
          <w:color w:val="000000"/>
          <w:sz w:val="24"/>
          <w:szCs w:val="24"/>
        </w:rPr>
        <w:t>权利。</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2、根据《基金法》、《运作办法》及其他有关规定，基金托管人的义务包括但不限于：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（1）以诚实信用、勤勉尽责的原则持有并安全保管</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（2）设立专门的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托管部门，具有符合要求的营业场所，配备足够的、合格的熟悉</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托管业务的专职人员，负责</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托管事宜；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（3）建立健全内部风险控制、监察与稽核、财务管理及人事管理等制度，确保</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的安全，保证其托管的</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与基金托管人自有财产以及不同的</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相互独立；对所托管的不同的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分别设置账户，独立核算，分账管理，保证不同</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之间在账户设置、资金划拨、账册记录等方面相互独立；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（4）除依据《基金法》、《基金合同》及其他有关规定外，不得利用</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为自己及任何第三人谋取利益，不得委托第三人托管</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（5）保管由基金管理人代表</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签订的与</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有关的重大合同及有关凭证；</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（6）按规定开设</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的资金账户和证券账户</w:t>
      </w:r>
      <w:r>
        <w:rPr>
          <w:rFonts w:asciiTheme="minorEastAsia" w:eastAsiaTheme="minorEastAsia" w:hAnsiTheme="minorEastAsia" w:hint="eastAsia"/>
          <w:bCs/>
          <w:color w:val="000000"/>
          <w:sz w:val="24"/>
          <w:szCs w:val="24"/>
        </w:rPr>
        <w:t>等投资所需账户</w:t>
      </w:r>
      <w:r>
        <w:rPr>
          <w:rFonts w:asciiTheme="minorEastAsia" w:eastAsiaTheme="minorEastAsia" w:hAnsiTheme="minorEastAsia"/>
          <w:bCs/>
          <w:color w:val="000000"/>
          <w:sz w:val="24"/>
          <w:szCs w:val="24"/>
        </w:rPr>
        <w:t>，按照《基金合同》的约定，根据基金管理人的投资指令</w:t>
      </w:r>
      <w:r>
        <w:rPr>
          <w:rFonts w:asciiTheme="minorEastAsia" w:eastAsiaTheme="minorEastAsia" w:hAnsiTheme="minorEastAsia" w:hint="eastAsia"/>
          <w:bCs/>
          <w:color w:val="000000"/>
          <w:sz w:val="24"/>
          <w:szCs w:val="24"/>
        </w:rPr>
        <w:t>或登记结算机构业务规则</w:t>
      </w:r>
      <w:r>
        <w:rPr>
          <w:rFonts w:asciiTheme="minorEastAsia" w:eastAsiaTheme="minorEastAsia" w:hAnsiTheme="minorEastAsia"/>
          <w:bCs/>
          <w:color w:val="000000"/>
          <w:sz w:val="24"/>
          <w:szCs w:val="24"/>
        </w:rPr>
        <w:t>，及时办理清算、交割事宜；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（7）保守</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商业秘密，除《基金法》、《基金合同》及其他有关规定另有规定外，在</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信息公开披露前予以保密，不得向他人泄露</w:t>
      </w:r>
      <w:r>
        <w:rPr>
          <w:rFonts w:ascii="宋体" w:hAnsi="宋体" w:hint="eastAsia"/>
          <w:bCs/>
          <w:color w:val="000000"/>
          <w:sz w:val="24"/>
          <w:szCs w:val="24"/>
        </w:rPr>
        <w:t>，因向审计、法律等外部专业顾问提供的情况除外</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（8）复核、审查基金管理人计算的基金资产净值、</w:t>
      </w:r>
      <w:r>
        <w:rPr>
          <w:rFonts w:asciiTheme="minorEastAsia" w:eastAsiaTheme="minorEastAsia" w:hAnsiTheme="minorEastAsia" w:hint="eastAsia"/>
          <w:bCs/>
          <w:color w:val="000000"/>
          <w:sz w:val="24"/>
          <w:szCs w:val="24"/>
        </w:rPr>
        <w:t>各类基金份额</w:t>
      </w:r>
      <w:r>
        <w:rPr>
          <w:rFonts w:asciiTheme="minorEastAsia" w:eastAsiaTheme="minorEastAsia" w:hAnsiTheme="minorEastAsia"/>
          <w:bCs/>
          <w:color w:val="000000"/>
          <w:sz w:val="24"/>
          <w:szCs w:val="24"/>
        </w:rPr>
        <w:t>净值、基金份额申购、赎回价格；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（9）办理与</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托管业务活动有关的信息披露事项；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（10）对</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财务会计报告、</w:t>
      </w:r>
      <w:r>
        <w:rPr>
          <w:rFonts w:asciiTheme="minorEastAsia" w:eastAsiaTheme="minorEastAsia" w:hAnsiTheme="minorEastAsia" w:hint="eastAsia"/>
          <w:bCs/>
          <w:color w:val="000000"/>
          <w:sz w:val="24"/>
          <w:szCs w:val="24"/>
        </w:rPr>
        <w:t>季度报告、中期</w:t>
      </w:r>
      <w:r>
        <w:rPr>
          <w:rFonts w:asciiTheme="minorEastAsia" w:eastAsiaTheme="minorEastAsia" w:hAnsiTheme="minorEastAsia"/>
          <w:bCs/>
          <w:color w:val="000000"/>
          <w:sz w:val="24"/>
          <w:szCs w:val="24"/>
        </w:rPr>
        <w:t>报告和年度报告出具意见，说明基金管理人在各重要方面的运作是否严格按照《基金合同》的规定进行；如果基金管理人有未执行《基金合同》规定的行为，还应当说明基金托管人是否采取了适当的措施；</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（11）保存</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托管业务活动的记录、账册、报表和其他相关资料不低于法律法规规定的最低期限；</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（12）建立并保存基金份额持有人名册；</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（13）按规定制作相关账册并与基金管理人核对；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（14）依据基金管理人的指令或有关规定向基金份额持有人支付</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收益和赎回款项；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（15）依据《基金法》、《基金合同》及其他有关规定，召集基金份额持有人大会或配合</w:t>
      </w:r>
      <w:r>
        <w:rPr>
          <w:rFonts w:asciiTheme="minorEastAsia" w:eastAsiaTheme="minorEastAsia" w:hAnsiTheme="minorEastAsia" w:hint="eastAsia"/>
          <w:bCs/>
          <w:color w:val="000000"/>
          <w:sz w:val="24"/>
          <w:szCs w:val="24"/>
        </w:rPr>
        <w:t>基金管理人、</w:t>
      </w:r>
      <w:r>
        <w:rPr>
          <w:rFonts w:asciiTheme="minorEastAsia" w:eastAsiaTheme="minorEastAsia" w:hAnsiTheme="minorEastAsia"/>
          <w:bCs/>
          <w:color w:val="000000"/>
          <w:sz w:val="24"/>
          <w:szCs w:val="24"/>
        </w:rPr>
        <w:t>基金份额持有人依法召集基金份额持有人大会；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（16）按照法律法规和《基金合同》</w:t>
      </w:r>
      <w:r>
        <w:rPr>
          <w:rFonts w:asciiTheme="minorEastAsia" w:eastAsiaTheme="minorEastAsia" w:hAnsiTheme="minorEastAsia" w:hint="eastAsia"/>
          <w:bCs/>
          <w:color w:val="000000"/>
          <w:sz w:val="24"/>
          <w:szCs w:val="24"/>
        </w:rPr>
        <w:t>、托管协议</w:t>
      </w:r>
      <w:r>
        <w:rPr>
          <w:rFonts w:asciiTheme="minorEastAsia" w:eastAsiaTheme="minorEastAsia" w:hAnsiTheme="minorEastAsia"/>
          <w:bCs/>
          <w:color w:val="000000"/>
          <w:sz w:val="24"/>
          <w:szCs w:val="24"/>
        </w:rPr>
        <w:t>的规定监督基金管理人的投资运作；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（17）参加</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清算小组，参与</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的保管、清理、估价、变现和分配；</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（18）面临解散、依法被撤销或者被依法宣告破产时，及时报告中国证监会和银行</w:t>
      </w:r>
      <w:r>
        <w:rPr>
          <w:rFonts w:asciiTheme="minorEastAsia" w:eastAsiaTheme="minorEastAsia" w:hAnsiTheme="minorEastAsia" w:hint="eastAsia"/>
          <w:bCs/>
          <w:color w:val="000000"/>
          <w:sz w:val="24"/>
          <w:szCs w:val="24"/>
        </w:rPr>
        <w:t>业</w:t>
      </w:r>
      <w:r>
        <w:rPr>
          <w:rFonts w:asciiTheme="minorEastAsia" w:eastAsiaTheme="minorEastAsia" w:hAnsiTheme="minorEastAsia"/>
          <w:bCs/>
          <w:color w:val="000000"/>
          <w:sz w:val="24"/>
          <w:szCs w:val="24"/>
        </w:rPr>
        <w:t>监</w:t>
      </w:r>
      <w:r>
        <w:rPr>
          <w:rFonts w:asciiTheme="minorEastAsia" w:eastAsiaTheme="minorEastAsia" w:hAnsiTheme="minorEastAsia" w:hint="eastAsia"/>
          <w:bCs/>
          <w:color w:val="000000"/>
          <w:sz w:val="24"/>
          <w:szCs w:val="24"/>
        </w:rPr>
        <w:t>督管理</w:t>
      </w:r>
      <w:r>
        <w:rPr>
          <w:rFonts w:asciiTheme="minorEastAsia" w:eastAsiaTheme="minorEastAsia" w:hAnsiTheme="minorEastAsia"/>
          <w:bCs/>
          <w:color w:val="000000"/>
          <w:sz w:val="24"/>
          <w:szCs w:val="24"/>
        </w:rPr>
        <w:t>机构，并通知基金管理人；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（19）因违反《基金合同》导致</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损失时，应承担赔偿责任，其赔偿责任不因其退任而免除；</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（20）按规定监督基金管理人按法律法规和《基金合同》规定履行自己的义务，基金管理人因违反《基金合同》造成</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损失时，应为基金份额持有人利益向基金管理人追偿</w:t>
      </w:r>
      <w:bookmarkStart w:id="224" w:name="_Hlt88825668"/>
      <w:bookmarkEnd w:id="224"/>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（21）执行生效的基金份额持有人大会的决</w:t>
      </w:r>
      <w:r>
        <w:rPr>
          <w:rFonts w:asciiTheme="minorEastAsia" w:eastAsiaTheme="minorEastAsia" w:hAnsiTheme="minorEastAsia" w:hint="eastAsia"/>
          <w:bCs/>
          <w:color w:val="000000"/>
          <w:sz w:val="24"/>
          <w:szCs w:val="24"/>
        </w:rPr>
        <w:t>议</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（22）</w:t>
      </w:r>
      <w:bookmarkStart w:id="225" w:name="_Toc523711670"/>
      <w:r>
        <w:rPr>
          <w:rFonts w:asciiTheme="minorEastAsia" w:eastAsiaTheme="minorEastAsia" w:hAnsiTheme="minorEastAsia"/>
          <w:bCs/>
          <w:color w:val="000000"/>
          <w:sz w:val="24"/>
          <w:szCs w:val="24"/>
        </w:rPr>
        <w:t>法律法规及中国证监会规定的和《基金合同》约定的其他义务。</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26" w:name="_Toc79392582"/>
      <w:bookmarkEnd w:id="225"/>
      <w:r>
        <w:rPr>
          <w:rFonts w:asciiTheme="minorEastAsia" w:eastAsiaTheme="minorEastAsia" w:hAnsiTheme="minorEastAsia"/>
          <w:bCs/>
          <w:color w:val="000000"/>
          <w:sz w:val="24"/>
          <w:szCs w:val="24"/>
        </w:rPr>
        <w:t>三、</w:t>
      </w:r>
      <w:bookmarkEnd w:id="226"/>
      <w:r>
        <w:rPr>
          <w:rFonts w:asciiTheme="minorEastAsia" w:eastAsiaTheme="minorEastAsia" w:hAnsiTheme="minorEastAsia"/>
          <w:bCs/>
          <w:color w:val="000000"/>
          <w:sz w:val="24"/>
          <w:szCs w:val="24"/>
        </w:rPr>
        <w:t>基金份额持有人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投资者</w:t>
      </w:r>
      <w:r>
        <w:rPr>
          <w:rFonts w:asciiTheme="minorEastAsia" w:eastAsiaTheme="minorEastAsia" w:hAnsiTheme="minorEastAsia" w:hint="eastAsia"/>
          <w:bCs/>
          <w:color w:val="000000"/>
          <w:sz w:val="24"/>
          <w:szCs w:val="24"/>
        </w:rPr>
        <w:t>持有</w:t>
      </w:r>
      <w:r>
        <w:rPr>
          <w:rFonts w:asciiTheme="minorEastAsia" w:eastAsiaTheme="minorEastAsia" w:hAnsiTheme="minorEastAsia"/>
          <w:bCs/>
          <w:color w:val="000000"/>
          <w:sz w:val="24"/>
          <w:szCs w:val="24"/>
        </w:rPr>
        <w:t>本</w:t>
      </w:r>
      <w:bookmarkStart w:id="227" w:name="_Hlt88899909"/>
      <w:bookmarkEnd w:id="227"/>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份额的行为即视为对《基金合同》的承认和接受，投资者</w:t>
      </w:r>
      <w:r>
        <w:rPr>
          <w:rFonts w:asciiTheme="minorEastAsia" w:eastAsiaTheme="minorEastAsia" w:hAnsiTheme="minorEastAsia"/>
          <w:bCs/>
          <w:color w:val="000000"/>
          <w:sz w:val="24"/>
          <w:szCs w:val="24"/>
        </w:rPr>
        <w:t>自依据</w:t>
      </w:r>
      <w:r>
        <w:rPr>
          <w:rFonts w:asciiTheme="minorEastAsia" w:eastAsiaTheme="minorEastAsia" w:hAnsiTheme="minorEastAsia"/>
          <w:bCs/>
          <w:color w:val="000000"/>
          <w:sz w:val="24"/>
          <w:szCs w:val="24"/>
        </w:rPr>
        <w:t>《基金合同》取得基金份额，即成为本</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份额持有人和《基金合同》的当事人，直至其不再持有本基金</w:t>
      </w:r>
      <w:r>
        <w:rPr>
          <w:rFonts w:asciiTheme="minorEastAsia" w:eastAsiaTheme="minorEastAsia" w:hAnsiTheme="minorEastAsia" w:hint="eastAsia"/>
          <w:bCs/>
          <w:color w:val="000000"/>
          <w:sz w:val="24"/>
          <w:szCs w:val="24"/>
        </w:rPr>
        <w:t>的基金</w:t>
      </w:r>
      <w:r>
        <w:rPr>
          <w:rFonts w:asciiTheme="minorEastAsia" w:eastAsiaTheme="minorEastAsia" w:hAnsiTheme="minorEastAsia"/>
          <w:bCs/>
          <w:color w:val="000000"/>
          <w:sz w:val="24"/>
          <w:szCs w:val="24"/>
        </w:rPr>
        <w:t>份额。基金份额持有人作为《基金合同》当事人并不以在《基金合同》上书面签章或签字为必要条件。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同一类别每份基金份额具有同等的合法权益。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1、根据《基金法》、《运作办法》及其他有关规定，基金份额持有人的权利包括但不限于：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（1）分享</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收益；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（2）参与分配清算后的剩余</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w:t>
      </w:r>
      <w:bookmarkStart w:id="228" w:name="_Hlt88825574"/>
      <w:bookmarkEnd w:id="228"/>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（3）依法</w:t>
      </w:r>
      <w:r>
        <w:rPr>
          <w:rFonts w:asciiTheme="minorEastAsia" w:eastAsiaTheme="minorEastAsia" w:hAnsiTheme="minorEastAsia" w:hint="eastAsia"/>
          <w:bCs/>
          <w:color w:val="000000"/>
          <w:sz w:val="24"/>
          <w:szCs w:val="24"/>
        </w:rPr>
        <w:t>转让或者</w:t>
      </w:r>
      <w:r>
        <w:rPr>
          <w:rFonts w:asciiTheme="minorEastAsia" w:eastAsiaTheme="minorEastAsia" w:hAnsiTheme="minorEastAsia"/>
          <w:bCs/>
          <w:color w:val="000000"/>
          <w:sz w:val="24"/>
          <w:szCs w:val="24"/>
        </w:rPr>
        <w:t>申请赎回其持有的基金份额；</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（4）按照规定要求召开基金份额持有人大会或者召集基金份额持有人大会；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（5）出席或者委派代表出席基金份额持有人大会，对基金份额持有人大会审议事项行使表决权；</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（6）查阅或者复制公开披露的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信息资料；</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（7）监督基金管理人的投资运作；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（8）对基金管理人、基金托管人、</w:t>
      </w:r>
      <w:r>
        <w:rPr>
          <w:rFonts w:asciiTheme="minorEastAsia" w:eastAsiaTheme="minorEastAsia" w:hAnsiTheme="minorEastAsia" w:hint="eastAsia"/>
          <w:bCs/>
          <w:color w:val="000000"/>
          <w:sz w:val="24"/>
          <w:szCs w:val="24"/>
        </w:rPr>
        <w:t>基金服务</w:t>
      </w:r>
      <w:r>
        <w:rPr>
          <w:rFonts w:asciiTheme="minorEastAsia" w:eastAsiaTheme="minorEastAsia" w:hAnsiTheme="minorEastAsia"/>
          <w:bCs/>
          <w:color w:val="000000"/>
          <w:sz w:val="24"/>
          <w:szCs w:val="24"/>
        </w:rPr>
        <w:t>机构损害其合法权益的行为依法提起诉讼或仲裁；</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（9）法律法规及中国证监会规定的和《基金合同》约定的其他权利。</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2、根据《基金法》、《运作办法》及其他有关规定，基金份额持有人的义务包括但不限于：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（1）认真阅读并遵守《基金合同》</w:t>
      </w:r>
      <w:r>
        <w:rPr>
          <w:rFonts w:asciiTheme="minorEastAsia" w:eastAsiaTheme="minorEastAsia" w:hAnsiTheme="minorEastAsia" w:hint="eastAsia"/>
          <w:bCs/>
          <w:color w:val="000000"/>
          <w:sz w:val="24"/>
          <w:szCs w:val="24"/>
        </w:rPr>
        <w:t>、招募说明书等信息披露文件</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（2）了解所投资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产品，了解自身风险承受能力，自主判断</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的投资价值，自主做出投资决策，自行承担投资风险；</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（3）关注</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信息披露，及时行使权利和履行义务；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w:t>
      </w:r>
      <w:r>
        <w:rPr>
          <w:rFonts w:asciiTheme="minorEastAsia" w:eastAsiaTheme="minorEastAsia" w:hAnsiTheme="minorEastAsia" w:hint="eastAsia"/>
          <w:bCs/>
          <w:color w:val="000000"/>
          <w:sz w:val="24"/>
          <w:szCs w:val="24"/>
        </w:rPr>
        <w:t>交纳基金</w:t>
      </w:r>
      <w:r>
        <w:rPr>
          <w:rFonts w:asciiTheme="minorEastAsia" w:eastAsiaTheme="minorEastAsia" w:hAnsiTheme="minorEastAsia"/>
          <w:bCs/>
          <w:color w:val="000000"/>
          <w:sz w:val="24"/>
          <w:szCs w:val="24"/>
        </w:rPr>
        <w:t>申购款项及法律法规和《基金合同》所规定的费用；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（5）在其持有的基金份额范围内，承担</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亏损或者《基金合同》终止的有限责任；</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（6）不从事任何有损</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及其他《基金合同》当事人合法权益的活动；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（7）执行生效的基金份额持有人大会的决议；</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（8）返还在</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交易过程中因任何原因获得的不当得利；</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（9）法律法规及中国证监会规定的和《基金合同》约定的其他义务。</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rPr>
        <w:br w:type="page"/>
      </w:r>
      <w:bookmarkStart w:id="229" w:name="_Toc9706"/>
      <w:bookmarkStart w:id="230" w:name="_Toc532487733"/>
      <w:bookmarkStart w:id="231" w:name="_Toc25783"/>
      <w:bookmarkStart w:id="232" w:name="_Toc20768"/>
      <w:bookmarkStart w:id="233" w:name="_Toc7058"/>
      <w:bookmarkStart w:id="234" w:name="_Toc534140371"/>
      <w:bookmarkStart w:id="235" w:name="_Toc3771"/>
      <w:bookmarkStart w:id="236" w:name="_Toc79392583"/>
      <w:bookmarkStart w:id="237" w:name="_Toc4559"/>
      <w:bookmarkStart w:id="238" w:name="_Toc141703888"/>
      <w:bookmarkStart w:id="239" w:name="_Toc207633406"/>
      <w:bookmarkStart w:id="240" w:name="_Toc123051454"/>
      <w:bookmarkStart w:id="241" w:name="_Toc6447"/>
      <w:bookmarkStart w:id="242" w:name="_Toc123112236"/>
      <w:bookmarkStart w:id="243" w:name="_Toc18567"/>
      <w:bookmarkStart w:id="244" w:name="_Toc11030"/>
      <w:bookmarkStart w:id="245" w:name="_Toc98560354"/>
      <w:bookmarkStart w:id="246" w:name="_Toc123102455"/>
      <w:bookmarkStart w:id="247" w:name="_Toc139991738"/>
      <w:bookmarkStart w:id="248" w:name="_Toc3321"/>
      <w:bookmarkStart w:id="249" w:name="_Toc10650"/>
      <w:r>
        <w:rPr>
          <w:rFonts w:asciiTheme="minorEastAsia" w:eastAsiaTheme="minorEastAsia" w:hAnsiTheme="minorEastAsia"/>
          <w:sz w:val="30"/>
        </w:rPr>
        <w:t>第八部分  基金份额持有人大会</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00AA3326">
      <w:pPr>
        <w:tabs>
          <w:tab w:pos="1080" w:val="left"/>
        </w:tabs>
        <w:spacing w:line="360" w:lineRule="auto"/>
        <w:ind w:hanging="658" w:hangingChars="274" w:left="1076" w:leftChars="199"/>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color w:val="000000"/>
        </w:rPr>
      </w:pPr>
      <w:r>
        <w:rPr>
          <w:rFonts w:asciiTheme="minorEastAsia" w:eastAsiaTheme="minorEastAsia" w:hAnsiTheme="minorEastAsia"/>
          <w:bCs/>
          <w:color w:val="000000"/>
          <w:sz w:val="24"/>
          <w:szCs w:val="24"/>
        </w:rPr>
        <w:t>基金份额持有人大会由基金份额持有人组成，基金份额持有人的合法授权代表有权代表基金份额持有人出席会议并表决。基金份额持有人持有的每一基金份额拥有平等的投票权。</w:t>
      </w:r>
      <w:r>
        <w:rPr>
          <w:rFonts w:hint="eastAsia"/>
          <w:bCs/>
          <w:color w:val="000000"/>
          <w:sz w:val="24"/>
        </w:rPr>
        <w:t>若将来法律法规对</w:t>
      </w:r>
      <w:r>
        <w:rPr>
          <w:bCs/>
          <w:color w:val="000000"/>
          <w:sz w:val="24"/>
        </w:rPr>
        <w:t>基金份额持有人</w:t>
      </w:r>
      <w:r>
        <w:rPr>
          <w:rFonts w:hint="eastAsia"/>
          <w:bCs/>
          <w:color w:val="000000"/>
          <w:sz w:val="24"/>
        </w:rPr>
        <w:t>大会另有规定的，以届时有效的法律法规为准。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w:t>
      </w:r>
      <w:r>
        <w:rPr>
          <w:rFonts w:asciiTheme="minorEastAsia" w:eastAsiaTheme="minorEastAsia" w:hAnsiTheme="minorEastAsia" w:hint="eastAsia"/>
          <w:bCs/>
          <w:color w:val="000000"/>
          <w:sz w:val="24"/>
          <w:szCs w:val="24"/>
        </w:rPr>
        <w:t>基金基金</w:t>
      </w:r>
      <w:r>
        <w:rPr>
          <w:rFonts w:asciiTheme="minorEastAsia" w:eastAsiaTheme="minorEastAsia" w:hAnsiTheme="minorEastAsia" w:hint="eastAsia"/>
          <w:bCs/>
          <w:color w:val="000000"/>
          <w:sz w:val="24"/>
          <w:szCs w:val="24"/>
        </w:rPr>
        <w:t>份额持有人大会暂不设日常机构。在本基金存续期内，根据本基金的运作需要，基金份额持有人大会可以设立日常机构，日常机构的设立与运作应当根据相关法律法规和中国证监会的规定进行。</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50" w:name="_Toc57530243"/>
      <w:bookmarkStart w:id="251" w:name="_Toc15641220"/>
      <w:bookmarkStart w:id="252" w:name="_Toc79392584"/>
      <w:r>
        <w:rPr>
          <w:rFonts w:asciiTheme="minorEastAsia" w:eastAsiaTheme="minorEastAsia" w:hAnsiTheme="minorEastAsia"/>
          <w:bCs/>
          <w:color w:val="000000"/>
          <w:sz w:val="24"/>
          <w:szCs w:val="24"/>
        </w:rPr>
        <w:t>一、召开事由</w:t>
      </w:r>
      <w:bookmarkEnd w:id="250"/>
      <w:bookmarkEnd w:id="251"/>
      <w:bookmarkEnd w:id="252"/>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1、当出现或需要决定下列事由之一的，应当召开基金份额持有人大会</w:t>
      </w:r>
      <w:r>
        <w:rPr>
          <w:rFonts w:asciiTheme="minorEastAsia" w:eastAsiaTheme="minorEastAsia" w:hAnsiTheme="minorEastAsia" w:hint="eastAsia"/>
          <w:bCs/>
          <w:color w:val="000000"/>
          <w:sz w:val="24"/>
          <w:szCs w:val="24"/>
        </w:rPr>
        <w:t>，但法律法规、中国证监会另有规定或基金合同另有约定的除外</w:t>
      </w:r>
      <w:r>
        <w:rPr>
          <w:rFonts w:asciiTheme="minorEastAsia" w:eastAsiaTheme="minorEastAsia" w:hAnsiTheme="minorEastAsia"/>
          <w:bCs/>
          <w:color w:val="000000"/>
          <w:sz w:val="24"/>
          <w:szCs w:val="24"/>
        </w:rPr>
        <w:t>：</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（1）终止《基金合同》；</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（2）更换基金管理人；</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（3）更换基金托管人；</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（4）转换</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运作方式；</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w:t>
      </w:r>
      <w:r>
        <w:rPr>
          <w:rFonts w:asciiTheme="minorEastAsia" w:eastAsiaTheme="minorEastAsia" w:hAnsiTheme="minorEastAsia" w:hint="eastAsia"/>
          <w:bCs/>
          <w:color w:val="000000"/>
          <w:sz w:val="24"/>
          <w:szCs w:val="24"/>
        </w:rPr>
        <w:t>调整</w:t>
      </w:r>
      <w:r>
        <w:rPr>
          <w:rFonts w:asciiTheme="minorEastAsia" w:eastAsiaTheme="minorEastAsia" w:hAnsiTheme="minorEastAsia"/>
          <w:bCs/>
          <w:color w:val="000000"/>
          <w:sz w:val="24"/>
          <w:szCs w:val="24"/>
        </w:rPr>
        <w:t>基金管理人、基金托管人的报酬标准</w:t>
      </w:r>
      <w:r>
        <w:rPr>
          <w:rFonts w:asciiTheme="minorEastAsia" w:eastAsiaTheme="minorEastAsia" w:hAnsiTheme="minorEastAsia" w:hint="eastAsia"/>
          <w:bCs/>
          <w:color w:val="000000"/>
          <w:sz w:val="24"/>
          <w:szCs w:val="24"/>
        </w:rPr>
        <w:t>或提高销售服务费率</w:t>
      </w:r>
      <w:r>
        <w:rPr>
          <w:rFonts w:asciiTheme="minorEastAsia" w:eastAsiaTheme="minorEastAsia" w:hAnsiTheme="minorEastAsia"/>
          <w:bCs/>
          <w:color w:val="000000"/>
          <w:sz w:val="24"/>
          <w:szCs w:val="24"/>
        </w:rPr>
        <w:t>；</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（6）变更</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类别；</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（7）本基金与其他</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的合并；</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（8）变更</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投资目标、范围或策略；</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（9）变更基金份额持有人大会程序；</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（10）基金管理人或基金托管人要求召开基金份额持有人大会；</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（11）单独或合计持有本基金总份额10%以上（含10%）基金份额的基金份额持有人（以基金管理人收到提议当日的基金份额计算，下同）就同一事项书面要求召开基金份额持有人大会；</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（12）对</w:t>
      </w:r>
      <w:r>
        <w:rPr>
          <w:rFonts w:asciiTheme="minorEastAsia" w:eastAsiaTheme="minorEastAsia" w:hAnsiTheme="minorEastAsia" w:hint="eastAsia"/>
          <w:bCs/>
          <w:color w:val="000000"/>
          <w:sz w:val="24"/>
          <w:szCs w:val="24"/>
        </w:rPr>
        <w:t>基金合同</w:t>
      </w:r>
      <w:r>
        <w:rPr>
          <w:rFonts w:asciiTheme="minorEastAsia" w:eastAsiaTheme="minorEastAsia" w:hAnsiTheme="minorEastAsia"/>
          <w:bCs/>
          <w:color w:val="000000"/>
          <w:sz w:val="24"/>
          <w:szCs w:val="24"/>
        </w:rPr>
        <w:t>当事人权利和义务产生重大影响的其他事项；</w:t>
      </w:r>
    </w:p>
    <w:p w:rsidR="00AA3326">
      <w:pPr>
        <w:spacing w:line="440" w:lineRule="atLeast"/>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w:t>
      </w:r>
      <w:r>
        <w:rPr>
          <w:rFonts w:asciiTheme="minorEastAsia" w:eastAsiaTheme="minorEastAsia" w:hAnsiTheme="minorEastAsia"/>
          <w:bCs/>
          <w:color w:val="000000"/>
          <w:sz w:val="24"/>
          <w:szCs w:val="24"/>
        </w:rPr>
        <w:t>3）法律法规、《基金合同》或中国证监会规定的其他应当召开基金份额持有人大会的事项。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2、在法律法规</w:t>
      </w:r>
      <w:r>
        <w:rPr>
          <w:rFonts w:asciiTheme="minorEastAsia" w:eastAsiaTheme="minorEastAsia" w:hAnsiTheme="minorEastAsia" w:hint="eastAsia"/>
          <w:bCs/>
          <w:color w:val="000000"/>
          <w:sz w:val="24"/>
          <w:szCs w:val="24"/>
        </w:rPr>
        <w:t>规定</w:t>
      </w:r>
      <w:r>
        <w:rPr>
          <w:rFonts w:asciiTheme="minorEastAsia" w:eastAsiaTheme="minorEastAsia" w:hAnsiTheme="minorEastAsia"/>
          <w:bCs/>
          <w:color w:val="000000"/>
          <w:sz w:val="24"/>
          <w:szCs w:val="24"/>
        </w:rPr>
        <w:t>和《基金合同》</w:t>
      </w:r>
      <w:r>
        <w:rPr>
          <w:rFonts w:asciiTheme="minorEastAsia" w:eastAsiaTheme="minorEastAsia" w:hAnsiTheme="minorEastAsia" w:hint="eastAsia"/>
          <w:bCs/>
          <w:color w:val="000000"/>
          <w:sz w:val="24"/>
          <w:szCs w:val="24"/>
        </w:rPr>
        <w:t>约</w:t>
      </w:r>
      <w:r>
        <w:rPr>
          <w:rFonts w:asciiTheme="minorEastAsia" w:eastAsiaTheme="minorEastAsia" w:hAnsiTheme="minorEastAsia"/>
          <w:bCs/>
          <w:color w:val="000000"/>
          <w:sz w:val="24"/>
          <w:szCs w:val="24"/>
        </w:rPr>
        <w:t>定的范围内且对基金份额持有人利益无实质性不利影响的前提下</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以下情况可由基金管理人和基金托管人协商</w:t>
      </w:r>
      <w:r>
        <w:rPr>
          <w:rFonts w:ascii="宋体" w:hAnsi="宋体" w:hint="eastAsia"/>
          <w:bCs/>
          <w:color w:val="000000"/>
          <w:sz w:val="24"/>
          <w:szCs w:val="24"/>
        </w:rPr>
        <w:t>，并按</w:t>
      </w:r>
      <w:r>
        <w:rPr>
          <w:rFonts w:ascii="宋体" w:hAnsi="宋体" w:hint="eastAsia"/>
          <w:bCs/>
          <w:color w:val="000000"/>
          <w:sz w:val="24"/>
          <w:szCs w:val="24"/>
        </w:rPr>
        <w:t>照监管部门要求履行适当程序</w:t>
      </w:r>
      <w:r>
        <w:rPr>
          <w:rFonts w:asciiTheme="minorEastAsia" w:eastAsiaTheme="minorEastAsia" w:hAnsiTheme="minorEastAsia"/>
          <w:bCs/>
          <w:color w:val="000000"/>
          <w:sz w:val="24"/>
          <w:szCs w:val="24"/>
        </w:rPr>
        <w:t>后修改，不需召开基金份额持有人大会：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1</w:t>
      </w:r>
      <w:r>
        <w:rPr>
          <w:rFonts w:asciiTheme="minorEastAsia" w:eastAsiaTheme="minorEastAsia" w:hAnsiTheme="minorEastAsia"/>
          <w:bCs/>
          <w:color w:val="000000"/>
          <w:sz w:val="24"/>
          <w:szCs w:val="24"/>
        </w:rPr>
        <w:t>）法律法规要求增加的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费用的收取；</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在法律法规和《基金合同》规定的范围内调整本基金的申购费率、调低赎回费率</w:t>
      </w:r>
      <w:r>
        <w:rPr>
          <w:rFonts w:asciiTheme="minorEastAsia" w:eastAsiaTheme="minorEastAsia" w:hAnsiTheme="minorEastAsia" w:hint="eastAsia"/>
          <w:bCs/>
          <w:color w:val="000000"/>
          <w:sz w:val="24"/>
          <w:szCs w:val="24"/>
        </w:rPr>
        <w:t>、销售服务费或</w:t>
      </w:r>
      <w:r>
        <w:rPr>
          <w:rFonts w:asciiTheme="minorEastAsia" w:eastAsiaTheme="minorEastAsia" w:hAnsiTheme="minorEastAsia"/>
          <w:bCs/>
          <w:color w:val="000000"/>
          <w:sz w:val="24"/>
          <w:szCs w:val="24"/>
        </w:rPr>
        <w:t>变更收费方式；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w:t>
      </w:r>
      <w:r>
        <w:rPr>
          <w:rFonts w:asciiTheme="minorEastAsia" w:eastAsiaTheme="minorEastAsia" w:hAnsiTheme="minorEastAsia"/>
          <w:bCs/>
          <w:color w:val="000000"/>
          <w:sz w:val="24"/>
          <w:szCs w:val="24"/>
        </w:rPr>
        <w:t>因相应</w:t>
      </w:r>
      <w:r>
        <w:rPr>
          <w:rFonts w:asciiTheme="minorEastAsia" w:eastAsiaTheme="minorEastAsia" w:hAnsiTheme="minorEastAsia"/>
          <w:bCs/>
          <w:color w:val="000000"/>
          <w:sz w:val="24"/>
          <w:szCs w:val="24"/>
        </w:rPr>
        <w:t>的法律法规发生变动而应当对《基金合同》进行修改；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）对《基金合同》的修改对基金份额持有人利益无实质性不利影响或修改不涉及《基金合同》当事人权利义务关系发生</w:t>
      </w:r>
      <w:r>
        <w:rPr>
          <w:rFonts w:asciiTheme="minorEastAsia" w:eastAsiaTheme="minorEastAsia" w:hAnsiTheme="minorEastAsia" w:hint="eastAsia"/>
          <w:bCs/>
          <w:color w:val="000000"/>
          <w:sz w:val="24"/>
          <w:szCs w:val="24"/>
        </w:rPr>
        <w:t>重大</w:t>
      </w:r>
      <w:r>
        <w:rPr>
          <w:rFonts w:asciiTheme="minorEastAsia" w:eastAsiaTheme="minorEastAsia" w:hAnsiTheme="minorEastAsia"/>
          <w:bCs/>
          <w:color w:val="000000"/>
          <w:sz w:val="24"/>
          <w:szCs w:val="24"/>
        </w:rPr>
        <w:t>变化；</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5</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基金推出新业务或服务；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6</w:t>
      </w:r>
      <w:r>
        <w:rPr>
          <w:rFonts w:asciiTheme="minorEastAsia" w:eastAsiaTheme="minorEastAsia" w:hAnsiTheme="minorEastAsia" w:hint="eastAsia"/>
          <w:bCs/>
          <w:color w:val="000000"/>
          <w:sz w:val="24"/>
          <w:szCs w:val="24"/>
        </w:rPr>
        <w:t>）调整本基金份额类别的设置及对基金份额分类办法、规则进行调整；</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7</w:t>
      </w:r>
      <w:r>
        <w:rPr>
          <w:rFonts w:asciiTheme="minorEastAsia" w:eastAsiaTheme="minorEastAsia" w:hAnsiTheme="minorEastAsia" w:hint="eastAsia"/>
          <w:bCs/>
          <w:color w:val="000000"/>
          <w:sz w:val="24"/>
          <w:szCs w:val="24"/>
        </w:rPr>
        <w:t>）基金管理人、登记机构、销售机构调整有关基金申购、赎回、转换、</w:t>
      </w:r>
      <w:r>
        <w:rPr>
          <w:rFonts w:asciiTheme="minorEastAsia" w:eastAsiaTheme="minorEastAsia" w:hAnsiTheme="minorEastAsia" w:hint="eastAsia"/>
          <w:bCs/>
          <w:color w:val="000000"/>
          <w:sz w:val="24"/>
          <w:szCs w:val="24"/>
        </w:rPr>
        <w:t>非交易</w:t>
      </w:r>
      <w:r>
        <w:rPr>
          <w:rFonts w:asciiTheme="minorEastAsia" w:eastAsiaTheme="minorEastAsia" w:hAnsiTheme="minorEastAsia" w:hint="eastAsia"/>
          <w:bCs/>
          <w:color w:val="000000"/>
          <w:sz w:val="24"/>
          <w:szCs w:val="24"/>
        </w:rPr>
        <w:t>过户、转托管等业务的规则；</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（8）</w:t>
      </w:r>
      <w:r>
        <w:rPr>
          <w:rFonts w:asciiTheme="minorEastAsia" w:eastAsiaTheme="minorEastAsia" w:hAnsiTheme="minorEastAsia"/>
          <w:bCs/>
          <w:color w:val="000000"/>
          <w:sz w:val="24"/>
          <w:szCs w:val="24"/>
        </w:rPr>
        <w:t>按照法律法规和《基金合同》规定不需召开基金份额持有人大会的其他情形。</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53" w:name="_Toc79392585"/>
      <w:bookmarkStart w:id="254" w:name="_Toc15641221"/>
      <w:bookmarkStart w:id="255" w:name="_Toc57530244"/>
      <w:r>
        <w:rPr>
          <w:rFonts w:asciiTheme="minorEastAsia" w:eastAsiaTheme="minorEastAsia" w:hAnsiTheme="minorEastAsia"/>
          <w:bCs/>
          <w:color w:val="000000"/>
          <w:sz w:val="24"/>
          <w:szCs w:val="24"/>
        </w:rPr>
        <w:t>二、会议召集人及召集方式</w:t>
      </w:r>
      <w:bookmarkEnd w:id="253"/>
      <w:bookmarkEnd w:id="254"/>
      <w:bookmarkEnd w:id="255"/>
    </w:p>
    <w:p w:rsidR="00AA3326">
      <w:pPr>
        <w:spacing w:line="360" w:lineRule="auto"/>
        <w:ind w:firstLine="480" w:firstLineChars="200"/>
        <w:rPr>
          <w:rFonts w:asciiTheme="minorEastAsia" w:eastAsiaTheme="minorEastAsia" w:hAnsiTheme="minorEastAsia" w:hint="eastAsia"/>
          <w:bCs/>
          <w:color w:val="000000"/>
          <w:sz w:val="24"/>
          <w:szCs w:val="24"/>
        </w:rPr>
      </w:pPr>
      <w:bookmarkStart w:id="256" w:name="_Toc15641222"/>
      <w:bookmarkStart w:id="257" w:name="_Toc57530245"/>
      <w:r>
        <w:rPr>
          <w:rFonts w:asciiTheme="minorEastAsia" w:eastAsiaTheme="minorEastAsia" w:hAnsiTheme="minorEastAsia"/>
          <w:bCs/>
          <w:color w:val="000000"/>
          <w:sz w:val="24"/>
          <w:szCs w:val="24"/>
        </w:rPr>
        <w:t>1、除法律法规规定或《基金合同》另有约定外，基金份额持有人大会由基金管理人召集</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2、基金管理人未按规定召集或不能召</w:t>
      </w:r>
      <w:r>
        <w:rPr>
          <w:rFonts w:asciiTheme="minorEastAsia" w:eastAsiaTheme="minorEastAsia" w:hAnsiTheme="minorEastAsia" w:hint="eastAsia"/>
          <w:bCs/>
          <w:color w:val="000000"/>
          <w:sz w:val="24"/>
          <w:szCs w:val="24"/>
        </w:rPr>
        <w:t>集</w:t>
      </w:r>
      <w:r>
        <w:rPr>
          <w:rFonts w:asciiTheme="minorEastAsia" w:eastAsiaTheme="minorEastAsia" w:hAnsiTheme="minorEastAsia"/>
          <w:bCs/>
          <w:color w:val="000000"/>
          <w:sz w:val="24"/>
          <w:szCs w:val="24"/>
        </w:rPr>
        <w:t>时，由基金托管人召集</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3、基金托管人认为有必要召开基金份额持有人大会的，应当向基金管理人提出书面提议。基金管理人应当自收到书面提议之日起</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日内决定是否召集，并书面告知基金托管人。基金管理人决定召集的，应当自出具书面决定之日起</w:t>
      </w:r>
      <w:r>
        <w:rPr>
          <w:rFonts w:asciiTheme="minorEastAsia" w:eastAsiaTheme="minorEastAsia" w:hAnsiTheme="minorEastAsia" w:hint="eastAsia"/>
          <w:bCs/>
          <w:color w:val="000000"/>
          <w:sz w:val="24"/>
          <w:szCs w:val="24"/>
        </w:rPr>
        <w:t>60</w:t>
      </w:r>
      <w:r>
        <w:rPr>
          <w:rFonts w:asciiTheme="minorEastAsia" w:eastAsiaTheme="minorEastAsia" w:hAnsiTheme="minorEastAsia"/>
          <w:bCs/>
          <w:color w:val="000000"/>
          <w:sz w:val="24"/>
          <w:szCs w:val="24"/>
        </w:rPr>
        <w:t>日内召开；基金管理人决定不召集，基金托管人仍认为有必要召开的，应当由基金托管人自行召集，并自出具书面决定之日起60日内召开并告知基金管理人，基金管理人应当配合。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4、代表基金份额</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以上（含</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）的</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就同一事项书面要求召开基金份额持有人大会，应当向基金管理人提出书面提议。基金管理人应当自收到书面提议之日起</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日内决定是否召集，并书面告知提出提议的基金份额持有人代表和基金托管人。基金管理人决定召集的，应当自出具书面决定之日起</w:t>
      </w:r>
      <w:r>
        <w:rPr>
          <w:rFonts w:asciiTheme="minorEastAsia" w:eastAsiaTheme="minorEastAsia" w:hAnsiTheme="minorEastAsia" w:hint="eastAsia"/>
          <w:bCs/>
          <w:color w:val="000000"/>
          <w:sz w:val="24"/>
          <w:szCs w:val="24"/>
        </w:rPr>
        <w:t>60</w:t>
      </w:r>
      <w:r>
        <w:rPr>
          <w:rFonts w:asciiTheme="minorEastAsia" w:eastAsiaTheme="minorEastAsia" w:hAnsiTheme="minorEastAsia"/>
          <w:bCs/>
          <w:color w:val="000000"/>
          <w:sz w:val="24"/>
          <w:szCs w:val="24"/>
        </w:rPr>
        <w:t>日内召开；基金管理人决定不召集，代表基金份额</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以上（含</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）的</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仍认为有必要召开的，应当向基金托管人提出书面提议。基金托管人应</w:t>
      </w:r>
      <w:r>
        <w:rPr>
          <w:rFonts w:asciiTheme="minorEastAsia" w:eastAsiaTheme="minorEastAsia" w:hAnsiTheme="minorEastAsia"/>
          <w:bCs/>
          <w:color w:val="000000"/>
          <w:sz w:val="24"/>
          <w:szCs w:val="24"/>
        </w:rPr>
        <w:t>当自收到书面提议之日起</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日内决定是否召集，并书面告知提出提议的基金份额持有人代表和基金管理人；基金托管人决定召集的，应当自出具书面决定之日起60日内召开。并告知基金管理人，基金管理人应当配合。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5、代表基金份额</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以上（含</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）的</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就同一事项要求召开基金份额持有人大会，而基金管理人、基金托管人都不召集的，单独或合计代表基金份额</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以上（含</w:t>
      </w:r>
      <w:r>
        <w:rPr>
          <w:rFonts w:asciiTheme="minorEastAsia" w:eastAsiaTheme="minorEastAsia" w:hAnsiTheme="minorEastAsia" w:hint="eastAsia"/>
          <w:bCs/>
          <w:color w:val="000000"/>
          <w:sz w:val="24"/>
          <w:szCs w:val="24"/>
        </w:rPr>
        <w:t>10%</w:t>
      </w:r>
      <w:r>
        <w:rPr>
          <w:rFonts w:asciiTheme="minorEastAsia" w:eastAsiaTheme="minorEastAsia" w:hAnsiTheme="minorEastAsia"/>
          <w:bCs/>
          <w:color w:val="000000"/>
          <w:sz w:val="24"/>
          <w:szCs w:val="24"/>
        </w:rPr>
        <w:t>）的</w:t>
      </w:r>
      <w:r>
        <w:rPr>
          <w:rFonts w:asciiTheme="minorEastAsia" w:eastAsiaTheme="minorEastAsia" w:hAnsiTheme="minorEastAsia" w:hint="eastAsia"/>
          <w:bCs/>
          <w:color w:val="000000"/>
          <w:sz w:val="24"/>
          <w:szCs w:val="24"/>
        </w:rPr>
        <w:t>基金份额持有人</w:t>
      </w:r>
      <w:r>
        <w:rPr>
          <w:rFonts w:asciiTheme="minorEastAsia" w:eastAsiaTheme="minorEastAsia" w:hAnsiTheme="minorEastAsia"/>
          <w:bCs/>
          <w:color w:val="000000"/>
          <w:sz w:val="24"/>
          <w:szCs w:val="24"/>
        </w:rPr>
        <w:t>有权自行召集，并至少提前30日报中国证监会备案。基金份额持有人依法自行召集基金份额持有人大会的，基金管理人、基金托管人应当配合，不得阻碍、干扰。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6、基金份额持有人会议的召集人负责选择确定开会时间、地点、方式和权益登记日。</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58" w:name="_Toc79392586"/>
      <w:r>
        <w:rPr>
          <w:rFonts w:asciiTheme="minorEastAsia" w:eastAsiaTheme="minorEastAsia" w:hAnsiTheme="minorEastAsia"/>
          <w:bCs/>
          <w:color w:val="000000"/>
          <w:sz w:val="24"/>
          <w:szCs w:val="24"/>
        </w:rPr>
        <w:t>三、召开基金份额持有人大会的通知时间、通知内容、通知方式</w:t>
      </w:r>
      <w:bookmarkEnd w:id="256"/>
      <w:bookmarkEnd w:id="257"/>
      <w:bookmarkEnd w:id="258"/>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1、召开基金份额持有人大会，召集人应于会议召开前</w:t>
      </w:r>
      <w:r>
        <w:rPr>
          <w:rFonts w:asciiTheme="minorEastAsia" w:eastAsiaTheme="minorEastAsia" w:hAnsiTheme="minorEastAsia" w:hint="eastAsia"/>
          <w:bCs/>
          <w:color w:val="000000"/>
          <w:sz w:val="24"/>
          <w:szCs w:val="24"/>
        </w:rPr>
        <w:t>30</w:t>
      </w:r>
      <w:r>
        <w:rPr>
          <w:rFonts w:asciiTheme="minorEastAsia" w:eastAsiaTheme="minorEastAsia" w:hAnsiTheme="minorEastAsia"/>
          <w:bCs/>
          <w:color w:val="000000"/>
          <w:sz w:val="24"/>
          <w:szCs w:val="24"/>
        </w:rPr>
        <w:t>日，在规定媒介公告。基金份额持有人大会通知应至少载明以下内容：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（1）会议召开的时间、地点和会议形式；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（2）会议</w:t>
      </w:r>
      <w:r>
        <w:rPr>
          <w:rFonts w:asciiTheme="minorEastAsia" w:eastAsiaTheme="minorEastAsia" w:hAnsiTheme="minorEastAsia"/>
          <w:bCs/>
          <w:color w:val="000000"/>
          <w:sz w:val="24"/>
          <w:szCs w:val="24"/>
        </w:rPr>
        <w:t>拟审议</w:t>
      </w:r>
      <w:r>
        <w:rPr>
          <w:rFonts w:asciiTheme="minorEastAsia" w:eastAsiaTheme="minorEastAsia" w:hAnsiTheme="minorEastAsia"/>
          <w:bCs/>
          <w:color w:val="000000"/>
          <w:sz w:val="24"/>
          <w:szCs w:val="24"/>
        </w:rPr>
        <w:t>的事项、议事程序和表决方式；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（3）有权出席基金份额持有人大会的基金份额持有人的权益登记日；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（4）授权委托证明的内容要求（包括但不限于代理人身份，代理权限和代理有效期限等）、送达时间和地点;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（5）会务常设联系人姓名及联系电话；</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（6）出席会议者必须准备的文件和必须履行的手续；</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（7）召集人需要通知的其他事项。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r>
        <w:rPr>
          <w:rFonts w:asciiTheme="minorEastAsia" w:eastAsiaTheme="minorEastAsia" w:hAnsiTheme="minorEastAsia"/>
          <w:bCs/>
          <w:color w:val="000000"/>
          <w:sz w:val="24"/>
          <w:szCs w:val="24"/>
        </w:rPr>
        <w:t>拒不派</w:t>
      </w:r>
      <w:r>
        <w:rPr>
          <w:rFonts w:asciiTheme="minorEastAsia" w:eastAsiaTheme="minorEastAsia" w:hAnsiTheme="minorEastAsia"/>
          <w:bCs/>
          <w:color w:val="000000"/>
          <w:sz w:val="24"/>
          <w:szCs w:val="24"/>
        </w:rPr>
        <w:t>代表对表决意见的计票进行监督的，不影响表决意见</w:t>
      </w:r>
      <w:r>
        <w:rPr>
          <w:rFonts w:asciiTheme="minorEastAsia" w:eastAsiaTheme="minorEastAsia" w:hAnsiTheme="minorEastAsia"/>
          <w:bCs/>
          <w:color w:val="000000"/>
          <w:sz w:val="24"/>
          <w:szCs w:val="24"/>
        </w:rPr>
        <w:t>的计票效力。</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59" w:name="_Toc15641223"/>
      <w:bookmarkStart w:id="260" w:name="_Toc57530246"/>
      <w:bookmarkStart w:id="261" w:name="_Toc79392587"/>
      <w:r>
        <w:rPr>
          <w:rFonts w:asciiTheme="minorEastAsia" w:eastAsiaTheme="minorEastAsia" w:hAnsiTheme="minorEastAsia"/>
          <w:bCs/>
          <w:color w:val="000000"/>
          <w:sz w:val="24"/>
          <w:szCs w:val="24"/>
        </w:rPr>
        <w:t>四、基金份额持有人出席会议的方式</w:t>
      </w:r>
      <w:bookmarkEnd w:id="259"/>
      <w:bookmarkEnd w:id="260"/>
      <w:bookmarkEnd w:id="261"/>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基金份额持有人大会可通过现场开会方式</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通讯开会方式或法律法规、监管机构允许的其他方式召开，会议的召开方式由会议召集人确定。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1、现场开会。由基金份额持有人本人出席或以代理投票授权委托证明委派代表出席，现场开会时基金管理人和基金托管人的授权代表应当列席基金份额持有人大会，基金管理人或</w:t>
      </w:r>
      <w:r>
        <w:rPr>
          <w:rFonts w:asciiTheme="minorEastAsia" w:eastAsiaTheme="minorEastAsia" w:hAnsiTheme="minorEastAsia" w:hint="eastAsia"/>
          <w:bCs/>
          <w:color w:val="000000"/>
          <w:sz w:val="24"/>
          <w:szCs w:val="24"/>
        </w:rPr>
        <w:t>基金托管人</w:t>
      </w:r>
      <w:r>
        <w:rPr>
          <w:rFonts w:asciiTheme="minorEastAsia" w:eastAsiaTheme="minorEastAsia" w:hAnsiTheme="minorEastAsia"/>
          <w:bCs/>
          <w:color w:val="000000"/>
          <w:sz w:val="24"/>
          <w:szCs w:val="24"/>
        </w:rPr>
        <w:t>不派代表列席的，不影响表决效力。现场开会同时符合以下条件时，可以进行基金份额持有人大会议程：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（2）经核对，汇总到会者出示的在权益登记日持有基金份额的凭证显示，有效的基金份额不少于本基金在权益登记日</w:t>
      </w:r>
      <w:r>
        <w:rPr>
          <w:rFonts w:asciiTheme="minorEastAsia" w:eastAsiaTheme="minorEastAsia" w:hAnsiTheme="minorEastAsia" w:hint="eastAsia"/>
          <w:bCs/>
          <w:color w:val="000000"/>
          <w:sz w:val="24"/>
          <w:szCs w:val="24"/>
        </w:rPr>
        <w:t>基金总份额</w:t>
      </w:r>
      <w:r>
        <w:rPr>
          <w:rFonts w:asciiTheme="minorEastAsia" w:eastAsiaTheme="minorEastAsia" w:hAnsiTheme="minorEastAsia"/>
          <w:bCs/>
          <w:color w:val="000000"/>
          <w:sz w:val="24"/>
          <w:szCs w:val="24"/>
        </w:rPr>
        <w:t>的二分之一（含二分之一）。若到会者在权益登记日代表的有效的基金份额少于本基金在权益登记日</w:t>
      </w:r>
      <w:r>
        <w:rPr>
          <w:rFonts w:asciiTheme="minorEastAsia" w:eastAsiaTheme="minorEastAsia" w:hAnsiTheme="minorEastAsia" w:hint="eastAsia"/>
          <w:bCs/>
          <w:color w:val="000000"/>
          <w:sz w:val="24"/>
          <w:szCs w:val="24"/>
        </w:rPr>
        <w:t>基金总份额</w:t>
      </w:r>
      <w:r>
        <w:rPr>
          <w:rFonts w:asciiTheme="minorEastAsia" w:eastAsiaTheme="minorEastAsia" w:hAnsiTheme="minorEastAsia"/>
          <w:bCs/>
          <w:color w:val="000000"/>
          <w:sz w:val="24"/>
          <w:szCs w:val="24"/>
        </w:rPr>
        <w:t>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w:t>
      </w:r>
      <w:r>
        <w:rPr>
          <w:rFonts w:asciiTheme="minorEastAsia" w:eastAsiaTheme="minorEastAsia" w:hAnsiTheme="minorEastAsia" w:hint="eastAsia"/>
          <w:bCs/>
          <w:color w:val="000000"/>
          <w:sz w:val="24"/>
          <w:szCs w:val="24"/>
        </w:rPr>
        <w:t>基金总份额</w:t>
      </w:r>
      <w:r>
        <w:rPr>
          <w:rFonts w:asciiTheme="minorEastAsia" w:eastAsiaTheme="minorEastAsia" w:hAnsiTheme="minorEastAsia"/>
          <w:bCs/>
          <w:color w:val="000000"/>
          <w:sz w:val="24"/>
          <w:szCs w:val="24"/>
        </w:rPr>
        <w:t>的三分之一（含三分之一）。</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2、通讯开会。通讯开会系指基金份额持有人将其对表决事项的投票以书面形式</w:t>
      </w:r>
      <w:r>
        <w:rPr>
          <w:rFonts w:asciiTheme="minorEastAsia" w:eastAsiaTheme="minorEastAsia" w:hAnsiTheme="minorEastAsia" w:hint="eastAsia"/>
          <w:bCs/>
          <w:color w:val="000000"/>
          <w:sz w:val="24"/>
          <w:szCs w:val="24"/>
        </w:rPr>
        <w:t>或基金合同约定的其他方式</w:t>
      </w:r>
      <w:r>
        <w:rPr>
          <w:rFonts w:asciiTheme="minorEastAsia" w:eastAsiaTheme="minorEastAsia" w:hAnsiTheme="minorEastAsia"/>
          <w:bCs/>
          <w:color w:val="000000"/>
          <w:sz w:val="24"/>
          <w:szCs w:val="24"/>
        </w:rPr>
        <w:t>在表决</w:t>
      </w:r>
      <w:r>
        <w:rPr>
          <w:rFonts w:asciiTheme="minorEastAsia" w:eastAsiaTheme="minorEastAsia" w:hAnsiTheme="minorEastAsia" w:hint="eastAsia"/>
          <w:bCs/>
          <w:color w:val="000000"/>
          <w:sz w:val="24"/>
          <w:szCs w:val="24"/>
        </w:rPr>
        <w:t>截止</w:t>
      </w:r>
      <w:r>
        <w:rPr>
          <w:rFonts w:asciiTheme="minorEastAsia" w:eastAsiaTheme="minorEastAsia" w:hAnsiTheme="minorEastAsia"/>
          <w:bCs/>
          <w:color w:val="000000"/>
          <w:sz w:val="24"/>
          <w:szCs w:val="24"/>
        </w:rPr>
        <w:t>日以前送达至召集人指定的地址。通讯开会应以书面方式</w:t>
      </w:r>
      <w:r>
        <w:rPr>
          <w:rFonts w:asciiTheme="minorEastAsia" w:eastAsiaTheme="minorEastAsia" w:hAnsiTheme="minorEastAsia" w:hint="eastAsia"/>
          <w:bCs/>
          <w:color w:val="000000"/>
          <w:sz w:val="24"/>
          <w:szCs w:val="24"/>
        </w:rPr>
        <w:t>或基金合同约定的其他方式</w:t>
      </w:r>
      <w:r>
        <w:rPr>
          <w:rFonts w:asciiTheme="minorEastAsia" w:eastAsiaTheme="minorEastAsia" w:hAnsiTheme="minorEastAsia"/>
          <w:bCs/>
          <w:color w:val="000000"/>
          <w:sz w:val="24"/>
          <w:szCs w:val="24"/>
        </w:rPr>
        <w:t>进行表决。</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在同时符合以下条件时，通讯开会的方式视为有效：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（1）会议召集人按《基金合同》约定公布会议通知后，在</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个工作日内连续公布相关提示性公告；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（2）召集人按基金合同</w:t>
      </w:r>
      <w:r>
        <w:rPr>
          <w:rFonts w:asciiTheme="minorEastAsia" w:eastAsiaTheme="minorEastAsia" w:hAnsiTheme="minorEastAsia" w:hint="eastAsia"/>
          <w:bCs/>
          <w:color w:val="000000"/>
          <w:sz w:val="24"/>
          <w:szCs w:val="24"/>
        </w:rPr>
        <w:t>约</w:t>
      </w:r>
      <w:r>
        <w:rPr>
          <w:rFonts w:asciiTheme="minorEastAsia" w:eastAsiaTheme="minorEastAsia" w:hAnsiTheme="minorEastAsia"/>
          <w:bCs/>
          <w:color w:val="000000"/>
          <w:sz w:val="24"/>
          <w:szCs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w:t>
      </w:r>
      <w:r>
        <w:rPr>
          <w:rFonts w:asciiTheme="minorEastAsia" w:eastAsiaTheme="minorEastAsia" w:hAnsiTheme="minorEastAsia"/>
          <w:bCs/>
          <w:color w:val="000000"/>
          <w:sz w:val="24"/>
          <w:szCs w:val="24"/>
        </w:rPr>
        <w:t>通知不参加收取表决意见的，不影响表决效力；</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（3）本人直接出具表决意见或授权他人代表出具表决意见的，基金份额持有人所持有的基金份额不小于在权益登记日</w:t>
      </w:r>
      <w:r>
        <w:rPr>
          <w:rFonts w:asciiTheme="minorEastAsia" w:eastAsiaTheme="minorEastAsia" w:hAnsiTheme="minorEastAsia" w:hint="eastAsia"/>
          <w:bCs/>
          <w:color w:val="000000"/>
          <w:sz w:val="24"/>
          <w:szCs w:val="24"/>
        </w:rPr>
        <w:t>基金总份额</w:t>
      </w:r>
      <w:r>
        <w:rPr>
          <w:rFonts w:asciiTheme="minorEastAsia" w:eastAsiaTheme="minorEastAsia" w:hAnsiTheme="minorEastAsia"/>
          <w:bCs/>
          <w:color w:val="000000"/>
          <w:sz w:val="24"/>
          <w:szCs w:val="24"/>
        </w:rPr>
        <w:t>的</w:t>
      </w:r>
      <w:r>
        <w:rPr>
          <w:rFonts w:asciiTheme="minorEastAsia" w:eastAsiaTheme="minorEastAsia" w:hAnsiTheme="minorEastAsia" w:hint="eastAsia"/>
          <w:bCs/>
          <w:color w:val="000000"/>
          <w:sz w:val="24"/>
          <w:szCs w:val="24"/>
        </w:rPr>
        <w:t>二分之一（含二分之一）；若本人直接出具</w:t>
      </w:r>
      <w:r>
        <w:rPr>
          <w:rFonts w:asciiTheme="minorEastAsia" w:eastAsiaTheme="minorEastAsia" w:hAnsiTheme="minorEastAsia"/>
          <w:bCs/>
          <w:color w:val="000000"/>
          <w:sz w:val="24"/>
          <w:szCs w:val="24"/>
        </w:rPr>
        <w:t>表决</w:t>
      </w:r>
      <w:r>
        <w:rPr>
          <w:rFonts w:asciiTheme="minorEastAsia" w:eastAsiaTheme="minorEastAsia" w:hAnsiTheme="minorEastAsia" w:hint="eastAsia"/>
          <w:bCs/>
          <w:color w:val="000000"/>
          <w:sz w:val="24"/>
          <w:szCs w:val="24"/>
        </w:rPr>
        <w:t>意见或授权他人代表出具</w:t>
      </w:r>
      <w:r>
        <w:rPr>
          <w:rFonts w:asciiTheme="minorEastAsia" w:eastAsiaTheme="minorEastAsia" w:hAnsiTheme="minorEastAsia"/>
          <w:bCs/>
          <w:color w:val="000000"/>
          <w:sz w:val="24"/>
          <w:szCs w:val="24"/>
        </w:rPr>
        <w:t>表决</w:t>
      </w:r>
      <w:r>
        <w:rPr>
          <w:rFonts w:asciiTheme="minorEastAsia" w:eastAsiaTheme="minorEastAsia" w:hAnsiTheme="minorEastAsia" w:hint="eastAsia"/>
          <w:bCs/>
          <w:color w:val="000000"/>
          <w:sz w:val="24"/>
          <w:szCs w:val="24"/>
        </w:rPr>
        <w:t>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w:t>
      </w:r>
      <w:r>
        <w:rPr>
          <w:rFonts w:asciiTheme="minorEastAsia" w:eastAsiaTheme="minorEastAsia" w:hAnsiTheme="minorEastAsia"/>
          <w:bCs/>
          <w:color w:val="000000"/>
          <w:sz w:val="24"/>
          <w:szCs w:val="24"/>
        </w:rPr>
        <w:t>表决</w:t>
      </w:r>
      <w:r>
        <w:rPr>
          <w:rFonts w:asciiTheme="minorEastAsia" w:eastAsiaTheme="minorEastAsia" w:hAnsiTheme="minorEastAsia" w:hint="eastAsia"/>
          <w:bCs/>
          <w:color w:val="000000"/>
          <w:sz w:val="24"/>
          <w:szCs w:val="24"/>
        </w:rPr>
        <w:t>意见或授权他人代表出具</w:t>
      </w:r>
      <w:r>
        <w:rPr>
          <w:rFonts w:asciiTheme="minorEastAsia" w:eastAsiaTheme="minorEastAsia" w:hAnsiTheme="minorEastAsia"/>
          <w:bCs/>
          <w:color w:val="000000"/>
          <w:sz w:val="24"/>
          <w:szCs w:val="24"/>
        </w:rPr>
        <w:t>表决</w:t>
      </w:r>
      <w:r>
        <w:rPr>
          <w:rFonts w:asciiTheme="minorEastAsia" w:eastAsiaTheme="minorEastAsia" w:hAnsiTheme="minorEastAsia" w:hint="eastAsia"/>
          <w:bCs/>
          <w:color w:val="000000"/>
          <w:sz w:val="24"/>
          <w:szCs w:val="24"/>
        </w:rPr>
        <w:t>意见</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（4）上述第（3）项中直接出具表决意见的基金份额持有人或受托代表他人出具表决意见的代理人，同时提交的持有基金份额的凭证、受托出具表决意见的代理人出具的</w:t>
      </w:r>
      <w:r>
        <w:rPr>
          <w:rFonts w:asciiTheme="minorEastAsia" w:eastAsiaTheme="minorEastAsia" w:hAnsiTheme="minorEastAsia" w:hint="eastAsia"/>
          <w:bCs/>
          <w:color w:val="000000"/>
          <w:sz w:val="24"/>
          <w:szCs w:val="24"/>
        </w:rPr>
        <w:t>委托人</w:t>
      </w:r>
      <w:r>
        <w:rPr>
          <w:rFonts w:asciiTheme="minorEastAsia" w:eastAsiaTheme="minorEastAsia" w:hAnsiTheme="minorEastAsia"/>
          <w:bCs/>
          <w:color w:val="000000"/>
          <w:sz w:val="24"/>
          <w:szCs w:val="24"/>
        </w:rPr>
        <w:t>持有基金份额的凭证及</w:t>
      </w:r>
      <w:r>
        <w:rPr>
          <w:rFonts w:asciiTheme="minorEastAsia" w:eastAsiaTheme="minorEastAsia" w:hAnsiTheme="minorEastAsia" w:hint="eastAsia"/>
          <w:bCs/>
          <w:color w:val="000000"/>
          <w:sz w:val="24"/>
          <w:szCs w:val="24"/>
        </w:rPr>
        <w:t>委托人</w:t>
      </w:r>
      <w:r>
        <w:rPr>
          <w:rFonts w:asciiTheme="minorEastAsia" w:eastAsiaTheme="minorEastAsia" w:hAnsiTheme="minorEastAsia"/>
          <w:bCs/>
          <w:color w:val="000000"/>
          <w:sz w:val="24"/>
          <w:szCs w:val="24"/>
        </w:rPr>
        <w:t>的代理投票授权委托证明符合法律法规、《基金合同》和会议通知的规定，并与</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登记机构记录相符</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在不与法律法规冲突的前提下，基金份额持有人大会亦可采用网络、电话、短信等其他非现场方式或者以现场方式与非现场方式相结合的方式召开，会议程序比照现场开会和通讯开会的程序进行。基金份额持有人可以采用书面、网络、电话、短信或其他方式进行表决，具体方式由会议召集人确定并在会议通知中列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w:t>
      </w:r>
      <w:r>
        <w:rPr>
          <w:rFonts w:asciiTheme="minorEastAsia" w:eastAsiaTheme="minorEastAsia" w:hAnsiTheme="minorEastAsia" w:hint="eastAsia"/>
          <w:bCs/>
          <w:color w:val="000000"/>
          <w:sz w:val="24"/>
          <w:szCs w:val="24"/>
        </w:rPr>
        <w:t>、在不与法律法规冲突的前提下，基金份额持有人可采用其他书面或非书面方式授权他人代为出席基金份额持有人大会并行使表决权，授权方式可以采用书面、网络、电话、短信或其他方式，具体方式在会议通知中列明。</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62" w:name="_Toc57530247"/>
      <w:bookmarkStart w:id="263" w:name="_Toc79392588"/>
      <w:bookmarkStart w:id="264" w:name="_Toc15641224"/>
      <w:r>
        <w:rPr>
          <w:rFonts w:asciiTheme="minorEastAsia" w:eastAsiaTheme="minorEastAsia" w:hAnsiTheme="minorEastAsia"/>
          <w:bCs/>
          <w:color w:val="000000"/>
          <w:sz w:val="24"/>
          <w:szCs w:val="24"/>
        </w:rPr>
        <w:t>五、议事内容与程序</w:t>
      </w:r>
      <w:bookmarkEnd w:id="262"/>
      <w:bookmarkEnd w:id="263"/>
      <w:bookmarkEnd w:id="264"/>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1、议事内容及提案权</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议事内容为关系基金份额持有人利益的重大事项，如《基金合同》的重大修改、决定终止《基金合同》、更换基金管理人、更换基金托管人、与其他</w:t>
      </w:r>
      <w:r>
        <w:rPr>
          <w:rFonts w:ascii="宋体" w:hAnsi="宋体" w:hint="eastAsia"/>
          <w:bCs/>
          <w:color w:val="000000"/>
          <w:sz w:val="24"/>
          <w:szCs w:val="24"/>
        </w:rPr>
        <w:t>基金</w:t>
      </w:r>
      <w:r>
        <w:rPr>
          <w:rFonts w:asciiTheme="minorEastAsia" w:eastAsiaTheme="minorEastAsia" w:hAnsiTheme="minorEastAsia"/>
          <w:bCs/>
          <w:color w:val="000000"/>
          <w:sz w:val="24"/>
          <w:szCs w:val="24"/>
        </w:rPr>
        <w:t>合并、法律法规及《基金合同》规定的其他事项以及会议召集人认为需提交基金份额持有人大会讨论的其他事项。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基金份额持有人大会的召集人发出召集会议的通知后，对原有提案的修改应当在基金份额持有人大会召开前及时公告。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基金份额持有人大会不得对未事先公告的议事内容进行表决。</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2、议事程序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（1）现场开会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asciiTheme="minorEastAsia" w:eastAsiaTheme="minorEastAsia" w:hAnsiTheme="minorEastAsia" w:hint="eastAsia"/>
          <w:bCs/>
          <w:color w:val="000000"/>
          <w:sz w:val="24"/>
          <w:szCs w:val="24"/>
        </w:rPr>
        <w:t>50%</w:t>
      </w:r>
      <w:r>
        <w:rPr>
          <w:rFonts w:asciiTheme="minorEastAsia" w:eastAsiaTheme="minorEastAsia" w:hAnsiTheme="minorEastAsia"/>
          <w:bCs/>
          <w:color w:val="000000"/>
          <w:sz w:val="24"/>
          <w:szCs w:val="24"/>
        </w:rPr>
        <w:t>以上（含</w:t>
      </w:r>
      <w:r>
        <w:rPr>
          <w:rFonts w:asciiTheme="minorEastAsia" w:eastAsiaTheme="minorEastAsia" w:hAnsiTheme="minorEastAsia" w:hint="eastAsia"/>
          <w:bCs/>
          <w:color w:val="000000"/>
          <w:sz w:val="24"/>
          <w:szCs w:val="24"/>
        </w:rPr>
        <w:t>50%</w:t>
      </w:r>
      <w:r>
        <w:rPr>
          <w:rFonts w:asciiTheme="minorEastAsia" w:eastAsiaTheme="minorEastAsia" w:hAnsiTheme="minorEastAsia"/>
          <w:bCs/>
          <w:color w:val="000000"/>
          <w:sz w:val="24"/>
          <w:szCs w:val="24"/>
        </w:rPr>
        <w:t>）选举产生一名基金份额持有人作为该次基金份额持有人大会的主持人。基金管理人和基金托管人拒不出席或主持基金份额持有人大会，不影响基金份额持有人大会</w:t>
      </w:r>
      <w:r>
        <w:rPr>
          <w:rFonts w:asciiTheme="minorEastAsia" w:eastAsiaTheme="minorEastAsia" w:hAnsiTheme="minorEastAsia"/>
          <w:bCs/>
          <w:color w:val="000000"/>
          <w:sz w:val="24"/>
          <w:szCs w:val="24"/>
        </w:rPr>
        <w:t>作出</w:t>
      </w:r>
      <w:r>
        <w:rPr>
          <w:rFonts w:asciiTheme="minorEastAsia" w:eastAsiaTheme="minorEastAsia" w:hAnsiTheme="minorEastAsia"/>
          <w:bCs/>
          <w:color w:val="000000"/>
          <w:sz w:val="24"/>
          <w:szCs w:val="24"/>
        </w:rPr>
        <w:t>的决议的效力。</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会议召集人应当制作出席会议人员的签名册。签名</w:t>
      </w:r>
      <w:r>
        <w:rPr>
          <w:rFonts w:asciiTheme="minorEastAsia" w:eastAsiaTheme="minorEastAsia" w:hAnsiTheme="minorEastAsia"/>
          <w:bCs/>
          <w:color w:val="000000"/>
          <w:sz w:val="24"/>
          <w:szCs w:val="24"/>
        </w:rPr>
        <w:t>册</w:t>
      </w:r>
      <w:r>
        <w:rPr>
          <w:rFonts w:asciiTheme="minorEastAsia" w:eastAsiaTheme="minorEastAsia" w:hAnsiTheme="minorEastAsia"/>
          <w:bCs/>
          <w:color w:val="000000"/>
          <w:sz w:val="24"/>
          <w:szCs w:val="24"/>
        </w:rPr>
        <w:t>载明参加会议人员姓名（或单位名称）、身份证明文件号码、持有或代表有表决权的基金份额、</w:t>
      </w:r>
      <w:r>
        <w:rPr>
          <w:bCs/>
          <w:color w:val="000000"/>
          <w:sz w:val="24"/>
        </w:rPr>
        <w:t>委托人</w:t>
      </w:r>
      <w:r>
        <w:rPr>
          <w:rFonts w:asciiTheme="minorEastAsia" w:eastAsiaTheme="minorEastAsia" w:hAnsiTheme="minorEastAsia"/>
          <w:bCs/>
          <w:color w:val="000000"/>
          <w:sz w:val="24"/>
          <w:szCs w:val="24"/>
        </w:rPr>
        <w:t>姓名（或单位名称）和联系方式等事项。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（2）通讯开会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在通讯开会的情况下，首先由召集人提前</w:t>
      </w:r>
      <w:r>
        <w:rPr>
          <w:rFonts w:asciiTheme="minorEastAsia" w:eastAsiaTheme="minorEastAsia" w:hAnsiTheme="minorEastAsia" w:hint="eastAsia"/>
          <w:bCs/>
          <w:color w:val="000000"/>
          <w:sz w:val="24"/>
          <w:szCs w:val="24"/>
        </w:rPr>
        <w:t>30</w:t>
      </w:r>
      <w:r>
        <w:rPr>
          <w:rFonts w:asciiTheme="minorEastAsia" w:eastAsiaTheme="minorEastAsia" w:hAnsiTheme="minorEastAsia"/>
          <w:bCs/>
          <w:color w:val="000000"/>
          <w:sz w:val="24"/>
          <w:szCs w:val="24"/>
        </w:rPr>
        <w:t>日公布提案，在所通知的表决截止日期后</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个工作日内在公证机关监督下由召集人统计全部有效表决，在公证机关监督下形成决议。</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65" w:name="_Toc57530248"/>
      <w:bookmarkStart w:id="266" w:name="_Toc79392589"/>
      <w:bookmarkStart w:id="267" w:name="_Toc15641225"/>
      <w:r>
        <w:rPr>
          <w:rFonts w:asciiTheme="minorEastAsia" w:eastAsiaTheme="minorEastAsia" w:hAnsiTheme="minorEastAsia"/>
          <w:bCs/>
          <w:color w:val="000000"/>
          <w:sz w:val="24"/>
          <w:szCs w:val="24"/>
        </w:rPr>
        <w:t>六、表决</w:t>
      </w:r>
      <w:bookmarkEnd w:id="265"/>
      <w:bookmarkEnd w:id="266"/>
      <w:bookmarkEnd w:id="267"/>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基金份额持有人所持每份基金份额有一票表决权。</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基金份额持有人大会决议分为一般决议和特别决议：</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2、特别决议，特别决议应当经参加大会的基金份额持有人或其代理人所持表决权的</w:t>
      </w:r>
      <w:r>
        <w:rPr>
          <w:rFonts w:asciiTheme="minorEastAsia" w:eastAsiaTheme="minorEastAsia" w:hAnsiTheme="minorEastAsia" w:hint="eastAsia"/>
          <w:bCs/>
          <w:color w:val="000000"/>
          <w:sz w:val="24"/>
          <w:szCs w:val="24"/>
        </w:rPr>
        <w:t>三分之二</w:t>
      </w:r>
      <w:r>
        <w:rPr>
          <w:rFonts w:asciiTheme="minorEastAsia" w:eastAsiaTheme="minorEastAsia" w:hAnsiTheme="minorEastAsia"/>
          <w:bCs/>
          <w:color w:val="000000"/>
          <w:sz w:val="24"/>
          <w:szCs w:val="24"/>
        </w:rPr>
        <w:t>以上（含</w:t>
      </w:r>
      <w:r>
        <w:rPr>
          <w:rFonts w:asciiTheme="minorEastAsia" w:eastAsiaTheme="minorEastAsia" w:hAnsiTheme="minorEastAsia" w:hint="eastAsia"/>
          <w:bCs/>
          <w:color w:val="000000"/>
          <w:sz w:val="24"/>
          <w:szCs w:val="24"/>
        </w:rPr>
        <w:t>三分之二</w:t>
      </w:r>
      <w:r>
        <w:rPr>
          <w:rFonts w:asciiTheme="minorEastAsia" w:eastAsiaTheme="minorEastAsia" w:hAnsiTheme="minorEastAsia"/>
          <w:bCs/>
          <w:color w:val="000000"/>
          <w:sz w:val="24"/>
          <w:szCs w:val="24"/>
        </w:rPr>
        <w:t>）通过方可</w:t>
      </w:r>
      <w:r>
        <w:rPr>
          <w:rFonts w:asciiTheme="minorEastAsia" w:eastAsiaTheme="minorEastAsia" w:hAnsiTheme="minorEastAsia" w:hint="eastAsia"/>
          <w:bCs/>
          <w:color w:val="000000"/>
          <w:sz w:val="24"/>
          <w:szCs w:val="24"/>
        </w:rPr>
        <w:t>作</w:t>
      </w:r>
      <w:r>
        <w:rPr>
          <w:rFonts w:asciiTheme="minorEastAsia" w:eastAsiaTheme="minorEastAsia" w:hAnsiTheme="minorEastAsia"/>
          <w:bCs/>
          <w:color w:val="000000"/>
          <w:sz w:val="24"/>
          <w:szCs w:val="24"/>
        </w:rPr>
        <w:t>出</w:t>
      </w:r>
      <w:r>
        <w:rPr>
          <w:rFonts w:asciiTheme="minorEastAsia" w:eastAsiaTheme="minorEastAsia" w:hAnsiTheme="minorEastAsia"/>
          <w:bCs/>
          <w:color w:val="000000"/>
          <w:sz w:val="24"/>
          <w:szCs w:val="24"/>
        </w:rPr>
        <w:t>。除法律法规或基金合同另有约定外</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转换</w:t>
      </w:r>
      <w:r>
        <w:rPr>
          <w:rFonts w:ascii="宋体" w:hAnsi="宋体" w:hint="eastAsia"/>
          <w:bCs/>
          <w:color w:val="000000"/>
          <w:sz w:val="24"/>
          <w:szCs w:val="24"/>
        </w:rPr>
        <w:t>基金</w:t>
      </w:r>
      <w:r>
        <w:rPr>
          <w:rFonts w:asciiTheme="minorEastAsia" w:eastAsiaTheme="minorEastAsia" w:hAnsiTheme="minorEastAsia"/>
          <w:bCs/>
          <w:color w:val="000000"/>
          <w:sz w:val="24"/>
          <w:szCs w:val="24"/>
        </w:rPr>
        <w:t>运作方式、更换基金管理人或者基金托管人、终止《基金合同》、本基金与其他</w:t>
      </w:r>
      <w:r>
        <w:rPr>
          <w:rFonts w:ascii="宋体" w:hAnsi="宋体" w:hint="eastAsia"/>
          <w:bCs/>
          <w:color w:val="000000"/>
          <w:sz w:val="24"/>
          <w:szCs w:val="24"/>
        </w:rPr>
        <w:t>基金</w:t>
      </w:r>
      <w:r>
        <w:rPr>
          <w:rFonts w:asciiTheme="minorEastAsia" w:eastAsiaTheme="minorEastAsia" w:hAnsiTheme="minorEastAsia"/>
          <w:bCs/>
          <w:color w:val="000000"/>
          <w:sz w:val="24"/>
          <w:szCs w:val="24"/>
        </w:rPr>
        <w:t>合并以特别决议通过方为有效。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基金份额持有人大会采取记名方式进行投票表决。</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基金份额持有人大会的各项提案或同一项提案内并列的各项议题应当分开审议、逐项表决。</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268" w:name="_Toc57530249"/>
      <w:bookmarkStart w:id="269" w:name="_Toc79392590"/>
      <w:bookmarkStart w:id="270" w:name="_Toc15641226"/>
      <w:r>
        <w:rPr>
          <w:rFonts w:asciiTheme="minorEastAsia" w:eastAsiaTheme="minorEastAsia" w:hAnsiTheme="minorEastAsia"/>
          <w:bCs/>
          <w:color w:val="000000"/>
          <w:sz w:val="24"/>
          <w:szCs w:val="24"/>
        </w:rPr>
        <w:t>七、计票</w:t>
      </w:r>
      <w:bookmarkEnd w:id="268"/>
      <w:bookmarkEnd w:id="269"/>
      <w:bookmarkEnd w:id="270"/>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1、现场开会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r>
        <w:rPr>
          <w:rFonts w:asciiTheme="minorEastAsia" w:eastAsiaTheme="minorEastAsia" w:hAnsiTheme="minorEastAsia"/>
          <w:bCs/>
          <w:color w:val="000000"/>
          <w:sz w:val="24"/>
          <w:szCs w:val="24"/>
        </w:rPr>
        <w:t>或大会</w:t>
      </w:r>
      <w:r>
        <w:rPr>
          <w:rFonts w:asciiTheme="minorEastAsia" w:eastAsiaTheme="minorEastAsia" w:hAnsiTheme="minorEastAsia"/>
          <w:bCs/>
          <w:color w:val="000000"/>
          <w:sz w:val="24"/>
          <w:szCs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（2）监票人应当在基金份额持有人表决后立即进行清点并由大会主持人当场公布计票结果。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（3）如果会议主持人或基金份额持有人或代理人对于提交的表决结果有怀疑，可以在宣布表决结果后立即对所投票</w:t>
      </w:r>
      <w:r>
        <w:rPr>
          <w:rFonts w:asciiTheme="minorEastAsia" w:eastAsiaTheme="minorEastAsia" w:hAnsiTheme="minorEastAsia"/>
          <w:bCs/>
          <w:color w:val="000000"/>
          <w:sz w:val="24"/>
          <w:szCs w:val="24"/>
        </w:rPr>
        <w:t>数要求</w:t>
      </w:r>
      <w:r>
        <w:rPr>
          <w:rFonts w:asciiTheme="minorEastAsia" w:eastAsiaTheme="minorEastAsia" w:hAnsiTheme="minorEastAsia"/>
          <w:bCs/>
          <w:color w:val="000000"/>
          <w:sz w:val="24"/>
          <w:szCs w:val="24"/>
        </w:rPr>
        <w:t>进行重新清点。监票人应当进行重新清点，重新清点以一次为限。重新清点后，大会主持人应当当场公布重新清点结果。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（4）计票过程应由公证机关予以公证，基金管理人或基金托管人拒不出席大会的，不影响计票的效力。</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2、通讯开会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71" w:name="_Toc79392591"/>
      <w:bookmarkStart w:id="272" w:name="_Toc15641227"/>
      <w:bookmarkStart w:id="273" w:name="_Toc57530250"/>
      <w:r>
        <w:rPr>
          <w:rFonts w:asciiTheme="minorEastAsia" w:eastAsiaTheme="minorEastAsia" w:hAnsiTheme="minorEastAsia"/>
          <w:bCs/>
          <w:color w:val="000000"/>
          <w:sz w:val="24"/>
          <w:szCs w:val="24"/>
        </w:rPr>
        <w:t>。基金管理人或基金托管</w:t>
      </w:r>
      <w:r>
        <w:rPr>
          <w:rFonts w:asciiTheme="minorEastAsia" w:eastAsiaTheme="minorEastAsia" w:hAnsiTheme="minorEastAsia"/>
          <w:bCs/>
          <w:color w:val="000000"/>
          <w:sz w:val="24"/>
          <w:szCs w:val="24"/>
        </w:rPr>
        <w:t>人拒派</w:t>
      </w:r>
      <w:r>
        <w:rPr>
          <w:rFonts w:asciiTheme="minorEastAsia" w:eastAsiaTheme="minorEastAsia" w:hAnsiTheme="minorEastAsia"/>
          <w:bCs/>
          <w:color w:val="000000"/>
          <w:sz w:val="24"/>
          <w:szCs w:val="24"/>
        </w:rPr>
        <w:t>代表对表决意见的计票进行监督的，不影响计票和表决结果。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八、生效与公告</w:t>
      </w:r>
      <w:bookmarkEnd w:id="271"/>
      <w:bookmarkEnd w:id="272"/>
      <w:bookmarkEnd w:id="273"/>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基金份额持有人大会的决议，召集人应当自通过之日起</w:t>
      </w:r>
      <w:r>
        <w:rPr>
          <w:rFonts w:asciiTheme="minorEastAsia" w:eastAsiaTheme="minorEastAsia" w:hAnsiTheme="minorEastAsia" w:hint="eastAsia"/>
          <w:bCs/>
          <w:color w:val="000000"/>
          <w:sz w:val="24"/>
          <w:szCs w:val="24"/>
        </w:rPr>
        <w:t>5</w:t>
      </w:r>
      <w:r>
        <w:rPr>
          <w:rFonts w:asciiTheme="minorEastAsia" w:eastAsiaTheme="minorEastAsia" w:hAnsiTheme="minorEastAsia"/>
          <w:bCs/>
          <w:color w:val="000000"/>
          <w:sz w:val="24"/>
          <w:szCs w:val="24"/>
        </w:rPr>
        <w:t>日内报中国证监会备案。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基金份额持有人大会的决议自表决通过之日起生效。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基金份额持有人大会决议自生效之日起</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日内在</w:t>
      </w:r>
      <w:r>
        <w:rPr>
          <w:rFonts w:asciiTheme="minorEastAsia" w:eastAsiaTheme="minorEastAsia" w:hAnsiTheme="minorEastAsia" w:hint="eastAsia"/>
          <w:bCs/>
          <w:color w:val="000000"/>
          <w:sz w:val="24"/>
          <w:szCs w:val="24"/>
        </w:rPr>
        <w:t>规定媒介</w:t>
      </w:r>
      <w:r>
        <w:rPr>
          <w:rFonts w:asciiTheme="minorEastAsia" w:eastAsiaTheme="minorEastAsia" w:hAnsiTheme="minorEastAsia"/>
          <w:bCs/>
          <w:color w:val="000000"/>
          <w:sz w:val="24"/>
          <w:szCs w:val="24"/>
        </w:rPr>
        <w:t>上公告。</w:t>
      </w:r>
      <w:bookmarkStart w:id="274" w:name="_Hlt88820702"/>
      <w:bookmarkEnd w:id="274"/>
      <w:r>
        <w:rPr>
          <w:rFonts w:asciiTheme="minorEastAsia" w:eastAsiaTheme="minorEastAsia" w:hAnsiTheme="minorEastAsia"/>
          <w:bCs/>
          <w:color w:val="000000"/>
          <w:sz w:val="24"/>
          <w:szCs w:val="24"/>
        </w:rPr>
        <w:t>如果采用通讯方式进行表决，在公告基金份额持有人大会决议时，必须将公证书全文、公证机构、公证员姓名等一同公告。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基金管理人、基金托管人和基金份额持有人应当执行生效的基金份额持有人大会的决议。生效的基金份额持有人大会决议对全体基金份额持有人、基金管理人、基金托管人均有约束力。</w:t>
      </w:r>
      <w:bookmarkStart w:id="275" w:name="_Toc3963"/>
      <w:bookmarkStart w:id="276" w:name="_Toc1745"/>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九、本部</w:t>
      </w:r>
      <w:r>
        <w:rPr>
          <w:rFonts w:asciiTheme="minorEastAsia" w:eastAsiaTheme="minorEastAsia" w:hAnsiTheme="minorEastAsia" w:hint="eastAsia"/>
          <w:bCs/>
          <w:color w:val="000000"/>
          <w:sz w:val="24"/>
          <w:szCs w:val="24"/>
        </w:rPr>
        <w:t>分关于</w:t>
      </w:r>
      <w:r>
        <w:rPr>
          <w:rFonts w:asciiTheme="minorEastAsia" w:eastAsiaTheme="minorEastAsia" w:hAnsiTheme="minorEastAsia" w:hint="eastAsia"/>
          <w:bCs/>
          <w:color w:val="000000"/>
          <w:sz w:val="24"/>
          <w:szCs w:val="24"/>
        </w:rPr>
        <w:t>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十、实施</w:t>
      </w:r>
      <w:r>
        <w:rPr>
          <w:rFonts w:asciiTheme="minorEastAsia" w:eastAsiaTheme="minorEastAsia" w:hAnsiTheme="minorEastAsia" w:hint="eastAsia"/>
          <w:b/>
          <w:bCs/>
          <w:color w:val="000000"/>
          <w:sz w:val="24"/>
        </w:rPr>
        <w:t>侧袋机制</w:t>
      </w:r>
      <w:r>
        <w:rPr>
          <w:rFonts w:asciiTheme="minorEastAsia" w:eastAsiaTheme="minorEastAsia" w:hAnsiTheme="minorEastAsia" w:hint="eastAsia"/>
          <w:b/>
          <w:bCs/>
          <w:color w:val="000000"/>
          <w:sz w:val="24"/>
        </w:rPr>
        <w:t>期间基金份额持有人大会的特殊约定</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若本基金</w:t>
      </w:r>
      <w:r>
        <w:rPr>
          <w:rFonts w:asciiTheme="minorEastAsia" w:eastAsiaTheme="minorEastAsia" w:hAnsiTheme="minorEastAsia" w:hint="eastAsia"/>
          <w:b/>
          <w:bCs/>
          <w:color w:val="000000"/>
          <w:sz w:val="24"/>
        </w:rPr>
        <w:t>实施侧袋机制</w:t>
      </w:r>
      <w:r>
        <w:rPr>
          <w:rFonts w:asciiTheme="minorEastAsia" w:eastAsiaTheme="minorEastAsia" w:hAnsiTheme="minorEastAsia" w:hint="eastAsia"/>
          <w:b/>
          <w:bCs/>
          <w:color w:val="000000"/>
          <w:sz w:val="24"/>
        </w:rPr>
        <w:t>，</w:t>
      </w:r>
      <w:r>
        <w:rPr>
          <w:rFonts w:asciiTheme="minorEastAsia" w:eastAsiaTheme="minorEastAsia" w:hAnsiTheme="minorEastAsia" w:hint="eastAsia"/>
          <w:b/>
          <w:bCs/>
          <w:color w:val="000000"/>
          <w:sz w:val="24"/>
        </w:rPr>
        <w:t>则相关</w:t>
      </w:r>
      <w:r>
        <w:rPr>
          <w:rFonts w:asciiTheme="minorEastAsia" w:eastAsiaTheme="minorEastAsia" w:hAnsiTheme="minorEastAsia" w:hint="eastAsia"/>
          <w:b/>
          <w:bCs/>
          <w:color w:val="000000"/>
          <w:sz w:val="24"/>
        </w:rPr>
        <w:t>基金份额或表决权的比例</w:t>
      </w:r>
      <w:r>
        <w:rPr>
          <w:rFonts w:asciiTheme="minorEastAsia" w:eastAsiaTheme="minorEastAsia" w:hAnsiTheme="minorEastAsia" w:hint="eastAsia"/>
          <w:b/>
          <w:bCs/>
          <w:color w:val="000000"/>
          <w:sz w:val="24"/>
        </w:rPr>
        <w:t>指主袋份额</w:t>
      </w:r>
      <w:r>
        <w:rPr>
          <w:rFonts w:asciiTheme="minorEastAsia" w:eastAsiaTheme="minorEastAsia" w:hAnsiTheme="minorEastAsia" w:hint="eastAsia"/>
          <w:b/>
          <w:bCs/>
          <w:color w:val="000000"/>
          <w:sz w:val="24"/>
        </w:rPr>
        <w:t>持有</w:t>
      </w:r>
      <w:r>
        <w:rPr>
          <w:rFonts w:asciiTheme="minorEastAsia" w:eastAsiaTheme="minorEastAsia" w:hAnsiTheme="minorEastAsia" w:hint="eastAsia"/>
          <w:b/>
          <w:bCs/>
          <w:color w:val="000000"/>
          <w:sz w:val="24"/>
        </w:rPr>
        <w:t>人和侧袋份额</w:t>
      </w:r>
      <w:r>
        <w:rPr>
          <w:rFonts w:asciiTheme="minorEastAsia" w:eastAsiaTheme="minorEastAsia" w:hAnsiTheme="minorEastAsia" w:hint="eastAsia"/>
          <w:b/>
          <w:bCs/>
          <w:color w:val="000000"/>
          <w:sz w:val="24"/>
        </w:rPr>
        <w:t>持有人分别持有或代表的基金份额或表决权符合该等比例，但</w:t>
      </w:r>
      <w:r>
        <w:rPr>
          <w:rFonts w:asciiTheme="minorEastAsia" w:eastAsiaTheme="minorEastAsia" w:hAnsiTheme="minorEastAsia" w:hint="eastAsia"/>
          <w:b/>
          <w:bCs/>
          <w:color w:val="000000"/>
          <w:sz w:val="24"/>
        </w:rPr>
        <w:t>若相关</w:t>
      </w:r>
      <w:r>
        <w:rPr>
          <w:rFonts w:asciiTheme="minorEastAsia" w:eastAsiaTheme="minorEastAsia" w:hAnsiTheme="minorEastAsia" w:hint="eastAsia"/>
          <w:b/>
          <w:bCs/>
          <w:color w:val="000000"/>
          <w:sz w:val="24"/>
        </w:rPr>
        <w:t>基金份额持有人大会召集和审议事项不</w:t>
      </w:r>
      <w:r>
        <w:rPr>
          <w:rFonts w:asciiTheme="minorEastAsia" w:eastAsiaTheme="minorEastAsia" w:hAnsiTheme="minorEastAsia" w:hint="eastAsia"/>
          <w:b/>
          <w:bCs/>
          <w:color w:val="000000"/>
          <w:sz w:val="24"/>
        </w:rPr>
        <w:t>涉及侧袋账户</w:t>
      </w:r>
      <w:r>
        <w:rPr>
          <w:rFonts w:asciiTheme="minorEastAsia" w:eastAsiaTheme="minorEastAsia" w:hAnsiTheme="minorEastAsia" w:hint="eastAsia"/>
          <w:b/>
          <w:bCs/>
          <w:color w:val="000000"/>
          <w:sz w:val="24"/>
        </w:rPr>
        <w:t>的，则仅</w:t>
      </w:r>
      <w:r>
        <w:rPr>
          <w:rFonts w:asciiTheme="minorEastAsia" w:eastAsiaTheme="minorEastAsia" w:hAnsiTheme="minorEastAsia" w:hint="eastAsia"/>
          <w:b/>
          <w:bCs/>
          <w:color w:val="000000"/>
          <w:sz w:val="24"/>
        </w:rPr>
        <w:t>指主袋份额</w:t>
      </w:r>
      <w:r>
        <w:rPr>
          <w:rFonts w:asciiTheme="minorEastAsia" w:eastAsiaTheme="minorEastAsia" w:hAnsiTheme="minorEastAsia" w:hint="eastAsia"/>
          <w:b/>
          <w:bCs/>
          <w:color w:val="000000"/>
          <w:sz w:val="24"/>
        </w:rPr>
        <w:t>持有人持有或代表的基金份额或表决权符合该等比例：</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1、基金份额持有人行使提议权、召集权、提名权所需单独或合计代表相关基金份额10%以上（含10%）；</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2、现场开会的到会者在权益登记日代表的基金份额不少于本基金在权益登记</w:t>
      </w:r>
      <w:r>
        <w:rPr>
          <w:rFonts w:asciiTheme="minorEastAsia" w:eastAsiaTheme="minorEastAsia" w:hAnsiTheme="minorEastAsia" w:hint="eastAsia"/>
          <w:b/>
          <w:bCs/>
          <w:color w:val="000000"/>
          <w:sz w:val="24"/>
        </w:rPr>
        <w:t>日相关</w:t>
      </w:r>
      <w:r>
        <w:rPr>
          <w:rFonts w:asciiTheme="minorEastAsia" w:eastAsiaTheme="minorEastAsia" w:hAnsiTheme="minorEastAsia" w:hint="eastAsia"/>
          <w:b/>
          <w:bCs/>
          <w:color w:val="000000"/>
          <w:sz w:val="24"/>
        </w:rPr>
        <w:t>基金份额的二分之一（含二分之一）；</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3、通讯开会的直接出具</w:t>
      </w:r>
      <w:r>
        <w:rPr>
          <w:rFonts w:asciiTheme="minorEastAsia" w:eastAsiaTheme="minorEastAsia" w:hAnsiTheme="minorEastAsia"/>
          <w:b/>
          <w:bCs/>
          <w:color w:val="000000"/>
          <w:sz w:val="24"/>
        </w:rPr>
        <w:t>表决</w:t>
      </w:r>
      <w:r>
        <w:rPr>
          <w:rFonts w:asciiTheme="minorEastAsia" w:eastAsiaTheme="minorEastAsia" w:hAnsiTheme="minorEastAsia" w:hint="eastAsia"/>
          <w:b/>
          <w:bCs/>
          <w:color w:val="000000"/>
          <w:sz w:val="24"/>
        </w:rPr>
        <w:t>意见或授权他人代表出具</w:t>
      </w:r>
      <w:r>
        <w:rPr>
          <w:rFonts w:asciiTheme="minorEastAsia" w:eastAsiaTheme="minorEastAsia" w:hAnsiTheme="minorEastAsia"/>
          <w:b/>
          <w:bCs/>
          <w:color w:val="000000"/>
          <w:sz w:val="24"/>
        </w:rPr>
        <w:t>表决</w:t>
      </w:r>
      <w:r>
        <w:rPr>
          <w:rFonts w:asciiTheme="minorEastAsia" w:eastAsiaTheme="minorEastAsia" w:hAnsiTheme="minorEastAsia" w:hint="eastAsia"/>
          <w:b/>
          <w:bCs/>
          <w:color w:val="000000"/>
          <w:sz w:val="24"/>
        </w:rPr>
        <w:t>意见的基金份额持有人所持有的基金份额不小于在权益登记</w:t>
      </w:r>
      <w:r>
        <w:rPr>
          <w:rFonts w:asciiTheme="minorEastAsia" w:eastAsiaTheme="minorEastAsia" w:hAnsiTheme="minorEastAsia" w:hint="eastAsia"/>
          <w:b/>
          <w:bCs/>
          <w:color w:val="000000"/>
          <w:sz w:val="24"/>
        </w:rPr>
        <w:t>日相关</w:t>
      </w:r>
      <w:r>
        <w:rPr>
          <w:rFonts w:asciiTheme="minorEastAsia" w:eastAsiaTheme="minorEastAsia" w:hAnsiTheme="minorEastAsia" w:hint="eastAsia"/>
          <w:b/>
          <w:bCs/>
          <w:color w:val="000000"/>
          <w:sz w:val="24"/>
        </w:rPr>
        <w:t>基金份额的二分之一（含二分之一）；</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4、在参与基金份额持有人大会投票的基金份额持有人所持有的基金份额小于在权益登记</w:t>
      </w:r>
      <w:r>
        <w:rPr>
          <w:rFonts w:asciiTheme="minorEastAsia" w:eastAsiaTheme="minorEastAsia" w:hAnsiTheme="minorEastAsia" w:hint="eastAsia"/>
          <w:b/>
          <w:bCs/>
          <w:color w:val="000000"/>
          <w:sz w:val="24"/>
        </w:rPr>
        <w:t>日相关</w:t>
      </w:r>
      <w:r>
        <w:rPr>
          <w:rFonts w:asciiTheme="minorEastAsia" w:eastAsiaTheme="minorEastAsia" w:hAnsiTheme="minorEastAsia" w:hint="eastAsia"/>
          <w:b/>
          <w:bCs/>
          <w:color w:val="000000"/>
          <w:sz w:val="24"/>
        </w:rPr>
        <w:t>基金份额的二分之一、召集人在原公告的基金份额持有人大会召开时间的3个月以后、6个月以内就原定审议事项重新召集的基金份额持有人大会应当有代表三分之一以上（含三分之一）相关基金份额的持有人参与或</w:t>
      </w:r>
      <w:r>
        <w:rPr>
          <w:rFonts w:asciiTheme="minorEastAsia" w:eastAsiaTheme="minorEastAsia" w:hAnsiTheme="minorEastAsia" w:hint="eastAsia"/>
          <w:b/>
          <w:bCs/>
          <w:color w:val="000000"/>
          <w:sz w:val="24"/>
        </w:rPr>
        <w:t>授权他人参与基金份额持有人大会投票；</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5、如果基金管理人授权代表和基金托管人授权代表均未能主持大会，现场开会由出席大会的相关基金份额持有人和代理人所持表决权的50%以上（含50%）选举产生一名基金份额持有人作为该次基金份额持有人大会的主持人；</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6、一般决议须经参加大会的相关基金份额持有人或其代理人所持表决权的二分之一以上（含二分之一）通过；</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7、特别决议应当经参加大会的相关基金份额持有人或其代理人所持表决权的三分之二以上（含三分之二）通过。</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
          <w:bCs/>
          <w:color w:val="000000"/>
          <w:sz w:val="24"/>
        </w:rPr>
        <w:t>侧袋机制</w:t>
      </w:r>
      <w:r>
        <w:rPr>
          <w:rFonts w:asciiTheme="minorEastAsia" w:eastAsiaTheme="minorEastAsia" w:hAnsiTheme="minorEastAsia" w:hint="eastAsia"/>
          <w:b/>
          <w:bCs/>
          <w:color w:val="000000"/>
          <w:sz w:val="24"/>
        </w:rPr>
        <w:t>实施期间，</w:t>
      </w:r>
      <w:r>
        <w:rPr>
          <w:rFonts w:asciiTheme="minorEastAsia" w:eastAsiaTheme="minorEastAsia" w:hAnsiTheme="minorEastAsia"/>
          <w:b/>
          <w:bCs/>
          <w:color w:val="000000"/>
          <w:sz w:val="24"/>
        </w:rPr>
        <w:t>基金份额持有人</w:t>
      </w:r>
      <w:r>
        <w:rPr>
          <w:rFonts w:asciiTheme="minorEastAsia" w:eastAsiaTheme="minorEastAsia" w:hAnsiTheme="minorEastAsia" w:hint="eastAsia"/>
          <w:b/>
          <w:bCs/>
          <w:color w:val="000000"/>
          <w:sz w:val="24"/>
        </w:rPr>
        <w:t>大会审议事项</w:t>
      </w:r>
      <w:r>
        <w:rPr>
          <w:rFonts w:asciiTheme="minorEastAsia" w:eastAsiaTheme="minorEastAsia" w:hAnsiTheme="minorEastAsia" w:hint="eastAsia"/>
          <w:b/>
          <w:bCs/>
          <w:color w:val="000000"/>
          <w:sz w:val="24"/>
        </w:rPr>
        <w:t>涉及主袋账户</w:t>
      </w:r>
      <w:r>
        <w:rPr>
          <w:rFonts w:asciiTheme="minorEastAsia" w:eastAsiaTheme="minorEastAsia" w:hAnsiTheme="minorEastAsia" w:hint="eastAsia"/>
          <w:b/>
          <w:bCs/>
          <w:color w:val="000000"/>
          <w:sz w:val="24"/>
        </w:rPr>
        <w:t>和</w:t>
      </w:r>
      <w:r>
        <w:rPr>
          <w:rFonts w:asciiTheme="minorEastAsia" w:eastAsiaTheme="minorEastAsia" w:hAnsiTheme="minorEastAsia" w:hint="eastAsia"/>
          <w:b/>
          <w:bCs/>
          <w:color w:val="000000"/>
          <w:sz w:val="24"/>
        </w:rPr>
        <w:t>侧袋</w:t>
      </w:r>
      <w:r>
        <w:rPr>
          <w:rFonts w:asciiTheme="minorEastAsia" w:eastAsiaTheme="minorEastAsia" w:hAnsiTheme="minorEastAsia" w:hint="eastAsia"/>
          <w:b/>
          <w:bCs/>
          <w:color w:val="000000"/>
          <w:sz w:val="24"/>
        </w:rPr>
        <w:t>账户的，应分别</w:t>
      </w:r>
      <w:r>
        <w:rPr>
          <w:rFonts w:asciiTheme="minorEastAsia" w:eastAsiaTheme="minorEastAsia" w:hAnsiTheme="minorEastAsia" w:hint="eastAsia"/>
          <w:b/>
          <w:bCs/>
          <w:color w:val="000000"/>
          <w:sz w:val="24"/>
        </w:rPr>
        <w:t>由主袋账户</w:t>
      </w:r>
      <w:r>
        <w:rPr>
          <w:rFonts w:asciiTheme="minorEastAsia" w:eastAsiaTheme="minorEastAsia" w:hAnsiTheme="minorEastAsia" w:hint="eastAsia"/>
          <w:b/>
          <w:bCs/>
          <w:color w:val="000000"/>
          <w:sz w:val="24"/>
        </w:rPr>
        <w:t>、</w:t>
      </w:r>
      <w:r>
        <w:rPr>
          <w:rFonts w:asciiTheme="minorEastAsia" w:eastAsiaTheme="minorEastAsia" w:hAnsiTheme="minorEastAsia" w:hint="eastAsia"/>
          <w:b/>
          <w:bCs/>
          <w:color w:val="000000"/>
          <w:sz w:val="24"/>
        </w:rPr>
        <w:t>侧袋账户</w:t>
      </w:r>
      <w:r>
        <w:rPr>
          <w:rFonts w:asciiTheme="minorEastAsia" w:eastAsiaTheme="minorEastAsia" w:hAnsiTheme="minorEastAsia" w:hint="eastAsia"/>
          <w:b/>
          <w:bCs/>
          <w:color w:val="000000"/>
          <w:sz w:val="24"/>
        </w:rPr>
        <w:t>的</w:t>
      </w:r>
      <w:r>
        <w:rPr>
          <w:rFonts w:asciiTheme="minorEastAsia" w:eastAsiaTheme="minorEastAsia" w:hAnsiTheme="minorEastAsia"/>
          <w:b/>
          <w:bCs/>
          <w:color w:val="000000"/>
          <w:sz w:val="24"/>
        </w:rPr>
        <w:t>基金份额持有人</w:t>
      </w:r>
      <w:r>
        <w:rPr>
          <w:rFonts w:asciiTheme="minorEastAsia" w:eastAsiaTheme="minorEastAsia" w:hAnsiTheme="minorEastAsia" w:hint="eastAsia"/>
          <w:b/>
          <w:bCs/>
          <w:color w:val="000000"/>
          <w:sz w:val="24"/>
        </w:rPr>
        <w:t>进行表决，同</w:t>
      </w:r>
      <w:r>
        <w:rPr>
          <w:rFonts w:asciiTheme="minorEastAsia" w:eastAsiaTheme="minorEastAsia" w:hAnsiTheme="minorEastAsia" w:hint="eastAsia"/>
          <w:b/>
          <w:bCs/>
          <w:color w:val="000000"/>
          <w:sz w:val="24"/>
        </w:rPr>
        <w:t>一主侧袋账户</w:t>
      </w:r>
      <w:r>
        <w:rPr>
          <w:rFonts w:asciiTheme="minorEastAsia" w:eastAsiaTheme="minorEastAsia" w:hAnsiTheme="minorEastAsia" w:hint="eastAsia"/>
          <w:b/>
          <w:bCs/>
          <w:color w:val="000000"/>
          <w:sz w:val="24"/>
        </w:rPr>
        <w:t>内的每份基金份额具有平等的表决权。表决事项未</w:t>
      </w:r>
      <w:r>
        <w:rPr>
          <w:rFonts w:asciiTheme="minorEastAsia" w:eastAsiaTheme="minorEastAsia" w:hAnsiTheme="minorEastAsia" w:hint="eastAsia"/>
          <w:b/>
          <w:bCs/>
          <w:color w:val="000000"/>
          <w:sz w:val="24"/>
        </w:rPr>
        <w:t>涉及侧袋账户</w:t>
      </w:r>
      <w:r>
        <w:rPr>
          <w:rFonts w:asciiTheme="minorEastAsia" w:eastAsiaTheme="minorEastAsia" w:hAnsiTheme="minorEastAsia" w:hint="eastAsia"/>
          <w:b/>
          <w:bCs/>
          <w:color w:val="000000"/>
          <w:sz w:val="24"/>
        </w:rPr>
        <w:t>的，</w:t>
      </w:r>
      <w:r>
        <w:rPr>
          <w:rFonts w:asciiTheme="minorEastAsia" w:eastAsiaTheme="minorEastAsia" w:hAnsiTheme="minorEastAsia" w:hint="eastAsia"/>
          <w:b/>
          <w:bCs/>
          <w:color w:val="000000"/>
          <w:sz w:val="24"/>
        </w:rPr>
        <w:t>侧袋账户</w:t>
      </w:r>
      <w:r>
        <w:rPr>
          <w:rFonts w:asciiTheme="minorEastAsia" w:eastAsiaTheme="minorEastAsia" w:hAnsiTheme="minorEastAsia" w:hint="eastAsia"/>
          <w:b/>
          <w:bCs/>
          <w:color w:val="000000"/>
          <w:sz w:val="24"/>
        </w:rPr>
        <w:t>份额无表决权。</w:t>
      </w:r>
    </w:p>
    <w:p w:rsidR="00AA3326">
      <w:pPr>
        <w:pStyle w:val="Heading1"/>
        <w:jc w:val="center"/>
        <w:rPr>
          <w:rFonts w:asciiTheme="minorEastAsia" w:eastAsiaTheme="minorEastAsia" w:hAnsiTheme="minorEastAsia" w:hint="eastAsia"/>
        </w:rPr>
      </w:pPr>
      <w:bookmarkStart w:id="277" w:name="_Toc18769"/>
      <w:r>
        <w:rPr>
          <w:rFonts w:asciiTheme="minorEastAsia" w:eastAsiaTheme="minorEastAsia" w:hAnsiTheme="minorEastAsia"/>
          <w:b w:val="0"/>
          <w:bCs/>
        </w:rPr>
        <w:br w:type="page"/>
      </w:r>
      <w:bookmarkStart w:id="278" w:name="_Toc725"/>
      <w:bookmarkStart w:id="279" w:name="_Toc139991739"/>
      <w:bookmarkStart w:id="280" w:name="_Toc534140372"/>
      <w:bookmarkStart w:id="281" w:name="_Toc10398"/>
      <w:bookmarkStart w:id="282" w:name="_Toc207633407"/>
      <w:bookmarkStart w:id="283" w:name="_Toc141703889"/>
      <w:bookmarkStart w:id="284" w:name="_Toc532487734"/>
      <w:bookmarkStart w:id="285" w:name="_Toc123112237"/>
      <w:bookmarkStart w:id="286" w:name="_Toc18206"/>
      <w:bookmarkStart w:id="287" w:name="_Toc31821"/>
      <w:bookmarkStart w:id="288" w:name="_Toc98560355"/>
      <w:bookmarkStart w:id="289" w:name="_Toc3080"/>
      <w:bookmarkStart w:id="290" w:name="_Toc21735"/>
      <w:bookmarkStart w:id="291" w:name="_Toc3572"/>
      <w:bookmarkStart w:id="292" w:name="_Toc123051455"/>
      <w:bookmarkStart w:id="293" w:name="_Toc123102456"/>
      <w:bookmarkStart w:id="294" w:name="_Toc16164"/>
      <w:bookmarkStart w:id="295" w:name="_Hlk197686334"/>
      <w:r>
        <w:rPr>
          <w:rFonts w:asciiTheme="minorEastAsia" w:eastAsiaTheme="minorEastAsia" w:hAnsiTheme="minorEastAsia"/>
          <w:sz w:val="30"/>
        </w:rPr>
        <w:t>第九部分  基金管理人、基金托管人的更换条件和程序</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AA3326">
      <w:pPr>
        <w:autoSpaceDE w:val="0"/>
        <w:autoSpaceDN w:val="0"/>
        <w:spacing w:line="360" w:lineRule="auto"/>
        <w:textAlignment w:val="bottom"/>
        <w:rPr>
          <w:rFonts w:asciiTheme="minorEastAsia" w:eastAsiaTheme="minorEastAsia" w:hAnsiTheme="minorEastAsia" w:hint="eastAsia"/>
          <w:bCs/>
          <w:color w:val="000000"/>
          <w:sz w:val="24"/>
        </w:rPr>
      </w:pPr>
      <w:bookmarkStart w:id="296" w:name="_Toc79392593"/>
      <w:bookmarkStart w:id="297" w:name="_Toc57530252"/>
      <w:bookmarkStart w:id="298" w:name="_Toc15118245"/>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一、基金管理人和基金托管人职责终止的情形</w:t>
      </w:r>
      <w:bookmarkEnd w:id="296"/>
      <w:bookmarkEnd w:id="297"/>
      <w:bookmarkEnd w:id="298"/>
    </w:p>
    <w:p w:rsidR="00AA3326">
      <w:pPr>
        <w:spacing w:line="360" w:lineRule="auto"/>
        <w:ind w:firstLine="480" w:firstLineChars="200"/>
        <w:rPr>
          <w:rFonts w:asciiTheme="minorEastAsia" w:eastAsiaTheme="minorEastAsia" w:hAnsiTheme="minorEastAsia" w:hint="eastAsia"/>
          <w:bCs/>
          <w:color w:val="000000"/>
          <w:sz w:val="24"/>
        </w:rPr>
      </w:pPr>
      <w:bookmarkStart w:id="299" w:name="_Toc22005971"/>
      <w:r>
        <w:rPr>
          <w:rFonts w:asciiTheme="minorEastAsia" w:eastAsiaTheme="minorEastAsia" w:hAnsiTheme="minorEastAsia"/>
          <w:bCs/>
          <w:color w:val="000000"/>
          <w:sz w:val="24"/>
        </w:rPr>
        <w:t>（一）</w:t>
      </w:r>
      <w:r>
        <w:rPr>
          <w:rFonts w:asciiTheme="minorEastAsia" w:eastAsiaTheme="minorEastAsia" w:hAnsiTheme="minorEastAsia"/>
          <w:bCs/>
          <w:color w:val="000000"/>
          <w:sz w:val="24"/>
        </w:rPr>
        <w:tab/>
        <w:t>基金管理人职责终止的情形</w:t>
      </w:r>
      <w:bookmarkEnd w:id="299"/>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有下列情形之一的，基金管理人职责终止：</w:t>
      </w:r>
    </w:p>
    <w:p w:rsidR="00AA3326">
      <w:pPr>
        <w:spacing w:line="360" w:lineRule="auto"/>
        <w:ind w:firstLine="480" w:firstLineChars="200"/>
        <w:rPr>
          <w:rFonts w:asciiTheme="minorEastAsia" w:eastAsiaTheme="minorEastAsia" w:hAnsiTheme="minorEastAsia" w:hint="eastAsia"/>
          <w:bCs/>
          <w:color w:val="000000"/>
          <w:sz w:val="24"/>
        </w:rPr>
      </w:pPr>
      <w:bookmarkStart w:id="300" w:name="_Hlk197518964"/>
      <w:r>
        <w:rPr>
          <w:rFonts w:asciiTheme="minorEastAsia" w:eastAsiaTheme="minorEastAsia" w:hAnsiTheme="minorEastAsia"/>
          <w:bCs/>
          <w:color w:val="000000"/>
          <w:sz w:val="24"/>
        </w:rPr>
        <w:t>1、被依法取消基金管理人资格；</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2、被基金份额持有人大会解任；</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3、依法解散、被依法撤销或被依法宣告破产；</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4、</w:t>
      </w:r>
      <w:r>
        <w:rPr>
          <w:rFonts w:asciiTheme="minorEastAsia" w:eastAsiaTheme="minorEastAsia" w:hAnsiTheme="minorEastAsia" w:hint="eastAsia"/>
          <w:bCs/>
          <w:color w:val="000000"/>
          <w:sz w:val="24"/>
        </w:rPr>
        <w:t>法律法规及中国证监会规定的和《基金合同》约定的其他</w:t>
      </w:r>
      <w:r>
        <w:rPr>
          <w:rFonts w:asciiTheme="minorEastAsia" w:eastAsiaTheme="minorEastAsia" w:hAnsiTheme="minorEastAsia"/>
          <w:bCs/>
          <w:color w:val="000000"/>
          <w:sz w:val="24"/>
        </w:rPr>
        <w:t>情形。</w:t>
      </w:r>
    </w:p>
    <w:p w:rsidR="00AA3326">
      <w:pPr>
        <w:spacing w:line="360" w:lineRule="auto"/>
        <w:ind w:firstLine="480" w:firstLineChars="200"/>
        <w:rPr>
          <w:rFonts w:asciiTheme="minorEastAsia" w:eastAsiaTheme="minorEastAsia" w:hAnsiTheme="minorEastAsia" w:hint="eastAsia"/>
          <w:bCs/>
          <w:color w:val="000000"/>
          <w:sz w:val="24"/>
        </w:rPr>
      </w:pPr>
      <w:bookmarkStart w:id="301" w:name="_Toc22005972"/>
      <w:bookmarkEnd w:id="300"/>
      <w:r>
        <w:rPr>
          <w:rFonts w:asciiTheme="minorEastAsia" w:eastAsiaTheme="minorEastAsia" w:hAnsiTheme="minorEastAsia"/>
          <w:bCs/>
          <w:color w:val="000000"/>
          <w:sz w:val="24"/>
        </w:rPr>
        <w:t>（二）</w:t>
      </w:r>
      <w:r>
        <w:rPr>
          <w:rFonts w:asciiTheme="minorEastAsia" w:eastAsiaTheme="minorEastAsia" w:hAnsiTheme="minorEastAsia"/>
          <w:bCs/>
          <w:color w:val="000000"/>
          <w:sz w:val="24"/>
        </w:rPr>
        <w:tab/>
        <w:t>基金托管人职责终止的情形</w:t>
      </w:r>
      <w:bookmarkEnd w:id="301"/>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有下列情形之一的，基金托管人职责终止：</w:t>
      </w:r>
    </w:p>
    <w:p w:rsidR="00AA3326">
      <w:pPr>
        <w:spacing w:line="360" w:lineRule="auto"/>
        <w:ind w:firstLine="480" w:firstLineChars="200"/>
        <w:rPr>
          <w:rFonts w:asciiTheme="minorEastAsia" w:eastAsiaTheme="minorEastAsia" w:hAnsiTheme="minorEastAsia" w:hint="eastAsia"/>
          <w:bCs/>
          <w:color w:val="000000"/>
          <w:sz w:val="24"/>
        </w:rPr>
      </w:pPr>
      <w:bookmarkStart w:id="302" w:name="_Hlk197519353"/>
      <w:r>
        <w:rPr>
          <w:rFonts w:asciiTheme="minorEastAsia" w:eastAsiaTheme="minorEastAsia" w:hAnsiTheme="minorEastAsia"/>
          <w:bCs/>
          <w:color w:val="000000"/>
          <w:sz w:val="24"/>
        </w:rPr>
        <w:t>1、</w:t>
      </w:r>
      <w:bookmarkStart w:id="303" w:name="_Hlk197519361"/>
      <w:r>
        <w:rPr>
          <w:rFonts w:asciiTheme="minorEastAsia" w:eastAsiaTheme="minorEastAsia" w:hAnsiTheme="minorEastAsia"/>
          <w:bCs/>
          <w:color w:val="000000"/>
          <w:sz w:val="24"/>
        </w:rPr>
        <w:t>被依法取消</w:t>
      </w:r>
      <w:r>
        <w:rPr>
          <w:rFonts w:hint="eastAsia"/>
          <w:bCs/>
          <w:color w:val="000000"/>
          <w:sz w:val="24"/>
        </w:rPr>
        <w:t>基金</w:t>
      </w:r>
      <w:r>
        <w:rPr>
          <w:rFonts w:asciiTheme="minorEastAsia" w:eastAsiaTheme="minorEastAsia" w:hAnsiTheme="minorEastAsia"/>
          <w:bCs/>
          <w:color w:val="000000"/>
          <w:sz w:val="24"/>
        </w:rPr>
        <w:t>托管资格；</w:t>
      </w:r>
      <w:bookmarkEnd w:id="303"/>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w:t>
      </w:r>
      <w:bookmarkStart w:id="304" w:name="_Hlk197519367"/>
      <w:r>
        <w:rPr>
          <w:rFonts w:asciiTheme="minorEastAsia" w:eastAsiaTheme="minorEastAsia" w:hAnsiTheme="minorEastAsia"/>
          <w:bCs/>
          <w:color w:val="000000"/>
          <w:sz w:val="24"/>
        </w:rPr>
        <w:t>被基金份额持有人大会解任；</w:t>
      </w:r>
      <w:bookmarkEnd w:id="304"/>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w:t>
      </w:r>
      <w:bookmarkStart w:id="305" w:name="_Hlk197519374"/>
      <w:r>
        <w:rPr>
          <w:rFonts w:asciiTheme="minorEastAsia" w:eastAsiaTheme="minorEastAsia" w:hAnsiTheme="minorEastAsia"/>
          <w:bCs/>
          <w:color w:val="000000"/>
          <w:sz w:val="24"/>
        </w:rPr>
        <w:t>依法解散、被依法撤销或被依法宣告破产；</w:t>
      </w:r>
      <w:bookmarkEnd w:id="305"/>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4、</w:t>
      </w:r>
      <w:bookmarkStart w:id="306" w:name="_Hlk197519380"/>
      <w:r>
        <w:rPr>
          <w:rFonts w:asciiTheme="minorEastAsia" w:eastAsiaTheme="minorEastAsia" w:hAnsiTheme="minorEastAsia" w:hint="eastAsia"/>
          <w:bCs/>
          <w:color w:val="000000"/>
          <w:sz w:val="24"/>
        </w:rPr>
        <w:t>法律法规及中国证监会规定的和《基金合同》约定的其他</w:t>
      </w:r>
      <w:r>
        <w:rPr>
          <w:rFonts w:asciiTheme="minorEastAsia" w:eastAsiaTheme="minorEastAsia" w:hAnsiTheme="minorEastAsia"/>
          <w:bCs/>
          <w:color w:val="000000"/>
          <w:sz w:val="24"/>
        </w:rPr>
        <w:t>情形。</w:t>
      </w:r>
      <w:bookmarkEnd w:id="306"/>
    </w:p>
    <w:p w:rsidR="00AA3326">
      <w:pPr>
        <w:spacing w:line="360" w:lineRule="auto"/>
        <w:ind w:firstLine="480" w:firstLineChars="200"/>
        <w:rPr>
          <w:rFonts w:asciiTheme="minorEastAsia" w:eastAsiaTheme="minorEastAsia" w:hAnsiTheme="minorEastAsia" w:hint="eastAsia"/>
          <w:bCs/>
          <w:color w:val="000000"/>
          <w:sz w:val="24"/>
        </w:rPr>
      </w:pPr>
      <w:bookmarkStart w:id="307" w:name="_Toc15118246"/>
      <w:bookmarkStart w:id="308" w:name="_Toc57530253"/>
      <w:bookmarkStart w:id="309" w:name="_Toc79392594"/>
      <w:bookmarkEnd w:id="302"/>
      <w:r>
        <w:rPr>
          <w:rFonts w:asciiTheme="minorEastAsia" w:eastAsiaTheme="minorEastAsia" w:hAnsiTheme="minorEastAsia"/>
          <w:bCs/>
          <w:color w:val="000000"/>
          <w:sz w:val="24"/>
        </w:rPr>
        <w:t>二、基金管理人和基金托管人的更换程序</w:t>
      </w:r>
      <w:bookmarkEnd w:id="307"/>
      <w:bookmarkEnd w:id="308"/>
      <w:bookmarkEnd w:id="309"/>
    </w:p>
    <w:p w:rsidR="00AA3326">
      <w:pPr>
        <w:spacing w:line="360" w:lineRule="auto"/>
        <w:ind w:firstLine="480" w:firstLineChars="200"/>
        <w:rPr>
          <w:rFonts w:asciiTheme="minorEastAsia" w:eastAsiaTheme="minorEastAsia" w:hAnsiTheme="minorEastAsia" w:hint="eastAsia"/>
          <w:bCs/>
          <w:color w:val="000000"/>
          <w:sz w:val="24"/>
        </w:rPr>
      </w:pPr>
      <w:bookmarkStart w:id="310" w:name="_Toc22005974"/>
      <w:r>
        <w:rPr>
          <w:rFonts w:asciiTheme="minorEastAsia" w:eastAsiaTheme="minorEastAsia" w:hAnsiTheme="minorEastAsia"/>
          <w:bCs/>
          <w:color w:val="000000"/>
          <w:sz w:val="24"/>
        </w:rPr>
        <w:t>（一）</w:t>
      </w:r>
      <w:r>
        <w:rPr>
          <w:rFonts w:asciiTheme="minorEastAsia" w:eastAsiaTheme="minorEastAsia" w:hAnsiTheme="minorEastAsia"/>
          <w:bCs/>
          <w:color w:val="000000"/>
          <w:sz w:val="24"/>
        </w:rPr>
        <w:tab/>
        <w:t>基金管理人的更换程序</w:t>
      </w:r>
      <w:bookmarkEnd w:id="310"/>
    </w:p>
    <w:p w:rsidR="00AA3326">
      <w:pPr>
        <w:spacing w:line="360" w:lineRule="auto"/>
        <w:ind w:firstLine="480" w:firstLineChars="200"/>
        <w:rPr>
          <w:rFonts w:asciiTheme="minorEastAsia" w:eastAsiaTheme="minorEastAsia" w:hAnsiTheme="minorEastAsia" w:hint="eastAsia"/>
          <w:bCs/>
          <w:color w:val="000000"/>
          <w:sz w:val="24"/>
        </w:rPr>
      </w:pPr>
      <w:bookmarkStart w:id="311" w:name="_Hlk197519201"/>
      <w:r>
        <w:rPr>
          <w:rFonts w:asciiTheme="minorEastAsia" w:eastAsiaTheme="minorEastAsia" w:hAnsiTheme="minorEastAsia"/>
          <w:bCs/>
          <w:color w:val="000000"/>
          <w:sz w:val="24"/>
        </w:rPr>
        <w:t>1、</w:t>
      </w:r>
      <w:bookmarkStart w:id="312" w:name="_Hlk197519283"/>
      <w:bookmarkStart w:id="313" w:name="_Hlk197519390"/>
      <w:r>
        <w:rPr>
          <w:rFonts w:asciiTheme="minorEastAsia" w:eastAsiaTheme="minorEastAsia" w:hAnsiTheme="minorEastAsia"/>
          <w:bCs/>
          <w:color w:val="000000"/>
          <w:sz w:val="24"/>
        </w:rPr>
        <w:t>提名：</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管理人由基金托管人或由单独或合计持有</w:t>
      </w:r>
      <w:r>
        <w:rPr>
          <w:rFonts w:asciiTheme="minorEastAsia" w:eastAsiaTheme="minorEastAsia" w:hAnsiTheme="minorEastAsia" w:hint="eastAsia"/>
          <w:bCs/>
          <w:color w:val="000000"/>
          <w:sz w:val="24"/>
        </w:rPr>
        <w:t>10%</w:t>
      </w:r>
      <w:r>
        <w:rPr>
          <w:rFonts w:asciiTheme="minorEastAsia" w:eastAsiaTheme="minorEastAsia" w:hAnsiTheme="minorEastAsia"/>
          <w:bCs/>
          <w:color w:val="000000"/>
          <w:sz w:val="24"/>
        </w:rPr>
        <w:t>以上（含</w:t>
      </w:r>
      <w:r>
        <w:rPr>
          <w:rFonts w:asciiTheme="minorEastAsia" w:eastAsiaTheme="minorEastAsia" w:hAnsiTheme="minorEastAsia" w:hint="eastAsia"/>
          <w:bCs/>
          <w:color w:val="000000"/>
          <w:sz w:val="24"/>
        </w:rPr>
        <w:t>10%</w:t>
      </w:r>
      <w:r>
        <w:rPr>
          <w:rFonts w:asciiTheme="minorEastAsia" w:eastAsiaTheme="minorEastAsia" w:hAnsiTheme="minorEastAsia"/>
          <w:bCs/>
          <w:color w:val="000000"/>
          <w:sz w:val="24"/>
        </w:rPr>
        <w:t>）基金份额的基金份额持有人提名；</w:t>
      </w:r>
      <w:bookmarkEnd w:id="312"/>
    </w:p>
    <w:p w:rsidR="00AA3326">
      <w:pPr>
        <w:spacing w:line="360" w:lineRule="auto"/>
        <w:ind w:firstLine="480" w:firstLineChars="200"/>
        <w:rPr>
          <w:rFonts w:asciiTheme="minorEastAsia" w:eastAsiaTheme="minorEastAsia" w:hAnsiTheme="minorEastAsia" w:hint="eastAsia"/>
          <w:bCs/>
          <w:color w:val="000000"/>
          <w:sz w:val="24"/>
        </w:rPr>
      </w:pPr>
      <w:bookmarkEnd w:id="313"/>
      <w:r>
        <w:rPr>
          <w:rFonts w:asciiTheme="minorEastAsia" w:eastAsiaTheme="minorEastAsia" w:hAnsiTheme="minorEastAsia"/>
          <w:bCs/>
          <w:color w:val="000000"/>
          <w:sz w:val="24"/>
        </w:rPr>
        <w:t>2、</w:t>
      </w:r>
      <w:bookmarkStart w:id="314" w:name="_Hlk197519291"/>
      <w:r>
        <w:rPr>
          <w:rFonts w:asciiTheme="minorEastAsia" w:eastAsiaTheme="minorEastAsia" w:hAnsiTheme="minorEastAsia"/>
          <w:bCs/>
          <w:color w:val="000000"/>
          <w:sz w:val="24"/>
        </w:rPr>
        <w:t>决议：基金份额持有人大会在基金管理人职责终止后</w:t>
      </w:r>
      <w:r>
        <w:rPr>
          <w:rFonts w:asciiTheme="minorEastAsia" w:eastAsiaTheme="minorEastAsia" w:hAnsiTheme="minorEastAsia" w:hint="eastAsia"/>
          <w:bCs/>
          <w:color w:val="000000"/>
          <w:sz w:val="24"/>
        </w:rPr>
        <w:t>6</w:t>
      </w:r>
      <w:r>
        <w:rPr>
          <w:rFonts w:asciiTheme="minorEastAsia" w:eastAsiaTheme="minorEastAsia" w:hAnsiTheme="minorEastAsia"/>
          <w:bCs/>
          <w:color w:val="000000"/>
          <w:sz w:val="24"/>
        </w:rPr>
        <w:t>个月内对被提名的基金管理人形成决议，该决议需经参加大会的基金份额持有人所持表决权的</w:t>
      </w:r>
      <w:r>
        <w:rPr>
          <w:rFonts w:asciiTheme="minorEastAsia" w:eastAsiaTheme="minorEastAsia" w:hAnsiTheme="minorEastAsia" w:hint="eastAsia"/>
          <w:bCs/>
          <w:color w:val="000000"/>
          <w:sz w:val="24"/>
        </w:rPr>
        <w:t>三分之二</w:t>
      </w:r>
      <w:r>
        <w:rPr>
          <w:rFonts w:asciiTheme="minorEastAsia" w:eastAsiaTheme="minorEastAsia" w:hAnsiTheme="minorEastAsia"/>
          <w:bCs/>
          <w:color w:val="000000"/>
          <w:sz w:val="24"/>
        </w:rPr>
        <w:t>以上（含</w:t>
      </w:r>
      <w:r>
        <w:rPr>
          <w:rFonts w:asciiTheme="minorEastAsia" w:eastAsiaTheme="minorEastAsia" w:hAnsiTheme="minorEastAsia" w:hint="eastAsia"/>
          <w:bCs/>
          <w:color w:val="000000"/>
          <w:sz w:val="24"/>
        </w:rPr>
        <w:t>三分之二</w:t>
      </w:r>
      <w:r>
        <w:rPr>
          <w:rFonts w:asciiTheme="minorEastAsia" w:eastAsiaTheme="minorEastAsia" w:hAnsiTheme="minorEastAsia"/>
          <w:bCs/>
          <w:color w:val="000000"/>
          <w:sz w:val="24"/>
        </w:rPr>
        <w:t>）表决通过，决议自表决通过之日起生效；</w:t>
      </w:r>
      <w:bookmarkEnd w:id="314"/>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w:t>
      </w:r>
      <w:bookmarkStart w:id="315" w:name="_Hlk197519302"/>
      <w:r>
        <w:rPr>
          <w:rFonts w:asciiTheme="minorEastAsia" w:eastAsiaTheme="minorEastAsia" w:hAnsiTheme="minorEastAsia"/>
          <w:bCs/>
          <w:color w:val="000000"/>
          <w:sz w:val="24"/>
        </w:rPr>
        <w:t>临时基金管理人：</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管理人产生之前，由中国证监会指定临时基金管理人；</w:t>
      </w:r>
      <w:bookmarkEnd w:id="315"/>
    </w:p>
    <w:p w:rsidR="00AA3326">
      <w:pPr>
        <w:spacing w:line="360" w:lineRule="auto"/>
        <w:ind w:firstLine="480" w:firstLineChars="200"/>
        <w:rPr>
          <w:rFonts w:asciiTheme="minorEastAsia" w:eastAsiaTheme="minorEastAsia" w:hAnsiTheme="minorEastAsia" w:hint="eastAsia"/>
          <w:bCs/>
          <w:color w:val="000000"/>
          <w:sz w:val="24"/>
        </w:rPr>
      </w:pPr>
      <w:bookmarkStart w:id="316" w:name="_Hlk197519309"/>
      <w:r>
        <w:rPr>
          <w:rFonts w:asciiTheme="minorEastAsia" w:eastAsiaTheme="minorEastAsia" w:hAnsiTheme="minorEastAsia"/>
          <w:bCs/>
          <w:color w:val="000000"/>
          <w:sz w:val="24"/>
        </w:rPr>
        <w:t>4、</w:t>
      </w:r>
      <w:bookmarkStart w:id="317" w:name="_Hlk197519417"/>
      <w:r>
        <w:rPr>
          <w:rFonts w:asciiTheme="minorEastAsia" w:eastAsiaTheme="minorEastAsia" w:hAnsiTheme="minorEastAsia" w:hint="eastAsia"/>
          <w:bCs/>
          <w:color w:val="000000"/>
          <w:sz w:val="24"/>
        </w:rPr>
        <w:t>备案</w:t>
      </w:r>
      <w:r>
        <w:rPr>
          <w:rFonts w:asciiTheme="minorEastAsia" w:eastAsiaTheme="minorEastAsia" w:hAnsiTheme="minorEastAsia"/>
          <w:bCs/>
          <w:color w:val="000000"/>
          <w:sz w:val="24"/>
        </w:rPr>
        <w:t>：基金份额持有人大会更换基金管理人的决议须</w:t>
      </w:r>
      <w:r>
        <w:rPr>
          <w:rFonts w:asciiTheme="minorEastAsia" w:eastAsiaTheme="minorEastAsia" w:hAnsiTheme="minorEastAsia" w:hint="eastAsia"/>
          <w:bCs/>
          <w:color w:val="000000"/>
          <w:sz w:val="24"/>
        </w:rPr>
        <w:t>报</w:t>
      </w:r>
      <w:r>
        <w:rPr>
          <w:rFonts w:asciiTheme="minorEastAsia" w:eastAsiaTheme="minorEastAsia" w:hAnsiTheme="minorEastAsia"/>
          <w:bCs/>
          <w:color w:val="000000"/>
          <w:sz w:val="24"/>
        </w:rPr>
        <w:t>中国证监会</w:t>
      </w:r>
      <w:r>
        <w:rPr>
          <w:rFonts w:asciiTheme="minorEastAsia" w:eastAsiaTheme="minorEastAsia" w:hAnsiTheme="minorEastAsia" w:hint="eastAsia"/>
          <w:bCs/>
          <w:color w:val="000000"/>
          <w:sz w:val="24"/>
        </w:rPr>
        <w:t>备案</w:t>
      </w:r>
      <w:r>
        <w:rPr>
          <w:rFonts w:asciiTheme="minorEastAsia" w:eastAsiaTheme="minorEastAsia" w:hAnsiTheme="minorEastAsia"/>
          <w:bCs/>
          <w:color w:val="000000"/>
          <w:sz w:val="24"/>
        </w:rPr>
        <w:t>；</w:t>
      </w:r>
      <w:bookmarkEnd w:id="317"/>
    </w:p>
    <w:p w:rsidR="00AA3326">
      <w:pPr>
        <w:spacing w:line="360" w:lineRule="auto"/>
        <w:ind w:firstLine="480" w:firstLineChars="200"/>
        <w:rPr>
          <w:rFonts w:asciiTheme="minorEastAsia" w:eastAsiaTheme="minorEastAsia" w:hAnsiTheme="minorEastAsia" w:hint="eastAsia"/>
          <w:bCs/>
          <w:color w:val="000000"/>
          <w:sz w:val="24"/>
        </w:rPr>
      </w:pPr>
      <w:bookmarkEnd w:id="316"/>
      <w:r>
        <w:rPr>
          <w:rFonts w:asciiTheme="minorEastAsia" w:eastAsiaTheme="minorEastAsia" w:hAnsiTheme="minorEastAsia"/>
          <w:bCs/>
          <w:color w:val="000000"/>
          <w:sz w:val="24"/>
        </w:rPr>
        <w:t>5、</w:t>
      </w:r>
      <w:bookmarkStart w:id="318" w:name="_Hlk197519318"/>
      <w:r>
        <w:rPr>
          <w:rFonts w:asciiTheme="minorEastAsia" w:eastAsiaTheme="minorEastAsia" w:hAnsiTheme="minorEastAsia"/>
          <w:bCs/>
          <w:color w:val="000000"/>
          <w:sz w:val="24"/>
        </w:rPr>
        <w:t>公告：基金管理人更换后，由基金托管人在更换基金管理人的基金份额持有人大会决议生效后</w:t>
      </w:r>
      <w:r>
        <w:rPr>
          <w:rFonts w:asciiTheme="minorEastAsia" w:eastAsiaTheme="minorEastAsia" w:hAnsiTheme="minorEastAsia" w:hint="eastAsia"/>
          <w:bCs/>
          <w:color w:val="000000"/>
          <w:sz w:val="24"/>
        </w:rPr>
        <w:t>2日</w:t>
      </w:r>
      <w:r>
        <w:rPr>
          <w:rFonts w:asciiTheme="minorEastAsia" w:eastAsiaTheme="minorEastAsia" w:hAnsiTheme="minorEastAsia"/>
          <w:bCs/>
          <w:color w:val="000000"/>
          <w:sz w:val="24"/>
        </w:rPr>
        <w:t>内在</w:t>
      </w:r>
      <w:r>
        <w:rPr>
          <w:rFonts w:asciiTheme="minorEastAsia" w:eastAsiaTheme="minorEastAsia" w:hAnsiTheme="minorEastAsia" w:hint="eastAsia"/>
          <w:bCs/>
          <w:color w:val="000000"/>
          <w:sz w:val="24"/>
        </w:rPr>
        <w:t>规定媒介</w:t>
      </w:r>
      <w:r>
        <w:rPr>
          <w:rFonts w:asciiTheme="minorEastAsia" w:eastAsiaTheme="minorEastAsia" w:hAnsiTheme="minorEastAsia"/>
          <w:bCs/>
          <w:color w:val="000000"/>
          <w:sz w:val="24"/>
        </w:rPr>
        <w:t>公告</w:t>
      </w:r>
      <w:r>
        <w:rPr>
          <w:rFonts w:asciiTheme="minorEastAsia" w:eastAsiaTheme="minorEastAsia" w:hAnsiTheme="minorEastAsia" w:hint="eastAsia"/>
          <w:bCs/>
          <w:color w:val="000000"/>
          <w:sz w:val="24"/>
        </w:rPr>
        <w:t>；</w:t>
      </w:r>
      <w:bookmarkEnd w:id="318"/>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6、</w:t>
      </w:r>
      <w:bookmarkStart w:id="319" w:name="_Hlk197519326"/>
      <w:r>
        <w:rPr>
          <w:rFonts w:asciiTheme="minorEastAsia" w:eastAsiaTheme="minorEastAsia" w:hAnsiTheme="minorEastAsia"/>
          <w:bCs/>
          <w:color w:val="000000"/>
          <w:sz w:val="24"/>
        </w:rPr>
        <w:t>交接：基金管理人职责终止的，基金管理人应妥善保管</w:t>
      </w:r>
      <w:r>
        <w:rPr>
          <w:rFonts w:hint="eastAsia"/>
          <w:bCs/>
          <w:color w:val="000000"/>
          <w:sz w:val="24"/>
        </w:rPr>
        <w:t>基金</w:t>
      </w:r>
      <w:r>
        <w:rPr>
          <w:rFonts w:asciiTheme="minorEastAsia" w:eastAsiaTheme="minorEastAsia" w:hAnsiTheme="minorEastAsia"/>
          <w:bCs/>
          <w:color w:val="000000"/>
          <w:sz w:val="24"/>
        </w:rPr>
        <w:t>管理业务资料，及时向临时基金管理人或</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管理人办理</w:t>
      </w:r>
      <w:r>
        <w:rPr>
          <w:rFonts w:hint="eastAsia"/>
          <w:bCs/>
          <w:color w:val="000000"/>
          <w:sz w:val="24"/>
        </w:rPr>
        <w:t>基金</w:t>
      </w:r>
      <w:r>
        <w:rPr>
          <w:rFonts w:asciiTheme="minorEastAsia" w:eastAsiaTheme="minorEastAsia" w:hAnsiTheme="minorEastAsia"/>
          <w:bCs/>
          <w:color w:val="000000"/>
          <w:sz w:val="24"/>
        </w:rPr>
        <w:t>管理业务的移交手续，临</w:t>
      </w:r>
      <w:r>
        <w:rPr>
          <w:rFonts w:asciiTheme="minorEastAsia" w:eastAsiaTheme="minorEastAsia" w:hAnsiTheme="minorEastAsia"/>
          <w:bCs/>
          <w:color w:val="000000"/>
          <w:sz w:val="24"/>
        </w:rPr>
        <w:t>时基金管理人或</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管理人应及时接收。</w:t>
      </w:r>
      <w:bookmarkStart w:id="320" w:name="_Hlk197520722"/>
      <w:r>
        <w:rPr>
          <w:rFonts w:asciiTheme="minorEastAsia" w:eastAsiaTheme="minorEastAsia" w:hAnsiTheme="minorEastAsia" w:hint="eastAsia"/>
          <w:bCs/>
          <w:color w:val="000000"/>
          <w:sz w:val="24"/>
        </w:rPr>
        <w:t>临时基金管理人或</w:t>
      </w:r>
      <w:bookmarkEnd w:id="320"/>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管理人应与基金托管人核对</w:t>
      </w:r>
      <w:r>
        <w:rPr>
          <w:rFonts w:asciiTheme="minorEastAsia" w:eastAsiaTheme="minorEastAsia" w:hAnsiTheme="minorEastAsia" w:hint="eastAsia"/>
          <w:bCs/>
          <w:color w:val="000000"/>
          <w:sz w:val="24"/>
        </w:rPr>
        <w:t>基金资产总值</w:t>
      </w:r>
      <w:bookmarkStart w:id="321" w:name="_Hlk197520735"/>
      <w:r>
        <w:rPr>
          <w:rFonts w:asciiTheme="minorEastAsia" w:eastAsiaTheme="minorEastAsia" w:hAnsiTheme="minorEastAsia" w:hint="eastAsia"/>
          <w:bCs/>
          <w:color w:val="000000"/>
          <w:sz w:val="24"/>
        </w:rPr>
        <w:t>和净值</w:t>
      </w:r>
      <w:bookmarkEnd w:id="321"/>
      <w:r>
        <w:rPr>
          <w:rFonts w:asciiTheme="minorEastAsia" w:eastAsiaTheme="minorEastAsia" w:hAnsiTheme="minorEastAsia"/>
          <w:bCs/>
          <w:color w:val="000000"/>
          <w:sz w:val="24"/>
        </w:rPr>
        <w:t>；</w:t>
      </w:r>
      <w:bookmarkEnd w:id="319"/>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7、</w:t>
      </w:r>
      <w:bookmarkStart w:id="322" w:name="_Hlk197519333"/>
      <w:r>
        <w:rPr>
          <w:rFonts w:asciiTheme="minorEastAsia" w:eastAsiaTheme="minorEastAsia" w:hAnsiTheme="minorEastAsia"/>
          <w:bCs/>
          <w:color w:val="000000"/>
          <w:sz w:val="24"/>
        </w:rPr>
        <w:t>审计：基金管理人职责终止的，应当</w:t>
      </w:r>
      <w:bookmarkStart w:id="323" w:name="_Hlk197520752"/>
      <w:r>
        <w:rPr>
          <w:rFonts w:asciiTheme="minorEastAsia" w:eastAsiaTheme="minorEastAsia" w:hAnsiTheme="minorEastAsia"/>
          <w:bCs/>
          <w:color w:val="000000"/>
          <w:sz w:val="24"/>
        </w:rPr>
        <w:t>按照法律法规规定</w:t>
      </w:r>
      <w:bookmarkEnd w:id="323"/>
      <w:r>
        <w:rPr>
          <w:rFonts w:asciiTheme="minorEastAsia" w:eastAsiaTheme="minorEastAsia" w:hAnsiTheme="minorEastAsia"/>
          <w:bCs/>
          <w:color w:val="000000"/>
          <w:sz w:val="24"/>
        </w:rPr>
        <w:t>聘请会计师事务所对</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进行审计，并将审计结果予以公告，同时报中国证监会备案</w:t>
      </w:r>
      <w:r>
        <w:rPr>
          <w:rFonts w:asciiTheme="minorEastAsia" w:eastAsiaTheme="minorEastAsia" w:hAnsiTheme="minorEastAsia" w:hint="eastAsia"/>
          <w:bCs/>
          <w:color w:val="000000"/>
          <w:sz w:val="24"/>
        </w:rPr>
        <w:t>，审计费用从基金财产中列支</w:t>
      </w:r>
      <w:r>
        <w:rPr>
          <w:rFonts w:asciiTheme="minorEastAsia" w:eastAsiaTheme="minorEastAsia" w:hAnsiTheme="minorEastAsia"/>
          <w:bCs/>
          <w:color w:val="000000"/>
          <w:sz w:val="24"/>
        </w:rPr>
        <w:t>；</w:t>
      </w:r>
      <w:bookmarkEnd w:id="322"/>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8、</w:t>
      </w:r>
      <w:bookmarkStart w:id="324" w:name="_Hlk197519340"/>
      <w:r>
        <w:rPr>
          <w:rFonts w:hint="eastAsia"/>
          <w:bCs/>
          <w:color w:val="000000"/>
          <w:sz w:val="24"/>
        </w:rPr>
        <w:t>基金</w:t>
      </w:r>
      <w:r>
        <w:rPr>
          <w:rFonts w:asciiTheme="minorEastAsia" w:eastAsiaTheme="minorEastAsia" w:hAnsiTheme="minorEastAsia"/>
          <w:bCs/>
          <w:color w:val="000000"/>
          <w:sz w:val="24"/>
        </w:rPr>
        <w:t>名称变更：基金管理人更换后，如果原任或</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管理人要求，应按其要求替换或删除</w:t>
      </w:r>
      <w:r>
        <w:rPr>
          <w:rFonts w:hint="eastAsia"/>
          <w:bCs/>
          <w:color w:val="000000"/>
          <w:sz w:val="24"/>
        </w:rPr>
        <w:t>基金</w:t>
      </w:r>
      <w:r>
        <w:rPr>
          <w:rFonts w:asciiTheme="minorEastAsia" w:eastAsiaTheme="minorEastAsia" w:hAnsiTheme="minorEastAsia"/>
          <w:bCs/>
          <w:color w:val="000000"/>
          <w:sz w:val="24"/>
        </w:rPr>
        <w:t>名称中与</w:t>
      </w:r>
      <w:r>
        <w:rPr>
          <w:rFonts w:asciiTheme="minorEastAsia" w:eastAsiaTheme="minorEastAsia" w:hAnsiTheme="minorEastAsia"/>
          <w:bCs/>
          <w:color w:val="000000"/>
          <w:sz w:val="24"/>
        </w:rPr>
        <w:t>原基金</w:t>
      </w:r>
      <w:r>
        <w:rPr>
          <w:rFonts w:asciiTheme="minorEastAsia" w:eastAsiaTheme="minorEastAsia" w:hAnsiTheme="minorEastAsia"/>
          <w:bCs/>
          <w:color w:val="000000"/>
          <w:sz w:val="24"/>
        </w:rPr>
        <w:t>管理人有关的名称字样。</w:t>
      </w:r>
      <w:bookmarkEnd w:id="324"/>
    </w:p>
    <w:p w:rsidR="00AA3326">
      <w:pPr>
        <w:spacing w:line="360" w:lineRule="auto"/>
        <w:ind w:firstLine="480" w:firstLineChars="200"/>
        <w:rPr>
          <w:rFonts w:asciiTheme="minorEastAsia" w:eastAsiaTheme="minorEastAsia" w:hAnsiTheme="minorEastAsia" w:hint="eastAsia"/>
          <w:bCs/>
          <w:color w:val="000000"/>
          <w:sz w:val="24"/>
        </w:rPr>
      </w:pPr>
      <w:bookmarkStart w:id="325" w:name="_Toc22005975"/>
      <w:bookmarkEnd w:id="311"/>
      <w:r>
        <w:rPr>
          <w:rFonts w:asciiTheme="minorEastAsia" w:eastAsiaTheme="minorEastAsia" w:hAnsiTheme="minorEastAsia"/>
          <w:bCs/>
          <w:color w:val="000000"/>
          <w:sz w:val="24"/>
        </w:rPr>
        <w:t>（二）</w:t>
      </w:r>
      <w:r>
        <w:rPr>
          <w:rFonts w:asciiTheme="minorEastAsia" w:eastAsiaTheme="minorEastAsia" w:hAnsiTheme="minorEastAsia"/>
          <w:bCs/>
          <w:color w:val="000000"/>
          <w:sz w:val="24"/>
        </w:rPr>
        <w:tab/>
        <w:t>基金托管人的更换程序</w:t>
      </w:r>
      <w:bookmarkEnd w:id="325"/>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1、提名：</w:t>
      </w:r>
      <w:bookmarkStart w:id="326" w:name="_Hlk197519455"/>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托管人由基金管理人或由单独或合计持有</w:t>
      </w:r>
      <w:r>
        <w:rPr>
          <w:rFonts w:asciiTheme="minorEastAsia" w:eastAsiaTheme="minorEastAsia" w:hAnsiTheme="minorEastAsia" w:hint="eastAsia"/>
          <w:bCs/>
          <w:color w:val="000000"/>
          <w:sz w:val="24"/>
        </w:rPr>
        <w:t>10%</w:t>
      </w:r>
      <w:r>
        <w:rPr>
          <w:rFonts w:asciiTheme="minorEastAsia" w:eastAsiaTheme="minorEastAsia" w:hAnsiTheme="minorEastAsia"/>
          <w:bCs/>
          <w:color w:val="000000"/>
          <w:sz w:val="24"/>
        </w:rPr>
        <w:t>以上（含</w:t>
      </w:r>
      <w:r>
        <w:rPr>
          <w:rFonts w:asciiTheme="minorEastAsia" w:eastAsiaTheme="minorEastAsia" w:hAnsiTheme="minorEastAsia" w:hint="eastAsia"/>
          <w:bCs/>
          <w:color w:val="000000"/>
          <w:sz w:val="24"/>
        </w:rPr>
        <w:t>10%</w:t>
      </w:r>
      <w:r>
        <w:rPr>
          <w:rFonts w:asciiTheme="minorEastAsia" w:eastAsiaTheme="minorEastAsia" w:hAnsiTheme="minorEastAsia"/>
          <w:bCs/>
          <w:color w:val="000000"/>
          <w:sz w:val="24"/>
        </w:rPr>
        <w:t>）基金份额的基金份额持有人提名；</w:t>
      </w:r>
      <w:bookmarkEnd w:id="326"/>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w:t>
      </w:r>
      <w:bookmarkStart w:id="327" w:name="_Hlk197519472"/>
      <w:r>
        <w:rPr>
          <w:rFonts w:asciiTheme="minorEastAsia" w:eastAsiaTheme="minorEastAsia" w:hAnsiTheme="minorEastAsia"/>
          <w:bCs/>
          <w:color w:val="000000"/>
          <w:sz w:val="24"/>
        </w:rPr>
        <w:t>决议：基金份额持有人大会在基金托管人职责终止后</w:t>
      </w:r>
      <w:r>
        <w:rPr>
          <w:rFonts w:asciiTheme="minorEastAsia" w:eastAsiaTheme="minorEastAsia" w:hAnsiTheme="minorEastAsia" w:hint="eastAsia"/>
          <w:bCs/>
          <w:color w:val="000000"/>
          <w:sz w:val="24"/>
        </w:rPr>
        <w:t>6</w:t>
      </w:r>
      <w:r>
        <w:rPr>
          <w:rFonts w:asciiTheme="minorEastAsia" w:eastAsiaTheme="minorEastAsia" w:hAnsiTheme="minorEastAsia"/>
          <w:bCs/>
          <w:color w:val="000000"/>
          <w:sz w:val="24"/>
        </w:rPr>
        <w:t>个月内对被提名的基金托管人形成决议，该决议需经参加大会的基金份额持有人所持表决权的</w:t>
      </w:r>
      <w:r>
        <w:rPr>
          <w:rFonts w:asciiTheme="minorEastAsia" w:eastAsiaTheme="minorEastAsia" w:hAnsiTheme="minorEastAsia" w:hint="eastAsia"/>
          <w:bCs/>
          <w:color w:val="000000"/>
          <w:sz w:val="24"/>
        </w:rPr>
        <w:t>三分之二</w:t>
      </w:r>
      <w:r>
        <w:rPr>
          <w:rFonts w:asciiTheme="minorEastAsia" w:eastAsiaTheme="minorEastAsia" w:hAnsiTheme="minorEastAsia"/>
          <w:bCs/>
          <w:color w:val="000000"/>
          <w:sz w:val="24"/>
        </w:rPr>
        <w:t>以上（含</w:t>
      </w:r>
      <w:r>
        <w:rPr>
          <w:rFonts w:asciiTheme="minorEastAsia" w:eastAsiaTheme="minorEastAsia" w:hAnsiTheme="minorEastAsia" w:hint="eastAsia"/>
          <w:bCs/>
          <w:color w:val="000000"/>
          <w:sz w:val="24"/>
        </w:rPr>
        <w:t>三分之二</w:t>
      </w:r>
      <w:r>
        <w:rPr>
          <w:rFonts w:asciiTheme="minorEastAsia" w:eastAsiaTheme="minorEastAsia" w:hAnsiTheme="minorEastAsia"/>
          <w:bCs/>
          <w:color w:val="000000"/>
          <w:sz w:val="24"/>
        </w:rPr>
        <w:t>）表决通过</w:t>
      </w:r>
      <w:r>
        <w:rPr>
          <w:rFonts w:asciiTheme="minorEastAsia" w:eastAsiaTheme="minorEastAsia" w:hAnsiTheme="minorEastAsia" w:hint="eastAsia"/>
          <w:bCs/>
          <w:color w:val="000000"/>
          <w:sz w:val="24"/>
        </w:rPr>
        <w:t>，决议自表决通过之日起生效</w:t>
      </w:r>
      <w:r>
        <w:rPr>
          <w:rFonts w:asciiTheme="minorEastAsia" w:eastAsiaTheme="minorEastAsia" w:hAnsiTheme="minorEastAsia"/>
          <w:bCs/>
          <w:color w:val="000000"/>
          <w:sz w:val="24"/>
        </w:rPr>
        <w:t>；</w:t>
      </w:r>
      <w:bookmarkEnd w:id="327"/>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w:t>
      </w:r>
      <w:bookmarkStart w:id="328" w:name="_Hlk197519478"/>
      <w:r>
        <w:rPr>
          <w:rFonts w:asciiTheme="minorEastAsia" w:eastAsiaTheme="minorEastAsia" w:hAnsiTheme="minorEastAsia"/>
          <w:bCs/>
          <w:color w:val="000000"/>
          <w:sz w:val="24"/>
        </w:rPr>
        <w:t>临时基金托管人：</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托管人产生之前，由中国证监会指定临时基金托管人；</w:t>
      </w:r>
      <w:bookmarkEnd w:id="328"/>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4、</w:t>
      </w:r>
      <w:bookmarkStart w:id="329" w:name="_Hlk197519485"/>
      <w:r>
        <w:rPr>
          <w:rFonts w:asciiTheme="minorEastAsia" w:eastAsiaTheme="minorEastAsia" w:hAnsiTheme="minorEastAsia" w:hint="eastAsia"/>
          <w:bCs/>
          <w:color w:val="000000"/>
          <w:sz w:val="24"/>
        </w:rPr>
        <w:t>备案</w:t>
      </w:r>
      <w:r>
        <w:rPr>
          <w:rFonts w:asciiTheme="minorEastAsia" w:eastAsiaTheme="minorEastAsia" w:hAnsiTheme="minorEastAsia"/>
          <w:bCs/>
          <w:color w:val="000000"/>
          <w:sz w:val="24"/>
        </w:rPr>
        <w:t>：基金份额持有人大会</w:t>
      </w:r>
      <w:r>
        <w:rPr>
          <w:rFonts w:asciiTheme="minorEastAsia" w:eastAsiaTheme="minorEastAsia" w:hAnsiTheme="minorEastAsia" w:hint="eastAsia"/>
          <w:bCs/>
          <w:color w:val="000000"/>
          <w:sz w:val="24"/>
        </w:rPr>
        <w:t>更换</w:t>
      </w:r>
      <w:r>
        <w:rPr>
          <w:rFonts w:asciiTheme="minorEastAsia" w:eastAsiaTheme="minorEastAsia" w:hAnsiTheme="minorEastAsia"/>
          <w:bCs/>
          <w:color w:val="000000"/>
          <w:sz w:val="24"/>
        </w:rPr>
        <w:t>基金托管人的决议须</w:t>
      </w:r>
      <w:r>
        <w:rPr>
          <w:rFonts w:asciiTheme="minorEastAsia" w:eastAsiaTheme="minorEastAsia" w:hAnsiTheme="minorEastAsia" w:hint="eastAsia"/>
          <w:bCs/>
          <w:color w:val="000000"/>
          <w:sz w:val="24"/>
        </w:rPr>
        <w:t>报</w:t>
      </w:r>
      <w:r>
        <w:rPr>
          <w:rFonts w:asciiTheme="minorEastAsia" w:eastAsiaTheme="minorEastAsia" w:hAnsiTheme="minorEastAsia"/>
          <w:bCs/>
          <w:color w:val="000000"/>
          <w:sz w:val="24"/>
        </w:rPr>
        <w:t>中国证监会</w:t>
      </w:r>
      <w:r>
        <w:rPr>
          <w:rFonts w:asciiTheme="minorEastAsia" w:eastAsiaTheme="minorEastAsia" w:hAnsiTheme="minorEastAsia" w:hint="eastAsia"/>
          <w:bCs/>
          <w:color w:val="000000"/>
          <w:sz w:val="24"/>
        </w:rPr>
        <w:t>备案</w:t>
      </w:r>
      <w:r>
        <w:rPr>
          <w:rFonts w:asciiTheme="minorEastAsia" w:eastAsiaTheme="minorEastAsia" w:hAnsiTheme="minorEastAsia"/>
          <w:bCs/>
          <w:color w:val="000000"/>
          <w:sz w:val="24"/>
        </w:rPr>
        <w:t>；</w:t>
      </w:r>
      <w:bookmarkEnd w:id="329"/>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5、</w:t>
      </w:r>
      <w:bookmarkStart w:id="330" w:name="_Hlk197519492"/>
      <w:r>
        <w:rPr>
          <w:rFonts w:asciiTheme="minorEastAsia" w:eastAsiaTheme="minorEastAsia" w:hAnsiTheme="minorEastAsia"/>
          <w:bCs/>
          <w:color w:val="000000"/>
          <w:sz w:val="24"/>
        </w:rPr>
        <w:t>公告：基金托管人更换后，由基金管理人在更换基金托管人的基金份额持有人大会决议生效后</w:t>
      </w:r>
      <w:r>
        <w:rPr>
          <w:rFonts w:asciiTheme="minorEastAsia" w:eastAsiaTheme="minorEastAsia" w:hAnsiTheme="minorEastAsia" w:hint="eastAsia"/>
          <w:bCs/>
          <w:color w:val="000000"/>
          <w:sz w:val="24"/>
        </w:rPr>
        <w:t>2</w:t>
      </w:r>
      <w:r>
        <w:rPr>
          <w:rFonts w:asciiTheme="minorEastAsia" w:eastAsiaTheme="minorEastAsia" w:hAnsiTheme="minorEastAsia"/>
          <w:bCs/>
          <w:color w:val="000000"/>
          <w:sz w:val="24"/>
        </w:rPr>
        <w:t>日内在</w:t>
      </w:r>
      <w:r>
        <w:rPr>
          <w:rFonts w:asciiTheme="minorEastAsia" w:eastAsiaTheme="minorEastAsia" w:hAnsiTheme="minorEastAsia" w:hint="eastAsia"/>
          <w:bCs/>
          <w:color w:val="000000"/>
          <w:sz w:val="24"/>
        </w:rPr>
        <w:t>规定媒介</w:t>
      </w:r>
      <w:r>
        <w:rPr>
          <w:rFonts w:asciiTheme="minorEastAsia" w:eastAsiaTheme="minorEastAsia" w:hAnsiTheme="minorEastAsia"/>
          <w:bCs/>
          <w:color w:val="000000"/>
          <w:sz w:val="24"/>
        </w:rPr>
        <w:t>公告</w:t>
      </w:r>
      <w:r>
        <w:rPr>
          <w:rFonts w:asciiTheme="minorEastAsia" w:eastAsiaTheme="minorEastAsia" w:hAnsiTheme="minorEastAsia" w:hint="eastAsia"/>
          <w:bCs/>
          <w:color w:val="000000"/>
          <w:sz w:val="24"/>
        </w:rPr>
        <w:t>；</w:t>
      </w:r>
      <w:bookmarkEnd w:id="330"/>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6、</w:t>
      </w:r>
      <w:bookmarkStart w:id="331" w:name="_Hlk197519500"/>
      <w:r>
        <w:rPr>
          <w:rFonts w:asciiTheme="minorEastAsia" w:eastAsiaTheme="minorEastAsia" w:hAnsiTheme="minorEastAsia"/>
          <w:bCs/>
          <w:color w:val="000000"/>
          <w:sz w:val="24"/>
        </w:rPr>
        <w:t>交接：基金托管人职责终止的，应当妥善保管</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和</w:t>
      </w:r>
      <w:r>
        <w:rPr>
          <w:rFonts w:asciiTheme="minorEastAsia" w:eastAsiaTheme="minorEastAsia" w:hAnsiTheme="minorEastAsia" w:hint="eastAsia"/>
          <w:bCs/>
          <w:color w:val="000000"/>
          <w:sz w:val="24"/>
        </w:rPr>
        <w:t>基金托管业务</w:t>
      </w:r>
      <w:r>
        <w:rPr>
          <w:rFonts w:asciiTheme="minorEastAsia" w:eastAsiaTheme="minorEastAsia" w:hAnsiTheme="minorEastAsia"/>
          <w:bCs/>
          <w:color w:val="000000"/>
          <w:sz w:val="24"/>
        </w:rPr>
        <w:t>资料，及时办理</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和</w:t>
      </w:r>
      <w:r>
        <w:rPr>
          <w:rFonts w:asciiTheme="minorEastAsia" w:eastAsiaTheme="minorEastAsia" w:hAnsiTheme="minorEastAsia" w:hint="eastAsia"/>
          <w:bCs/>
          <w:color w:val="000000"/>
          <w:sz w:val="24"/>
        </w:rPr>
        <w:t>基金托管业务</w:t>
      </w:r>
      <w:r>
        <w:rPr>
          <w:rFonts w:asciiTheme="minorEastAsia" w:eastAsiaTheme="minorEastAsia" w:hAnsiTheme="minorEastAsia"/>
          <w:bCs/>
          <w:color w:val="000000"/>
          <w:sz w:val="24"/>
        </w:rPr>
        <w:t>的移交手续，</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托管人或者临时基金托管人应当及时接收。</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托管人</w:t>
      </w:r>
      <w:bookmarkStart w:id="332" w:name="_Hlk197520872"/>
      <w:r>
        <w:rPr>
          <w:rFonts w:asciiTheme="minorEastAsia" w:eastAsiaTheme="minorEastAsia" w:hAnsiTheme="minorEastAsia" w:hint="eastAsia"/>
          <w:bCs/>
          <w:color w:val="000000"/>
          <w:sz w:val="24"/>
        </w:rPr>
        <w:t>或临时基金托管人</w:t>
      </w:r>
      <w:bookmarkEnd w:id="332"/>
      <w:r>
        <w:rPr>
          <w:rFonts w:asciiTheme="minorEastAsia" w:eastAsiaTheme="minorEastAsia" w:hAnsiTheme="minorEastAsia" w:hint="eastAsia"/>
          <w:bCs/>
          <w:color w:val="000000"/>
          <w:sz w:val="24"/>
        </w:rPr>
        <w:t>应</w:t>
      </w:r>
      <w:r>
        <w:rPr>
          <w:rFonts w:asciiTheme="minorEastAsia" w:eastAsiaTheme="minorEastAsia" w:hAnsiTheme="minorEastAsia"/>
          <w:bCs/>
          <w:color w:val="000000"/>
          <w:sz w:val="24"/>
        </w:rPr>
        <w:t>与基金管理人核对</w:t>
      </w:r>
      <w:r>
        <w:rPr>
          <w:rFonts w:asciiTheme="minorEastAsia" w:eastAsiaTheme="minorEastAsia" w:hAnsiTheme="minorEastAsia" w:hint="eastAsia"/>
          <w:bCs/>
          <w:color w:val="000000"/>
          <w:sz w:val="24"/>
        </w:rPr>
        <w:t>基金资产总值</w:t>
      </w:r>
      <w:bookmarkStart w:id="333" w:name="_Hlk197520885"/>
      <w:r>
        <w:rPr>
          <w:rFonts w:asciiTheme="minorEastAsia" w:eastAsiaTheme="minorEastAsia" w:hAnsiTheme="minorEastAsia" w:hint="eastAsia"/>
          <w:bCs/>
          <w:color w:val="000000"/>
          <w:sz w:val="24"/>
        </w:rPr>
        <w:t>和净值</w:t>
      </w:r>
      <w:bookmarkEnd w:id="333"/>
      <w:r>
        <w:rPr>
          <w:rFonts w:asciiTheme="minorEastAsia" w:eastAsiaTheme="minorEastAsia" w:hAnsiTheme="minorEastAsia"/>
          <w:bCs/>
          <w:color w:val="000000"/>
          <w:sz w:val="24"/>
        </w:rPr>
        <w:t xml:space="preserve">； </w:t>
      </w:r>
      <w:bookmarkEnd w:id="331"/>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7、</w:t>
      </w:r>
      <w:bookmarkStart w:id="334" w:name="_Hlk197519506"/>
      <w:r>
        <w:rPr>
          <w:rFonts w:asciiTheme="minorEastAsia" w:eastAsiaTheme="minorEastAsia" w:hAnsiTheme="minorEastAsia"/>
          <w:bCs/>
          <w:color w:val="000000"/>
          <w:sz w:val="24"/>
        </w:rPr>
        <w:t>审计：基金托管人职责终止的，应当</w:t>
      </w:r>
      <w:bookmarkStart w:id="335" w:name="_Hlk197520893"/>
      <w:r>
        <w:rPr>
          <w:rFonts w:asciiTheme="minorEastAsia" w:eastAsiaTheme="minorEastAsia" w:hAnsiTheme="minorEastAsia"/>
          <w:bCs/>
          <w:color w:val="000000"/>
          <w:sz w:val="24"/>
        </w:rPr>
        <w:t>按照法律法规规定</w:t>
      </w:r>
      <w:bookmarkEnd w:id="335"/>
      <w:r>
        <w:rPr>
          <w:rFonts w:asciiTheme="minorEastAsia" w:eastAsiaTheme="minorEastAsia" w:hAnsiTheme="minorEastAsia"/>
          <w:bCs/>
          <w:color w:val="000000"/>
          <w:sz w:val="24"/>
        </w:rPr>
        <w:t>聘请会计师事务所对</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进行审计，并将审计结果予以公告，同时报中国证监会备案</w:t>
      </w:r>
      <w:r>
        <w:rPr>
          <w:rFonts w:asciiTheme="minorEastAsia" w:eastAsiaTheme="minorEastAsia" w:hAnsiTheme="minorEastAsia" w:hint="eastAsia"/>
          <w:bCs/>
          <w:color w:val="000000"/>
          <w:sz w:val="24"/>
        </w:rPr>
        <w:t>，审计费用从基金财产中列支</w:t>
      </w:r>
      <w:r>
        <w:rPr>
          <w:rFonts w:asciiTheme="minorEastAsia" w:eastAsiaTheme="minorEastAsia" w:hAnsiTheme="minorEastAsia"/>
          <w:bCs/>
          <w:color w:val="000000"/>
          <w:sz w:val="24"/>
        </w:rPr>
        <w:t>。</w:t>
      </w:r>
      <w:bookmarkEnd w:id="334"/>
    </w:p>
    <w:p w:rsidR="00AA3326">
      <w:pPr>
        <w:spacing w:line="360" w:lineRule="auto"/>
        <w:ind w:firstLine="480" w:firstLineChars="200"/>
        <w:rPr>
          <w:rFonts w:asciiTheme="minorEastAsia" w:eastAsiaTheme="minorEastAsia" w:hAnsiTheme="minorEastAsia" w:hint="eastAsia"/>
          <w:bCs/>
          <w:color w:val="000000"/>
          <w:sz w:val="24"/>
        </w:rPr>
      </w:pPr>
      <w:bookmarkStart w:id="336" w:name="_Toc1357"/>
      <w:r>
        <w:rPr>
          <w:rFonts w:asciiTheme="minorEastAsia" w:eastAsiaTheme="minorEastAsia" w:hAnsiTheme="minorEastAsia"/>
          <w:bCs/>
          <w:color w:val="000000"/>
          <w:sz w:val="24"/>
        </w:rPr>
        <w:t>（三）基金管理人与基金托管人同时更换的条件和程序。</w:t>
      </w:r>
      <w:bookmarkEnd w:id="336"/>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w:t>
      </w:r>
      <w:r>
        <w:rPr>
          <w:rFonts w:asciiTheme="minorEastAsia" w:eastAsiaTheme="minorEastAsia" w:hAnsiTheme="minorEastAsia" w:hint="eastAsia"/>
          <w:bCs/>
          <w:color w:val="000000"/>
          <w:sz w:val="24"/>
        </w:rPr>
        <w:t>、</w:t>
      </w:r>
      <w:bookmarkStart w:id="337" w:name="_Hlk197519522"/>
      <w:r>
        <w:rPr>
          <w:rFonts w:asciiTheme="minorEastAsia" w:eastAsiaTheme="minorEastAsia" w:hAnsiTheme="minorEastAsia"/>
          <w:bCs/>
          <w:color w:val="000000"/>
          <w:sz w:val="24"/>
        </w:rPr>
        <w:t>提名：如果基金管理人和基金托管人同时更换，由单独或合计持有</w:t>
      </w:r>
      <w:r>
        <w:rPr>
          <w:rFonts w:asciiTheme="minorEastAsia" w:eastAsiaTheme="minorEastAsia" w:hAnsiTheme="minorEastAsia" w:hint="eastAsia"/>
          <w:bCs/>
          <w:color w:val="000000"/>
          <w:sz w:val="24"/>
        </w:rPr>
        <w:t>基金总份额10%</w:t>
      </w:r>
      <w:r>
        <w:rPr>
          <w:rFonts w:asciiTheme="minorEastAsia" w:eastAsiaTheme="minorEastAsia" w:hAnsiTheme="minorEastAsia"/>
          <w:bCs/>
          <w:color w:val="000000"/>
          <w:sz w:val="24"/>
        </w:rPr>
        <w:t>以上（含</w:t>
      </w:r>
      <w:r>
        <w:rPr>
          <w:rFonts w:asciiTheme="minorEastAsia" w:eastAsiaTheme="minorEastAsia" w:hAnsiTheme="minorEastAsia" w:hint="eastAsia"/>
          <w:bCs/>
          <w:color w:val="000000"/>
          <w:sz w:val="24"/>
        </w:rPr>
        <w:t>10%</w:t>
      </w:r>
      <w:r>
        <w:rPr>
          <w:rFonts w:asciiTheme="minorEastAsia" w:eastAsiaTheme="minorEastAsia" w:hAnsiTheme="minorEastAsia"/>
          <w:bCs/>
          <w:color w:val="000000"/>
          <w:sz w:val="24"/>
        </w:rPr>
        <w:t>）的基金份额持有人提名新的基金管理人和基金托管人；</w:t>
      </w:r>
      <w:bookmarkEnd w:id="337"/>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w:t>
      </w:r>
      <w:r>
        <w:rPr>
          <w:rFonts w:asciiTheme="minorEastAsia" w:eastAsiaTheme="minorEastAsia" w:hAnsiTheme="minorEastAsia" w:hint="eastAsia"/>
          <w:bCs/>
          <w:color w:val="000000"/>
          <w:sz w:val="24"/>
        </w:rPr>
        <w:t>、</w:t>
      </w:r>
      <w:bookmarkStart w:id="338" w:name="_Hlk197519529"/>
      <w:r>
        <w:rPr>
          <w:rFonts w:asciiTheme="minorEastAsia" w:eastAsiaTheme="minorEastAsia" w:hAnsiTheme="minorEastAsia"/>
          <w:bCs/>
          <w:color w:val="000000"/>
          <w:sz w:val="24"/>
        </w:rPr>
        <w:t>基金管理人和基金托管人的更换分别按上述程序进行；</w:t>
      </w:r>
      <w:bookmarkEnd w:id="338"/>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w:t>
      </w:r>
      <w:r>
        <w:rPr>
          <w:rFonts w:asciiTheme="minorEastAsia" w:eastAsiaTheme="minorEastAsia" w:hAnsiTheme="minorEastAsia" w:hint="eastAsia"/>
          <w:bCs/>
          <w:color w:val="000000"/>
          <w:sz w:val="24"/>
        </w:rPr>
        <w:t>、</w:t>
      </w:r>
      <w:bookmarkStart w:id="339" w:name="_Hlk197519536"/>
      <w:r>
        <w:rPr>
          <w:rFonts w:asciiTheme="minorEastAsia" w:eastAsiaTheme="minorEastAsia" w:hAnsiTheme="minorEastAsia"/>
          <w:bCs/>
          <w:color w:val="000000"/>
          <w:sz w:val="24"/>
        </w:rPr>
        <w:t>公告：</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管理人和</w:t>
      </w:r>
      <w:r>
        <w:rPr>
          <w:rFonts w:asciiTheme="minorEastAsia" w:eastAsiaTheme="minorEastAsia" w:hAnsiTheme="minorEastAsia"/>
          <w:bCs/>
          <w:color w:val="000000"/>
          <w:sz w:val="24"/>
        </w:rPr>
        <w:t>新任基金</w:t>
      </w:r>
      <w:r>
        <w:rPr>
          <w:rFonts w:asciiTheme="minorEastAsia" w:eastAsiaTheme="minorEastAsia" w:hAnsiTheme="minorEastAsia"/>
          <w:bCs/>
          <w:color w:val="000000"/>
          <w:sz w:val="24"/>
        </w:rPr>
        <w:t>托管人应在更换基金管理人和基金托管人的基金份额持有人大会决议</w:t>
      </w:r>
      <w:r>
        <w:rPr>
          <w:rFonts w:asciiTheme="minorEastAsia" w:eastAsiaTheme="minorEastAsia" w:hAnsiTheme="minorEastAsia" w:hint="eastAsia"/>
          <w:bCs/>
          <w:color w:val="000000"/>
          <w:sz w:val="24"/>
        </w:rPr>
        <w:t>生效</w:t>
      </w:r>
      <w:r>
        <w:rPr>
          <w:rFonts w:asciiTheme="minorEastAsia" w:eastAsiaTheme="minorEastAsia" w:hAnsiTheme="minorEastAsia"/>
          <w:bCs/>
          <w:color w:val="000000"/>
          <w:sz w:val="24"/>
        </w:rPr>
        <w:t>后2日内在规定媒介上联合公告。</w:t>
      </w:r>
      <w:bookmarkEnd w:id="339"/>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三、</w:t>
      </w:r>
      <w:bookmarkStart w:id="340" w:name="_Hlk197519547"/>
      <w:r>
        <w:rPr>
          <w:rFonts w:asciiTheme="minorEastAsia" w:eastAsiaTheme="minorEastAsia" w:hAnsiTheme="minorEastAsia" w:hint="eastAsia"/>
          <w:bCs/>
          <w:color w:val="000000"/>
          <w:sz w:val="24"/>
        </w:rPr>
        <w:t>新任或临时基金管理人接收基金管理业务前或新任或临时基金托管人接收基金财产和基金托管业务前，原任基金管理人或原任基金托管人应依据法律法规和《基金合同》的规定继续履行相关职责，并保证不对基金份额持有人的利益造成损害。原任基金管理人或原任基金托管人在继续履行相关职责期间，仍有权按照基金合同的规定收取基金管理费、基金托管费</w:t>
      </w:r>
      <w:bookmarkStart w:id="341" w:name="_Hlk197520948"/>
      <w:r>
        <w:rPr>
          <w:rFonts w:ascii="宋体" w:hAnsi="宋体" w:hint="eastAsia"/>
          <w:bCs/>
          <w:color w:val="000000"/>
          <w:sz w:val="24"/>
        </w:rPr>
        <w:t>或销售服务费</w:t>
      </w:r>
      <w:bookmarkEnd w:id="341"/>
      <w:r>
        <w:rPr>
          <w:rFonts w:asciiTheme="minorEastAsia" w:eastAsiaTheme="minorEastAsia" w:hAnsiTheme="minorEastAsia" w:hint="eastAsia"/>
          <w:bCs/>
          <w:color w:val="000000"/>
          <w:sz w:val="24"/>
        </w:rPr>
        <w:t>。</w:t>
      </w:r>
      <w:bookmarkEnd w:id="340"/>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四、本部</w:t>
      </w:r>
      <w:r>
        <w:rPr>
          <w:rFonts w:asciiTheme="minorEastAsia" w:eastAsiaTheme="minorEastAsia" w:hAnsiTheme="minorEastAsia" w:hint="eastAsia"/>
          <w:bCs/>
          <w:color w:val="000000"/>
          <w:sz w:val="24"/>
        </w:rPr>
        <w:t>分关于</w:t>
      </w:r>
      <w:r>
        <w:rPr>
          <w:rFonts w:asciiTheme="minorEastAsia" w:eastAsiaTheme="minorEastAsia" w:hAnsiTheme="minorEastAsia" w:hint="eastAsia"/>
          <w:bCs/>
          <w:color w:val="000000"/>
          <w:sz w:val="24"/>
        </w:rPr>
        <w:t>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kern w:val="2"/>
        </w:rPr>
        <w:br w:type="page"/>
      </w:r>
      <w:bookmarkStart w:id="342" w:name="_Toc32092"/>
      <w:bookmarkStart w:id="343" w:name="_Toc32584"/>
      <w:bookmarkStart w:id="344" w:name="_Toc48649708"/>
      <w:bookmarkStart w:id="345" w:name="_Toc123051456"/>
      <w:bookmarkStart w:id="346" w:name="_Toc5170"/>
      <w:bookmarkStart w:id="347" w:name="_Toc29408"/>
      <w:bookmarkStart w:id="348" w:name="_Toc534140373"/>
      <w:bookmarkStart w:id="349" w:name="_Toc17920"/>
      <w:bookmarkStart w:id="350" w:name="_Toc21237"/>
      <w:bookmarkStart w:id="351" w:name="_Toc79392622"/>
      <w:bookmarkStart w:id="352" w:name="_Toc8791"/>
      <w:bookmarkStart w:id="353" w:name="_Toc532487735"/>
      <w:bookmarkStart w:id="354" w:name="_Toc123102457"/>
      <w:bookmarkStart w:id="355" w:name="_Toc739"/>
      <w:bookmarkStart w:id="356" w:name="_Toc3329"/>
      <w:bookmarkStart w:id="357" w:name="_Toc207633408"/>
      <w:bookmarkStart w:id="358" w:name="_Toc98560356"/>
      <w:bookmarkStart w:id="359" w:name="_Toc141703890"/>
      <w:bookmarkStart w:id="360" w:name="_Toc17198"/>
      <w:bookmarkStart w:id="361" w:name="_Toc20976"/>
      <w:bookmarkStart w:id="362" w:name="_Toc123112238"/>
      <w:bookmarkStart w:id="363" w:name="_Toc139991740"/>
      <w:bookmarkEnd w:id="295"/>
      <w:r>
        <w:rPr>
          <w:rFonts w:asciiTheme="minorEastAsia" w:eastAsiaTheme="minorEastAsia" w:hAnsiTheme="minorEastAsia"/>
          <w:sz w:val="30"/>
        </w:rPr>
        <w:t xml:space="preserve">第十部分  </w:t>
      </w:r>
      <w:r>
        <w:rPr>
          <w:rFonts w:asciiTheme="minorEastAsia" w:eastAsiaTheme="minorEastAsia" w:hAnsiTheme="minorEastAsia" w:hint="eastAsia"/>
          <w:sz w:val="30"/>
        </w:rPr>
        <w:t>基金</w:t>
      </w:r>
      <w:r>
        <w:rPr>
          <w:rFonts w:asciiTheme="minorEastAsia" w:eastAsiaTheme="minorEastAsia" w:hAnsiTheme="minorEastAsia"/>
          <w:sz w:val="30"/>
        </w:rPr>
        <w:t>的托管</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rsidR="00AA3326">
      <w:pPr>
        <w:autoSpaceDE w:val="0"/>
        <w:autoSpaceDN w:val="0"/>
        <w:spacing w:line="360" w:lineRule="auto"/>
        <w:textAlignment w:val="bottom"/>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基金托管人和基金管理人按照《基金法》、《基金合同》及其他有关规定订立托管协议。</w:t>
      </w:r>
    </w:p>
    <w:p w:rsidR="00AA3326">
      <w:pPr>
        <w:autoSpaceDE w:val="0"/>
        <w:autoSpaceDN w:val="0"/>
        <w:spacing w:line="360" w:lineRule="auto"/>
        <w:ind w:firstLine="480" w:firstLineChars="200"/>
        <w:textAlignment w:val="bottom"/>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订立托管协议的目的是明确基金托管人与基金管理人之间在</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的保管、投资运作、净值计算、收益分配、信息披露及相互监督等相关事宜中的权利义务及职责，确保</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的安全，保护基金份额持有人的合法权益。</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rPr>
        <w:br w:type="page"/>
      </w:r>
      <w:bookmarkStart w:id="364" w:name="_Toc14725"/>
      <w:bookmarkStart w:id="365" w:name="_Toc123112239"/>
      <w:bookmarkStart w:id="366" w:name="_Toc532487736"/>
      <w:bookmarkStart w:id="367" w:name="_Toc48649710"/>
      <w:bookmarkStart w:id="368" w:name="_Toc22674"/>
      <w:bookmarkStart w:id="369" w:name="_Toc534140374"/>
      <w:bookmarkStart w:id="370" w:name="_Toc19520"/>
      <w:bookmarkStart w:id="371" w:name="_Toc98560357"/>
      <w:bookmarkStart w:id="372" w:name="_Toc123102458"/>
      <w:bookmarkStart w:id="373" w:name="_Toc21886"/>
      <w:bookmarkStart w:id="374" w:name="_Toc3244"/>
      <w:bookmarkStart w:id="375" w:name="_Toc26383"/>
      <w:bookmarkStart w:id="376" w:name="_Toc123051457"/>
      <w:bookmarkStart w:id="377" w:name="_Toc26152"/>
      <w:bookmarkStart w:id="378" w:name="_Toc139991741"/>
      <w:bookmarkStart w:id="379" w:name="_Toc31469"/>
      <w:bookmarkStart w:id="380" w:name="_Toc141703891"/>
      <w:bookmarkStart w:id="381" w:name="_Toc207633409"/>
      <w:bookmarkStart w:id="382" w:name="_Toc26084"/>
      <w:bookmarkStart w:id="383" w:name="_Toc2255"/>
      <w:bookmarkStart w:id="384" w:name="_Toc79392624"/>
      <w:bookmarkStart w:id="385" w:name="_Toc16789"/>
      <w:r>
        <w:rPr>
          <w:rFonts w:asciiTheme="minorEastAsia" w:eastAsiaTheme="minorEastAsia" w:hAnsiTheme="minorEastAsia"/>
          <w:sz w:val="30"/>
        </w:rPr>
        <w:t>第十一部分  基金份额的登记</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AA3326">
      <w:pPr>
        <w:autoSpaceDE w:val="0"/>
        <w:autoSpaceDN w:val="0"/>
        <w:spacing w:line="360" w:lineRule="auto"/>
        <w:textAlignment w:val="bottom"/>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一、</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的份额登记业务</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本基金的登记业务指本基金登记、存管、过户、清算和结算业务，具体内容包括投资人</w:t>
      </w:r>
      <w:r>
        <w:rPr>
          <w:rFonts w:asciiTheme="minorEastAsia" w:eastAsiaTheme="minorEastAsia" w:hAnsiTheme="minorEastAsia" w:hint="eastAsia"/>
          <w:bCs/>
          <w:color w:val="000000"/>
          <w:sz w:val="24"/>
        </w:rPr>
        <w:t>基金账户</w:t>
      </w:r>
      <w:r>
        <w:rPr>
          <w:rFonts w:asciiTheme="minorEastAsia" w:eastAsiaTheme="minorEastAsia" w:hAnsiTheme="minorEastAsia"/>
          <w:bCs/>
          <w:color w:val="000000"/>
          <w:sz w:val="24"/>
        </w:rPr>
        <w:t>的建立和管理、基金份额登记、基金销售业务的确认、清算和结算、代理发放红利、建立并保管基金份额持有人名册</w:t>
      </w:r>
      <w:r>
        <w:rPr>
          <w:rFonts w:asciiTheme="minorEastAsia" w:eastAsiaTheme="minorEastAsia" w:hAnsiTheme="minorEastAsia" w:hint="eastAsia"/>
          <w:bCs/>
          <w:color w:val="000000"/>
          <w:sz w:val="24"/>
        </w:rPr>
        <w:t>和办理</w:t>
      </w:r>
      <w:r>
        <w:rPr>
          <w:rFonts w:asciiTheme="minorEastAsia" w:eastAsiaTheme="minorEastAsia" w:hAnsiTheme="minorEastAsia" w:hint="eastAsia"/>
          <w:bCs/>
          <w:color w:val="000000"/>
          <w:sz w:val="24"/>
        </w:rPr>
        <w:t>非交易</w:t>
      </w:r>
      <w:r>
        <w:rPr>
          <w:rFonts w:asciiTheme="minorEastAsia" w:eastAsiaTheme="minorEastAsia" w:hAnsiTheme="minorEastAsia" w:hint="eastAsia"/>
          <w:bCs/>
          <w:color w:val="000000"/>
          <w:sz w:val="24"/>
        </w:rPr>
        <w:t>过户</w:t>
      </w:r>
      <w:r>
        <w:rPr>
          <w:rFonts w:asciiTheme="minorEastAsia" w:eastAsiaTheme="minorEastAsia" w:hAnsiTheme="minorEastAsia"/>
          <w:bCs/>
          <w:color w:val="000000"/>
          <w:sz w:val="24"/>
        </w:rPr>
        <w:t>等</w:t>
      </w:r>
      <w:r>
        <w:rPr>
          <w:rFonts w:asciiTheme="minorEastAsia" w:eastAsiaTheme="minorEastAsia" w:hAnsiTheme="minorEastAsia" w:hint="eastAsia"/>
          <w:bCs/>
          <w:color w:val="000000"/>
          <w:sz w:val="24"/>
        </w:rPr>
        <w:t>。</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二、基金登记业务办理机构</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w:t>
      </w:r>
      <w:r>
        <w:rPr>
          <w:rFonts w:hint="eastAsia"/>
          <w:bCs/>
          <w:color w:val="000000"/>
          <w:sz w:val="24"/>
        </w:rPr>
        <w:t>和办理</w:t>
      </w:r>
      <w:r>
        <w:rPr>
          <w:rFonts w:hint="eastAsia"/>
          <w:bCs/>
          <w:color w:val="000000"/>
          <w:sz w:val="24"/>
        </w:rPr>
        <w:t>非交易</w:t>
      </w:r>
      <w:r>
        <w:rPr>
          <w:rFonts w:hint="eastAsia"/>
          <w:bCs/>
          <w:color w:val="000000"/>
          <w:sz w:val="24"/>
        </w:rPr>
        <w:t>过户</w:t>
      </w:r>
      <w:r>
        <w:rPr>
          <w:rFonts w:asciiTheme="minorEastAsia" w:eastAsiaTheme="minorEastAsia" w:hAnsiTheme="minorEastAsia"/>
          <w:bCs/>
          <w:color w:val="000000"/>
          <w:sz w:val="24"/>
        </w:rPr>
        <w:t>等事宜中的权利和义务，保护基金份额持有人的合法权益。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三、基金登记机构的权利</w:t>
      </w:r>
      <w:bookmarkStart w:id="386" w:name="_Hlt88820748"/>
      <w:bookmarkEnd w:id="386"/>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基金登记机构享有以下权利：</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1、取得登记费；</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2、建立和管理投资者基金账户；</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3、保管基金份额持有人开户资料、交易资料、基金份额持有人名册等；</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4、在法律法规允许的范围内，对登记业务的办理时间</w:t>
      </w:r>
      <w:r>
        <w:rPr>
          <w:rFonts w:asciiTheme="minorEastAsia" w:eastAsiaTheme="minorEastAsia" w:hAnsiTheme="minorEastAsia" w:hint="eastAsia"/>
          <w:bCs/>
          <w:color w:val="000000"/>
          <w:sz w:val="24"/>
        </w:rPr>
        <w:t>及规则</w:t>
      </w:r>
      <w:r>
        <w:rPr>
          <w:rFonts w:asciiTheme="minorEastAsia" w:eastAsiaTheme="minorEastAsia" w:hAnsiTheme="minorEastAsia"/>
          <w:bCs/>
          <w:color w:val="000000"/>
          <w:sz w:val="24"/>
        </w:rPr>
        <w:t>进行调整，并依照有关规定于开始实施前在规定媒介上公告；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5、</w:t>
      </w:r>
      <w:r>
        <w:rPr>
          <w:rFonts w:asciiTheme="minorEastAsia" w:eastAsiaTheme="minorEastAsia" w:hAnsiTheme="minorEastAsia" w:hint="eastAsia"/>
          <w:bCs/>
          <w:color w:val="000000"/>
          <w:sz w:val="24"/>
        </w:rPr>
        <w:t>法律法规及中国证监会规定的和《基金合同》约定的其他</w:t>
      </w:r>
      <w:r>
        <w:rPr>
          <w:rFonts w:asciiTheme="minorEastAsia" w:eastAsiaTheme="minorEastAsia" w:hAnsiTheme="minorEastAsia"/>
          <w:bCs/>
          <w:color w:val="000000"/>
          <w:sz w:val="24"/>
        </w:rPr>
        <w:t>权利。</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四、基金登记机构的义务</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基金登记机构承担以下义务：</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1、配备足够的专业人员办理本基金份额的登记业务；</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2、严格按照法律法规和《基金合同》规定的条件办理本基金份额的登记业务；</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3、妥善保存登记数据，并将基金份额持有人名称、身份信息及基金份额明细等数据备份至中国证监会认定的机构。其保存</w:t>
      </w:r>
      <w:r>
        <w:rPr>
          <w:rFonts w:hint="eastAsia"/>
          <w:bCs/>
          <w:color w:val="000000"/>
          <w:sz w:val="24"/>
        </w:rPr>
        <w:t>不低于法律法规规定的最低期限</w:t>
      </w:r>
      <w:r>
        <w:rPr>
          <w:rFonts w:asciiTheme="minorEastAsia" w:eastAsiaTheme="minorEastAsia" w:hAnsiTheme="minorEastAsia"/>
          <w:bCs/>
          <w:color w:val="000000"/>
          <w:sz w:val="24"/>
        </w:rPr>
        <w:t>；</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4、对基金份额持有人的基金账户信息负有保密义务，因违反该保密义务对投资者或</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带来的损失，须承担相应的赔偿责任，但司法强制检查情形及</w:t>
      </w:r>
      <w:r>
        <w:rPr>
          <w:rFonts w:asciiTheme="minorEastAsia" w:eastAsiaTheme="minorEastAsia" w:hAnsiTheme="minorEastAsia" w:hint="eastAsia"/>
          <w:bCs/>
          <w:color w:val="000000"/>
          <w:sz w:val="24"/>
        </w:rPr>
        <w:t>法律</w:t>
      </w:r>
      <w:r>
        <w:rPr>
          <w:rFonts w:asciiTheme="minorEastAsia" w:eastAsiaTheme="minorEastAsia" w:hAnsiTheme="minorEastAsia" w:hint="eastAsia"/>
          <w:bCs/>
          <w:color w:val="000000"/>
          <w:sz w:val="24"/>
        </w:rPr>
        <w:t>法规及中国证监会规定的和《基金合同》约定的其他</w:t>
      </w:r>
      <w:r>
        <w:rPr>
          <w:rFonts w:asciiTheme="minorEastAsia" w:eastAsiaTheme="minorEastAsia" w:hAnsiTheme="minorEastAsia"/>
          <w:bCs/>
          <w:color w:val="000000"/>
          <w:sz w:val="24"/>
        </w:rPr>
        <w:t>情形除外；</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5、按《基金合同》及招募说明书规定为投资者办理</w:t>
      </w:r>
      <w:r>
        <w:rPr>
          <w:rFonts w:asciiTheme="minorEastAsia" w:eastAsiaTheme="minorEastAsia" w:hAnsiTheme="minorEastAsia"/>
          <w:bCs/>
          <w:color w:val="000000"/>
          <w:sz w:val="24"/>
        </w:rPr>
        <w:t>非交易</w:t>
      </w:r>
      <w:r>
        <w:rPr>
          <w:rFonts w:asciiTheme="minorEastAsia" w:eastAsiaTheme="minorEastAsia" w:hAnsiTheme="minorEastAsia"/>
          <w:bCs/>
          <w:color w:val="000000"/>
          <w:sz w:val="24"/>
        </w:rPr>
        <w:t>过户业务、提供其他必要的服务；</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6、接受基金管理人的监督；</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7、</w:t>
      </w:r>
      <w:r>
        <w:rPr>
          <w:rFonts w:asciiTheme="minorEastAsia" w:eastAsiaTheme="minorEastAsia" w:hAnsiTheme="minorEastAsia" w:hint="eastAsia"/>
          <w:bCs/>
          <w:color w:val="000000"/>
          <w:sz w:val="24"/>
        </w:rPr>
        <w:t>法律法规及中国证监会规定的和《基金合同》约定的其他</w:t>
      </w:r>
      <w:r>
        <w:rPr>
          <w:rFonts w:asciiTheme="minorEastAsia" w:eastAsiaTheme="minorEastAsia" w:hAnsiTheme="minorEastAsia"/>
          <w:bCs/>
          <w:color w:val="000000"/>
          <w:sz w:val="24"/>
        </w:rPr>
        <w:t>义务。</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rPr>
        <w:br w:type="page"/>
      </w:r>
      <w:bookmarkStart w:id="387" w:name="_Toc3872"/>
      <w:bookmarkStart w:id="388" w:name="_Toc21917"/>
      <w:bookmarkStart w:id="389" w:name="_Toc534140375"/>
      <w:bookmarkStart w:id="390" w:name="_Toc11351"/>
      <w:bookmarkStart w:id="391" w:name="_Toc22538"/>
      <w:bookmarkStart w:id="392" w:name="_Toc207633410"/>
      <w:bookmarkStart w:id="393" w:name="_Toc11395"/>
      <w:bookmarkStart w:id="394" w:name="_Toc578"/>
      <w:bookmarkStart w:id="395" w:name="_Toc16437"/>
      <w:bookmarkStart w:id="396" w:name="_Toc532487737"/>
      <w:bookmarkStart w:id="397" w:name="_Toc13343"/>
      <w:bookmarkStart w:id="398" w:name="_Toc5477"/>
      <w:bookmarkStart w:id="399" w:name="_Toc801"/>
      <w:bookmarkStart w:id="400" w:name="_Toc2981"/>
      <w:r>
        <w:rPr>
          <w:rFonts w:asciiTheme="minorEastAsia" w:eastAsiaTheme="minorEastAsia" w:hAnsiTheme="minorEastAsia"/>
          <w:sz w:val="30"/>
        </w:rPr>
        <w:t xml:space="preserve">第十二部分  </w:t>
      </w:r>
      <w:r>
        <w:rPr>
          <w:rFonts w:asciiTheme="minorEastAsia" w:eastAsiaTheme="minorEastAsia" w:hAnsiTheme="minorEastAsia" w:hint="eastAsia"/>
          <w:sz w:val="30"/>
        </w:rPr>
        <w:t>基金</w:t>
      </w:r>
      <w:r>
        <w:rPr>
          <w:rFonts w:asciiTheme="minorEastAsia" w:eastAsiaTheme="minorEastAsia" w:hAnsiTheme="minorEastAsia"/>
          <w:sz w:val="30"/>
        </w:rPr>
        <w:t>的投资</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一、投资目标</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01" w:name="OLE_LINK47"/>
      <w:r>
        <w:rPr>
          <w:rFonts w:ascii="宋体" w:hAnsi="宋体" w:hint="eastAsia"/>
          <w:bCs/>
          <w:color w:val="000000"/>
          <w:sz w:val="24"/>
          <w:szCs w:val="24"/>
        </w:rPr>
        <w:t>本基金通过数量化模型，合理配置资产权重，精选个股，在充分控制投资风险的前提下，力求实现基金资产的增值</w:t>
      </w:r>
      <w:bookmarkEnd w:id="401"/>
      <w:r>
        <w:rPr>
          <w:rFonts w:ascii="宋体" w:hAnsi="宋体"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二、投资范围</w:t>
      </w:r>
    </w:p>
    <w:p w:rsidR="00AA3326">
      <w:pPr>
        <w:spacing w:line="360" w:lineRule="auto"/>
        <w:ind w:firstLine="480"/>
        <w:rPr>
          <w:rFonts w:ascii="宋体" w:hAnsi="宋体" w:hint="eastAsia"/>
          <w:bCs/>
          <w:color w:val="000000"/>
          <w:sz w:val="24"/>
          <w:szCs w:val="24"/>
        </w:rPr>
      </w:pPr>
      <w:r>
        <w:rPr>
          <w:rFonts w:ascii="宋体" w:hAnsi="宋体" w:hint="eastAsia"/>
          <w:bCs/>
          <w:color w:val="000000"/>
          <w:sz w:val="24"/>
          <w:szCs w:val="24"/>
        </w:rPr>
        <w:t>本基金的投资范围为具有良好流动性的金融工具，包括国内依法发行上市的股票（包含主板、创业板、存托凭证及其他经中国证监会核准或注册上市的股票）、债券（包括国债、央行票据、金融债、企业债、公司债、次级债、地方政府债券、政府支持机构债券、可转换债券（含分离交易可转债）、可交换债券、中期票据、短期融资</w:t>
      </w:r>
      <w:r>
        <w:rPr>
          <w:rFonts w:ascii="宋体" w:hAnsi="宋体" w:hint="eastAsia"/>
          <w:bCs/>
          <w:color w:val="000000"/>
          <w:sz w:val="24"/>
          <w:szCs w:val="24"/>
        </w:rPr>
        <w:t>券</w:t>
      </w:r>
      <w:r>
        <w:rPr>
          <w:rFonts w:ascii="宋体" w:hAnsi="宋体" w:hint="eastAsia"/>
          <w:bCs/>
          <w:color w:val="000000"/>
          <w:sz w:val="24"/>
          <w:szCs w:val="24"/>
        </w:rPr>
        <w:t>、超短期融资</w:t>
      </w:r>
      <w:r>
        <w:rPr>
          <w:rFonts w:ascii="宋体" w:hAnsi="宋体" w:hint="eastAsia"/>
          <w:bCs/>
          <w:color w:val="000000"/>
          <w:sz w:val="24"/>
          <w:szCs w:val="24"/>
        </w:rPr>
        <w:t>券</w:t>
      </w:r>
      <w:r>
        <w:rPr>
          <w:rFonts w:ascii="宋体" w:hAnsi="宋体" w:hint="eastAsia"/>
          <w:bCs/>
          <w:color w:val="000000"/>
          <w:sz w:val="24"/>
          <w:szCs w:val="24"/>
        </w:rPr>
        <w:t>等）、货币市场工具、银行存款、同业存单、债券回购、股指期货、股票期权、资产支持证券以及法律法规或中国证监会允许基金投资的其他金融工具（但须符合中国证监会的相关规定）。</w:t>
      </w:r>
    </w:p>
    <w:p w:rsidR="00AA3326">
      <w:pPr>
        <w:spacing w:line="360" w:lineRule="auto"/>
        <w:ind w:firstLine="480"/>
        <w:rPr>
          <w:rFonts w:ascii="宋体" w:hAnsi="宋体" w:hint="eastAsia"/>
          <w:bCs/>
          <w:color w:val="000000"/>
          <w:sz w:val="24"/>
          <w:szCs w:val="24"/>
        </w:rPr>
      </w:pPr>
      <w:r>
        <w:rPr>
          <w:rFonts w:ascii="宋体" w:hAnsi="宋体" w:hint="eastAsia"/>
          <w:bCs/>
          <w:color w:val="000000"/>
          <w:sz w:val="24"/>
          <w:szCs w:val="24"/>
        </w:rPr>
        <w:t>本基金根据法律法规的规定参与融资业务。在法律法规允许的情况下并履行适当程序后，本基金可以参与融券业务。</w:t>
      </w:r>
    </w:p>
    <w:p w:rsidR="00AA3326">
      <w:pPr>
        <w:spacing w:line="360" w:lineRule="auto"/>
        <w:ind w:firstLine="480"/>
        <w:rPr>
          <w:rFonts w:ascii="宋体" w:hAnsi="宋体" w:hint="eastAsia"/>
          <w:bCs/>
          <w:color w:val="000000"/>
          <w:sz w:val="24"/>
          <w:szCs w:val="24"/>
        </w:rPr>
      </w:pPr>
      <w:r>
        <w:rPr>
          <w:rFonts w:ascii="宋体" w:hAnsi="宋体" w:hint="eastAsia"/>
          <w:bCs/>
          <w:color w:val="000000"/>
          <w:sz w:val="24"/>
          <w:szCs w:val="24"/>
        </w:rPr>
        <w:t>如法律法规或监管机构以后允许基金投资其他品种，基金管理人在履行适当程序后，可以将其纳入投资范围。</w:t>
      </w:r>
    </w:p>
    <w:p w:rsidR="00AA3326">
      <w:pPr>
        <w:spacing w:line="360" w:lineRule="auto"/>
        <w:ind w:firstLine="480"/>
        <w:rPr>
          <w:rFonts w:ascii="宋体" w:hAnsi="宋体" w:hint="eastAsia"/>
          <w:bCs/>
          <w:color w:val="000000"/>
          <w:sz w:val="24"/>
          <w:szCs w:val="24"/>
        </w:rPr>
      </w:pPr>
      <w:r>
        <w:rPr>
          <w:rFonts w:asciiTheme="minorEastAsia" w:eastAsiaTheme="minorEastAsia" w:hAnsiTheme="minorEastAsia" w:hint="eastAsia"/>
          <w:bCs/>
          <w:color w:val="000000"/>
          <w:sz w:val="24"/>
          <w:szCs w:val="24"/>
        </w:rPr>
        <w:t>本基金的投资组合比例为：</w:t>
      </w:r>
      <w:r>
        <w:rPr>
          <w:rFonts w:ascii="宋体" w:hAnsi="宋体" w:hint="eastAsia"/>
          <w:bCs/>
          <w:color w:val="000000"/>
          <w:sz w:val="24"/>
          <w:szCs w:val="24"/>
        </w:rPr>
        <w:t>本基金投资于股票资产（</w:t>
      </w:r>
      <w:r>
        <w:rPr>
          <w:rFonts w:ascii="宋体" w:hAnsi="宋体" w:hint="eastAsia"/>
          <w:bCs/>
          <w:color w:val="000000"/>
          <w:sz w:val="24"/>
          <w:szCs w:val="24"/>
        </w:rPr>
        <w:t>含存托</w:t>
      </w:r>
      <w:r>
        <w:rPr>
          <w:rFonts w:ascii="宋体" w:hAnsi="宋体" w:hint="eastAsia"/>
          <w:bCs/>
          <w:color w:val="000000"/>
          <w:sz w:val="24"/>
          <w:szCs w:val="24"/>
        </w:rPr>
        <w:t>凭证）的比例占基金资产的60%-95%；每个交易日日终在扣除股指期货合约、股票期权合约需缴纳的交易保证金后，现金或到期日在一年以内的政府债券不低于基金资产净值的5%，其中现金不包括结算备付金、存出保证金、应收申购款等。</w:t>
      </w:r>
    </w:p>
    <w:p w:rsidR="00AA3326">
      <w:pPr>
        <w:spacing w:line="360" w:lineRule="auto"/>
        <w:ind w:firstLine="480"/>
        <w:rPr>
          <w:rFonts w:asciiTheme="minorEastAsia" w:eastAsiaTheme="minorEastAsia" w:hAnsiTheme="minorEastAsia" w:hint="eastAsia"/>
          <w:bCs/>
          <w:color w:val="000000"/>
          <w:sz w:val="24"/>
          <w:szCs w:val="24"/>
        </w:rPr>
      </w:pPr>
      <w:r>
        <w:rPr>
          <w:rFonts w:ascii="宋体" w:hAnsi="宋体" w:hint="eastAsia"/>
          <w:bCs/>
          <w:color w:val="000000"/>
          <w:sz w:val="24"/>
          <w:szCs w:val="24"/>
        </w:rPr>
        <w:t>如果法律法规或监管机构变更投资品种的投资比例限制，基金管理人在履行适当程序后，可以调整上述投资品种的投资比例。</w:t>
      </w:r>
    </w:p>
    <w:p w:rsidR="00AA3326">
      <w:pPr>
        <w:spacing w:line="360" w:lineRule="auto"/>
        <w:ind w:firstLine="48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三、投资策略</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02" w:name="_Toc313977115"/>
      <w:r>
        <w:rPr>
          <w:rFonts w:ascii="宋体" w:cs="宋体" w:hAnsi="宋体"/>
          <w:color w:val="000000"/>
          <w:sz w:val="24"/>
        </w:rPr>
        <w:t>本基金在投资中将以基金的权益类资产和固定收益类资产配置作为基础，采用</w:t>
      </w:r>
      <w:r>
        <w:rPr>
          <w:rFonts w:ascii="宋体" w:cs="宋体" w:hAnsi="宋体" w:hint="eastAsia"/>
          <w:color w:val="000000"/>
          <w:sz w:val="24"/>
        </w:rPr>
        <w:t>数量化模型</w:t>
      </w:r>
      <w:r>
        <w:rPr>
          <w:rFonts w:ascii="宋体" w:cs="宋体" w:hAnsi="宋体"/>
          <w:color w:val="000000"/>
          <w:sz w:val="24"/>
        </w:rPr>
        <w:t>，并将对基金整体的波动和风险进行控制，力求</w:t>
      </w:r>
      <w:r>
        <w:rPr>
          <w:rFonts w:ascii="宋体" w:cs="宋体" w:hAnsi="宋体" w:hint="eastAsia"/>
          <w:color w:val="000000"/>
          <w:sz w:val="24"/>
        </w:rPr>
        <w:t>基金资产</w:t>
      </w:r>
      <w:r>
        <w:rPr>
          <w:rFonts w:ascii="宋体" w:cs="宋体" w:hAnsi="宋体"/>
          <w:color w:val="000000"/>
          <w:sz w:val="24"/>
        </w:rPr>
        <w:t>长期、稳定的增值。</w:t>
      </w:r>
      <w:r>
        <w:rPr>
          <w:rFonts w:ascii="宋体" w:cs="宋体" w:hAnsi="宋体" w:hint="eastAsia"/>
          <w:color w:val="000000"/>
          <w:sz w:val="24"/>
        </w:rPr>
        <w:t>投资策略主要包括但不限于以下方面：</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03" w:name="_Toc313977116"/>
      <w:bookmarkEnd w:id="402"/>
      <w:r>
        <w:rPr>
          <w:rFonts w:asciiTheme="minorEastAsia" w:eastAsiaTheme="minorEastAsia" w:hAnsiTheme="minorEastAsia" w:hint="eastAsia"/>
          <w:bCs/>
          <w:color w:val="000000"/>
          <w:sz w:val="24"/>
          <w:szCs w:val="24"/>
        </w:rPr>
        <w:t>1、资产配置策略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本基金依据宏观和金融数据以及投资部门对于宏观经济、股市政策、市场趋</w:t>
      </w:r>
      <w:r>
        <w:rPr>
          <w:rFonts w:asciiTheme="minorEastAsia" w:eastAsiaTheme="minorEastAsia" w:hAnsiTheme="minorEastAsia" w:hint="eastAsia"/>
          <w:bCs/>
          <w:color w:val="000000"/>
          <w:sz w:val="24"/>
          <w:szCs w:val="24"/>
        </w:rPr>
        <w:t>势的综合分析，重点关注包括GDP增速、固定资产投资增速、净出口增速、通胀率、货币供应、利率等宏观指标的变化趋势，同时强调金融市场投资者行为分析，关注资本市场资金供求关系变化等因素，在深入分析基础上评估宏观经济运行及政策对资本市场的影响方向和力度，形成资产配置方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2、股票投资策略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w:t>
      </w:r>
      <w:bookmarkStart w:id="404" w:name="OLE_LINK20"/>
      <w:bookmarkStart w:id="405" w:name="OLE_LINK19"/>
      <w:r>
        <w:rPr>
          <w:rFonts w:asciiTheme="minorEastAsia" w:eastAsiaTheme="minorEastAsia" w:hAnsiTheme="minorEastAsia" w:hint="eastAsia"/>
          <w:bCs/>
          <w:color w:val="000000"/>
          <w:sz w:val="24"/>
          <w:szCs w:val="24"/>
        </w:rPr>
        <w:t>在股票投资方面，本基金在量化策略配置和投资组合管理的框架下，精选中小市值股票中成长性良好且估值合理的上市公司股票构建投资组合，通过量化模型对投资组合中的行业配置及个股权重等进行主动调整，并根据市场风格变化及股票技术面因素，不定期对策略权重进行优化调整，力求获得超越业绩比较基准的投资回报</w:t>
      </w:r>
      <w:bookmarkEnd w:id="404"/>
      <w:bookmarkEnd w:id="405"/>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采用数量化投资策略建立投资模型，主要运用不断迭代的量化模型对股票的预期收益率进行打分，并在最大化预期收益的同时并严格控制组合风险。在投资过程中充分发挥数量化投资纪律严格、风险水平可控、投资视野宽阔等优势，努力寻找市场局部错误定价的机会来不断更新投资组合，以此尽量博取相对于业绩比较基准的超额收益率。</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本基金主要通过机器学习模型和对股票因子特征的研究，在充分控制投资风险的前提下，在以下几个层面通过量化选股的投资策略进行投资，力求实现基金资产的长期、稳定增值。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投资逻辑层面：在策略维度上，注重基本面模型和实时量价统计套利模型的结合。选择基本面优质的公司，争取赚取长期持股的收益。同时通过量价因子尽量刻画股票的技术面特征，以便更准确把握股票的买卖时间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2）模型层面：模型针对股票市场的高噪音和时序性的特征自主研发而成，致力于用多个子模型从不同的角度来刻画市场投资逻辑，提升模型对不同市场风格的普适性，尽量减少单个子模型的失效概率。</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3）Alpha因子层面：模型使用的Alpha因子包括股票的日频交易和日内交易相关因子、定期报告和分析</w:t>
      </w:r>
      <w:r>
        <w:rPr>
          <w:rFonts w:asciiTheme="minorEastAsia" w:eastAsiaTheme="minorEastAsia" w:hAnsiTheme="minorEastAsia" w:hint="eastAsia"/>
          <w:bCs/>
          <w:color w:val="000000"/>
          <w:sz w:val="24"/>
          <w:szCs w:val="24"/>
        </w:rPr>
        <w:t>师报告</w:t>
      </w:r>
      <w:r>
        <w:rPr>
          <w:rFonts w:asciiTheme="minorEastAsia" w:eastAsiaTheme="minorEastAsia" w:hAnsiTheme="minorEastAsia" w:hint="eastAsia"/>
          <w:bCs/>
          <w:color w:val="000000"/>
          <w:sz w:val="24"/>
          <w:szCs w:val="24"/>
        </w:rPr>
        <w:t>衍生因子、事件驱动合成因子、关联网络类因子以及舆情数据因子等。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4）策略配置层面：模型将低频基本面因子和实时量价因子在底层训练和子模型合成两个维度进行融合，试图有效结合基本面因子的长期Alpha能力和量价</w:t>
      </w:r>
      <w:r>
        <w:rPr>
          <w:rFonts w:asciiTheme="minorEastAsia" w:eastAsiaTheme="minorEastAsia" w:hAnsiTheme="minorEastAsia" w:hint="eastAsia"/>
          <w:bCs/>
          <w:color w:val="000000"/>
          <w:sz w:val="24"/>
          <w:szCs w:val="24"/>
        </w:rPr>
        <w:t>因子的短期Alpha优势，可以形成策略互补的效果，使得策略更稳健。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5）行业配置层面：行业配置模型综合考虑行业的景气度、估值、资金流、价量和机构行为等视角，形成行业配置信号，以此对部分行业进行适当的高配和低配。</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6）组合管理层面：本基金在投资组合优化的过程中严格控制规模、Beta、行业和动量等风险因子，将主要市场风险以及行业暴露控制在一定范围之内，动态调整投资组合。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（2）在存托凭证投资方面，本基金将根据本基金的投资目标和股票投资策略，基于对基础证券投资价值的深入研究判断，进行存托凭证的投资。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3、债券投资策略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基于投资策略及流动性管理的需要，将以有效利用基金资产、保持基金资产流动性、为基金资产提供稳定收益为主要目的，适时对债券等固定收益类金融工具进行投资。本基金将通过研究国内外宏观经济、货币和财政政策、市场结构变化、资金流动情况，采取自上而下的策略判断未来利率变化和收益率曲线变动的趋势及幅度，确定组合久期，优化基金资产在利率债、信用债等各类固定收益类金融工具之间的配置比例，在精选个</w:t>
      </w:r>
      <w:r>
        <w:rPr>
          <w:rFonts w:asciiTheme="minorEastAsia" w:eastAsiaTheme="minorEastAsia" w:hAnsiTheme="minorEastAsia" w:hint="eastAsia"/>
          <w:bCs/>
          <w:color w:val="000000"/>
          <w:sz w:val="24"/>
          <w:szCs w:val="24"/>
        </w:rPr>
        <w:t>券</w:t>
      </w:r>
      <w:r>
        <w:rPr>
          <w:rFonts w:asciiTheme="minorEastAsia" w:eastAsiaTheme="minorEastAsia" w:hAnsiTheme="minorEastAsia" w:hint="eastAsia"/>
          <w:bCs/>
          <w:color w:val="000000"/>
          <w:sz w:val="24"/>
          <w:szCs w:val="24"/>
        </w:rPr>
        <w:t>的基础上构建债券投资组合。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4、可转换债券（</w:t>
      </w:r>
      <w:r>
        <w:rPr>
          <w:rFonts w:ascii="宋体" w:hAnsi="宋体" w:hint="eastAsia"/>
          <w:bCs/>
          <w:color w:val="000000"/>
          <w:sz w:val="24"/>
          <w:szCs w:val="24"/>
        </w:rPr>
        <w:t>含分离交易可转债</w:t>
      </w:r>
      <w:r>
        <w:rPr>
          <w:rFonts w:asciiTheme="minorEastAsia" w:eastAsiaTheme="minorEastAsia" w:hAnsiTheme="minorEastAsia" w:hint="eastAsia"/>
          <w:bCs/>
          <w:color w:val="000000"/>
          <w:sz w:val="24"/>
          <w:szCs w:val="24"/>
        </w:rPr>
        <w:t>）、可交换债券投资策略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可转换债券（</w:t>
      </w:r>
      <w:r>
        <w:rPr>
          <w:rFonts w:ascii="宋体" w:hAnsi="宋体" w:hint="eastAsia"/>
          <w:bCs/>
          <w:color w:val="000000"/>
          <w:sz w:val="24"/>
          <w:szCs w:val="24"/>
        </w:rPr>
        <w:t>含分离交易可转债</w:t>
      </w:r>
      <w:r>
        <w:rPr>
          <w:rFonts w:asciiTheme="minorEastAsia" w:eastAsiaTheme="minorEastAsia" w:hAnsiTheme="minorEastAsia" w:hint="eastAsia"/>
          <w:bCs/>
          <w:color w:val="000000"/>
          <w:sz w:val="24"/>
          <w:szCs w:val="24"/>
        </w:rPr>
        <w:t>）</w:t>
      </w:r>
      <w:bookmarkStart w:id="406" w:name="OLE_LINK48"/>
      <w:bookmarkStart w:id="407" w:name="OLE_LINK49"/>
      <w:r>
        <w:rPr>
          <w:rFonts w:asciiTheme="minorEastAsia" w:eastAsiaTheme="minorEastAsia" w:hAnsiTheme="minorEastAsia" w:hint="eastAsia"/>
          <w:bCs/>
          <w:color w:val="000000"/>
          <w:sz w:val="24"/>
          <w:szCs w:val="24"/>
        </w:rPr>
        <w:t>、可交换债券</w:t>
      </w:r>
      <w:bookmarkEnd w:id="406"/>
      <w:bookmarkEnd w:id="407"/>
      <w:r>
        <w:rPr>
          <w:rFonts w:asciiTheme="minorEastAsia" w:eastAsiaTheme="minorEastAsia" w:hAnsiTheme="minorEastAsia" w:hint="eastAsia"/>
          <w:bCs/>
          <w:color w:val="000000"/>
          <w:sz w:val="24"/>
          <w:szCs w:val="24"/>
        </w:rPr>
        <w:t>兼具权益类证券与固定收益类证券的特性。本基金将选择公司基本素质优良、其对应的基础证券有着较高上涨潜力的可转换债券、可交换债券进行投资，并采用期权定价模型等数量化估值工具评定其投资价值，以合理价格买入并持有。本基金持有的该类债券可以转换、交换为股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5、资产支持证券投资策略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本基金可在综合考虑预期收益率、信用风险、流动性等因素的基础上，选择投资价值较高的资产支持证券进行投资。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6、参与股指期货交易策略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本基金可参与股指期货交易。若本基金参与股指期货交易，将根据风险管理的原则，以套期保值为主要目的，综合考虑流动性、</w:t>
      </w:r>
      <w:r>
        <w:rPr>
          <w:rFonts w:asciiTheme="minorEastAsia" w:eastAsiaTheme="minorEastAsia" w:hAnsiTheme="minorEastAsia" w:hint="eastAsia"/>
          <w:bCs/>
          <w:color w:val="000000"/>
          <w:sz w:val="24"/>
          <w:szCs w:val="24"/>
        </w:rPr>
        <w:t>基差水平</w:t>
      </w:r>
      <w:r>
        <w:rPr>
          <w:rFonts w:asciiTheme="minorEastAsia" w:eastAsiaTheme="minorEastAsia" w:hAnsiTheme="minorEastAsia" w:hint="eastAsia"/>
          <w:bCs/>
          <w:color w:val="000000"/>
          <w:sz w:val="24"/>
          <w:szCs w:val="24"/>
        </w:rPr>
        <w:t>、与股票组合相关度等因素，以对冲投资组合的风险、有效管理现金流量或降低建仓</w:t>
      </w:r>
      <w:r>
        <w:rPr>
          <w:rFonts w:asciiTheme="minorEastAsia" w:eastAsiaTheme="minorEastAsia" w:hAnsiTheme="minorEastAsia" w:hint="eastAsia"/>
          <w:bCs/>
          <w:color w:val="000000"/>
          <w:sz w:val="24"/>
          <w:szCs w:val="24"/>
        </w:rPr>
        <w:t>或调仓过程</w:t>
      </w:r>
      <w:r>
        <w:rPr>
          <w:rFonts w:asciiTheme="minorEastAsia" w:eastAsiaTheme="minorEastAsia" w:hAnsiTheme="minorEastAsia" w:hint="eastAsia"/>
          <w:bCs/>
          <w:color w:val="000000"/>
          <w:sz w:val="24"/>
          <w:szCs w:val="24"/>
        </w:rPr>
        <w:t>中</w:t>
      </w:r>
      <w:r>
        <w:rPr>
          <w:rFonts w:asciiTheme="minorEastAsia" w:eastAsiaTheme="minorEastAsia" w:hAnsiTheme="minorEastAsia" w:hint="eastAsia"/>
          <w:bCs/>
          <w:color w:val="000000"/>
          <w:sz w:val="24"/>
          <w:szCs w:val="24"/>
        </w:rPr>
        <w:t>的冲击成本等。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7、参与股票期权交易策略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本基金将按照风险管理的原则，以套期保值为主要目的</w:t>
      </w:r>
      <w:bookmarkStart w:id="408" w:name="OLE_LINK7"/>
      <w:bookmarkStart w:id="409" w:name="OLE_LINK14"/>
      <w:bookmarkStart w:id="410" w:name="OLE_LINK6"/>
      <w:r>
        <w:rPr>
          <w:rFonts w:asciiTheme="minorEastAsia" w:eastAsiaTheme="minorEastAsia" w:hAnsiTheme="minorEastAsia" w:hint="eastAsia"/>
          <w:bCs/>
          <w:color w:val="000000"/>
          <w:sz w:val="24"/>
          <w:szCs w:val="24"/>
        </w:rPr>
        <w:t>参与股票期权交易</w:t>
      </w:r>
      <w:bookmarkEnd w:id="408"/>
      <w:bookmarkEnd w:id="409"/>
      <w:bookmarkEnd w:id="410"/>
      <w:r>
        <w:rPr>
          <w:rFonts w:asciiTheme="minorEastAsia" w:eastAsiaTheme="minorEastAsia" w:hAnsiTheme="minorEastAsia" w:hint="eastAsia"/>
          <w:bCs/>
          <w:color w:val="000000"/>
          <w:sz w:val="24"/>
          <w:szCs w:val="24"/>
        </w:rPr>
        <w:t>。本基金将结合投资目标、比例限制、风险收益特征以及法律法规的相关限定和要求，确定参与股票期权交易的投资时机和投资比例。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w:t>
      </w:r>
      <w:r>
        <w:rPr>
          <w:rFonts w:asciiTheme="minorEastAsia" w:eastAsiaTheme="minorEastAsia" w:hAnsiTheme="minorEastAsia" w:hint="eastAsia"/>
          <w:bCs/>
          <w:color w:val="000000"/>
          <w:sz w:val="24"/>
          <w:szCs w:val="24"/>
        </w:rPr>
        <w:t>、参与融资业务策略</w:t>
      </w:r>
    </w:p>
    <w:p w:rsidR="00AA3326">
      <w:pPr>
        <w:spacing w:line="360" w:lineRule="auto"/>
        <w:ind w:right="21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为更好地实现投资目标，在加强风险防范并遵守审慎原则的前提下，本基金可根据投资管理的需要参与融资业务。参与融资业务时，本基金将力争利用融资的杠杆作用，降低因申购造成基金</w:t>
      </w:r>
      <w:r>
        <w:rPr>
          <w:rFonts w:asciiTheme="minorEastAsia" w:eastAsiaTheme="minorEastAsia" w:hAnsiTheme="minorEastAsia" w:hint="eastAsia"/>
          <w:bCs/>
          <w:color w:val="000000"/>
          <w:sz w:val="24"/>
          <w:szCs w:val="24"/>
        </w:rPr>
        <w:t>仓位</w:t>
      </w:r>
      <w:r>
        <w:rPr>
          <w:rFonts w:asciiTheme="minorEastAsia" w:eastAsiaTheme="minorEastAsia" w:hAnsiTheme="minorEastAsia" w:hint="eastAsia"/>
          <w:bCs/>
          <w:color w:val="000000"/>
          <w:sz w:val="24"/>
          <w:szCs w:val="24"/>
        </w:rPr>
        <w:t>较低带来的跟踪误差，达到有效跟踪标的指数的目的。</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403"/>
      <w:r>
        <w:rPr>
          <w:rFonts w:asciiTheme="minorEastAsia" w:eastAsiaTheme="minorEastAsia" w:hAnsiTheme="minorEastAsia"/>
          <w:bCs/>
          <w:color w:val="000000"/>
          <w:sz w:val="24"/>
          <w:szCs w:val="24"/>
        </w:rPr>
        <w:t>四、投资限制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1、组合限制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宋体" w:cs="宋体" w:hAnsi="宋体"/>
          <w:color w:val="000000"/>
          <w:sz w:val="24"/>
        </w:rPr>
        <w:t>基金</w:t>
      </w:r>
      <w:r>
        <w:rPr>
          <w:rFonts w:asciiTheme="minorEastAsia" w:eastAsiaTheme="minorEastAsia" w:hAnsiTheme="minorEastAsia"/>
          <w:bCs/>
          <w:color w:val="000000"/>
          <w:sz w:val="24"/>
          <w:szCs w:val="24"/>
        </w:rPr>
        <w:t>的投资组合应遵循以下限制：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宋体" w:hAnsi="宋体" w:hint="eastAsia"/>
          <w:bCs/>
          <w:color w:val="000000"/>
          <w:sz w:val="24"/>
          <w:szCs w:val="24"/>
        </w:rPr>
        <w:t>本基金投资于股票资产（</w:t>
      </w:r>
      <w:r>
        <w:rPr>
          <w:rFonts w:ascii="宋体" w:hAnsi="宋体" w:hint="eastAsia"/>
          <w:bCs/>
          <w:color w:val="000000"/>
          <w:sz w:val="24"/>
          <w:szCs w:val="24"/>
        </w:rPr>
        <w:t>含存托</w:t>
      </w:r>
      <w:r>
        <w:rPr>
          <w:rFonts w:ascii="宋体" w:hAnsi="宋体" w:hint="eastAsia"/>
          <w:bCs/>
          <w:color w:val="000000"/>
          <w:sz w:val="24"/>
          <w:szCs w:val="24"/>
        </w:rPr>
        <w:t>凭证）的比例占基金资产的</w:t>
      </w:r>
      <w:r>
        <w:rPr>
          <w:rFonts w:ascii="宋体" w:hAnsi="宋体"/>
          <w:bCs/>
          <w:color w:val="000000"/>
          <w:sz w:val="24"/>
          <w:szCs w:val="24"/>
        </w:rPr>
        <w:t>60</w:t>
      </w:r>
      <w:r>
        <w:rPr>
          <w:rFonts w:ascii="宋体" w:hAnsi="宋体" w:hint="eastAsia"/>
          <w:bCs/>
          <w:color w:val="000000"/>
          <w:sz w:val="24"/>
          <w:szCs w:val="24"/>
        </w:rPr>
        <w:t>%-95%</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w:t>
      </w:r>
      <w:r>
        <w:rPr>
          <w:rFonts w:asciiTheme="minorEastAsia" w:eastAsiaTheme="minorEastAsia" w:hAnsiTheme="minorEastAsia" w:hint="eastAsia"/>
          <w:color w:val="000000"/>
          <w:sz w:val="24"/>
          <w:szCs w:val="24"/>
        </w:rPr>
        <w:t>每个交易日日终在扣除股指期货合约</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股票期权</w:t>
      </w:r>
      <w:r>
        <w:rPr>
          <w:rFonts w:asciiTheme="minorEastAsia" w:eastAsiaTheme="minorEastAsia" w:hAnsiTheme="minorEastAsia" w:hint="eastAsia"/>
          <w:bCs/>
          <w:color w:val="000000"/>
          <w:sz w:val="24"/>
          <w:szCs w:val="24"/>
        </w:rPr>
        <w:t>合约</w:t>
      </w:r>
      <w:r>
        <w:rPr>
          <w:rFonts w:asciiTheme="minorEastAsia" w:eastAsiaTheme="minorEastAsia" w:hAnsiTheme="minorEastAsia" w:hint="eastAsia"/>
          <w:color w:val="000000"/>
          <w:sz w:val="24"/>
          <w:szCs w:val="24"/>
        </w:rPr>
        <w:t>需缴纳的交易保证金后，</w:t>
      </w:r>
      <w:r>
        <w:rPr>
          <w:rFonts w:asciiTheme="minorEastAsia" w:eastAsiaTheme="minorEastAsia" w:hAnsiTheme="minorEastAsia"/>
          <w:bCs/>
          <w:color w:val="000000"/>
          <w:sz w:val="24"/>
          <w:szCs w:val="24"/>
        </w:rPr>
        <w:t>保持不低于基金资产净值5％的现金或者到期日在一年以内的政府债券</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其中</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现金不包括结算备付金、存出保证金</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应收申购款等；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）本基金持有一家公司</w:t>
      </w:r>
      <w:r>
        <w:rPr>
          <w:rFonts w:asciiTheme="minorEastAsia" w:eastAsiaTheme="minorEastAsia" w:hAnsiTheme="minorEastAsia" w:hint="eastAsia"/>
          <w:bCs/>
          <w:color w:val="000000"/>
          <w:sz w:val="24"/>
          <w:szCs w:val="24"/>
        </w:rPr>
        <w:t>发行的证券</w:t>
      </w:r>
      <w:r>
        <w:rPr>
          <w:rFonts w:asciiTheme="minorEastAsia" w:eastAsiaTheme="minorEastAsia" w:hAnsiTheme="minorEastAsia"/>
          <w:bCs/>
          <w:color w:val="000000"/>
          <w:sz w:val="24"/>
          <w:szCs w:val="24"/>
        </w:rPr>
        <w:t>，其市值不超过基金资产净值的10％；</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）基金管理人管理的全部</w:t>
      </w:r>
      <w:r>
        <w:rPr>
          <w:rFonts w:ascii="宋体" w:cs="宋体" w:hAnsi="宋体"/>
          <w:color w:val="000000"/>
          <w:sz w:val="24"/>
        </w:rPr>
        <w:t>基金</w:t>
      </w:r>
      <w:r>
        <w:rPr>
          <w:rFonts w:asciiTheme="minorEastAsia" w:eastAsiaTheme="minorEastAsia" w:hAnsiTheme="minorEastAsia"/>
          <w:bCs/>
          <w:color w:val="000000"/>
          <w:sz w:val="24"/>
          <w:szCs w:val="24"/>
        </w:rPr>
        <w:t>持有一家公司发行的证券，不超过该证券的10％</w:t>
      </w:r>
      <w:r>
        <w:rPr>
          <w:rFonts w:asciiTheme="minorEastAsia" w:eastAsiaTheme="minorEastAsia" w:hAnsiTheme="minorEastAsia" w:hint="eastAsia"/>
          <w:bCs/>
          <w:color w:val="000000"/>
          <w:sz w:val="24"/>
          <w:szCs w:val="24"/>
        </w:rPr>
        <w:t>，</w:t>
      </w:r>
      <w:r>
        <w:rPr>
          <w:bCs/>
          <w:color w:val="000000"/>
          <w:sz w:val="24"/>
        </w:rPr>
        <w:t>完全按照有关指数的构成比例进行证券投资的</w:t>
      </w:r>
      <w:r>
        <w:rPr>
          <w:rFonts w:hint="eastAsia"/>
          <w:bCs/>
          <w:color w:val="000000"/>
          <w:sz w:val="24"/>
        </w:rPr>
        <w:t>基金</w:t>
      </w:r>
      <w:r>
        <w:rPr>
          <w:bCs/>
          <w:color w:val="000000"/>
          <w:sz w:val="24"/>
        </w:rPr>
        <w:t>品种可以不受此条款规定的比例限制</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w:t>
      </w:r>
      <w:r>
        <w:rPr>
          <w:rFonts w:ascii="宋体" w:hAnsi="宋体" w:hint="eastAsia"/>
          <w:bCs/>
          <w:color w:val="000000"/>
          <w:sz w:val="24"/>
          <w:szCs w:val="24"/>
        </w:rPr>
        <w:t>本基金投资于股指期货的投资限制：在任何交易日日终，持有的买入股指期货合约价值，不得超过基金资产净值的</w:t>
      </w:r>
      <w:r>
        <w:rPr>
          <w:rFonts w:ascii="宋体" w:hAnsi="宋体"/>
          <w:bCs/>
          <w:color w:val="000000"/>
          <w:sz w:val="24"/>
          <w:szCs w:val="24"/>
        </w:rPr>
        <w:t>10%</w:t>
      </w:r>
      <w:r>
        <w:rPr>
          <w:rFonts w:ascii="宋体" w:hAnsi="宋体" w:hint="eastAsia"/>
          <w:bCs/>
          <w:color w:val="000000"/>
          <w:sz w:val="24"/>
          <w:szCs w:val="24"/>
        </w:rPr>
        <w:t>；在任何交易日日终，持有的买入股指期货合约价值与有价证券市值之和</w:t>
      </w:r>
      <w:r>
        <w:rPr>
          <w:rFonts w:ascii="宋体" w:hAnsi="宋体"/>
          <w:bCs/>
          <w:color w:val="000000"/>
          <w:sz w:val="24"/>
          <w:szCs w:val="24"/>
        </w:rPr>
        <w:t>,</w:t>
      </w:r>
      <w:r>
        <w:rPr>
          <w:rFonts w:ascii="宋体" w:hAnsi="宋体" w:hint="eastAsia"/>
          <w:bCs/>
          <w:color w:val="000000"/>
          <w:sz w:val="24"/>
          <w:szCs w:val="24"/>
        </w:rPr>
        <w:t>不得超过基金资产净值的95%，其中，有价证券指股票、债券（不含到期日在一年以内的政府债券）、资产支持证券、买入返售金融资产（不含质押式回购）等；在任何交易日日终，持有的卖出</w:t>
      </w:r>
      <w:bookmarkStart w:id="411" w:name="_Hlk34407327"/>
      <w:r>
        <w:rPr>
          <w:rFonts w:ascii="宋体" w:hAnsi="宋体" w:hint="eastAsia"/>
          <w:bCs/>
          <w:color w:val="000000"/>
          <w:sz w:val="24"/>
          <w:szCs w:val="24"/>
        </w:rPr>
        <w:t>股指</w:t>
      </w:r>
      <w:bookmarkEnd w:id="411"/>
      <w:r>
        <w:rPr>
          <w:rFonts w:ascii="宋体" w:hAnsi="宋体" w:hint="eastAsia"/>
          <w:bCs/>
          <w:color w:val="000000"/>
          <w:sz w:val="24"/>
          <w:szCs w:val="24"/>
        </w:rPr>
        <w:t>期货合约价值不得超过</w:t>
      </w:r>
      <w:r>
        <w:rPr>
          <w:rFonts w:ascii="宋体" w:cs="宋体" w:hAnsi="宋体"/>
          <w:color w:val="000000"/>
          <w:sz w:val="24"/>
        </w:rPr>
        <w:t>基金</w:t>
      </w:r>
      <w:r>
        <w:rPr>
          <w:rFonts w:ascii="宋体" w:hAnsi="宋体" w:hint="eastAsia"/>
          <w:bCs/>
          <w:color w:val="000000"/>
          <w:sz w:val="24"/>
          <w:szCs w:val="24"/>
        </w:rPr>
        <w:t>持有的股票总市值的</w:t>
      </w:r>
      <w:r>
        <w:rPr>
          <w:rFonts w:ascii="宋体" w:hAnsi="宋体"/>
          <w:bCs/>
          <w:color w:val="000000"/>
          <w:sz w:val="24"/>
          <w:szCs w:val="24"/>
        </w:rPr>
        <w:t>20</w:t>
      </w:r>
      <w:r>
        <w:rPr>
          <w:rFonts w:ascii="宋体" w:hAnsi="宋体" w:hint="eastAsia"/>
          <w:bCs/>
          <w:color w:val="000000"/>
          <w:sz w:val="24"/>
          <w:szCs w:val="24"/>
        </w:rPr>
        <w:t>%；在任何交易日内交易（不包括平仓）的股指期货合约的成交金额不得超过上一交易日基金资产净值的</w:t>
      </w:r>
      <w:r>
        <w:rPr>
          <w:rFonts w:ascii="宋体" w:hAnsi="宋体"/>
          <w:bCs/>
          <w:color w:val="000000"/>
          <w:sz w:val="24"/>
          <w:szCs w:val="24"/>
        </w:rPr>
        <w:t>20</w:t>
      </w:r>
      <w:r>
        <w:rPr>
          <w:rFonts w:ascii="宋体" w:hAnsi="宋体" w:hint="eastAsia"/>
          <w:bCs/>
          <w:color w:val="000000"/>
          <w:sz w:val="24"/>
          <w:szCs w:val="24"/>
        </w:rPr>
        <w:t>%；本基金所持有的股票市值和买入、卖出股指期货合约价值，合计（轧差计</w:t>
      </w:r>
      <w:r>
        <w:rPr>
          <w:rFonts w:ascii="宋体" w:hAnsi="宋体" w:hint="eastAsia"/>
          <w:bCs/>
          <w:color w:val="000000"/>
          <w:sz w:val="24"/>
          <w:szCs w:val="24"/>
        </w:rPr>
        <w:t>算）应当符合基金合同关于股票投资比例的有关约定</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6）</w:t>
      </w:r>
      <w:r>
        <w:rPr>
          <w:rFonts w:asciiTheme="minorEastAsia" w:eastAsiaTheme="minorEastAsia" w:hAnsiTheme="minorEastAsia" w:hint="eastAsia"/>
          <w:bCs/>
          <w:color w:val="000000"/>
          <w:sz w:val="24"/>
          <w:szCs w:val="24"/>
        </w:rPr>
        <w:t>本基金投资于股票</w:t>
      </w:r>
      <w:r>
        <w:rPr>
          <w:rFonts w:asciiTheme="minorEastAsia" w:eastAsiaTheme="minorEastAsia" w:hAnsiTheme="minorEastAsia"/>
          <w:bCs/>
          <w:color w:val="000000"/>
          <w:sz w:val="24"/>
          <w:szCs w:val="24"/>
        </w:rPr>
        <w:t>期权</w:t>
      </w:r>
      <w:r>
        <w:rPr>
          <w:rFonts w:asciiTheme="minorEastAsia" w:eastAsiaTheme="minorEastAsia" w:hAnsiTheme="minorEastAsia" w:hint="eastAsia"/>
          <w:bCs/>
          <w:color w:val="000000"/>
          <w:sz w:val="24"/>
          <w:szCs w:val="24"/>
        </w:rPr>
        <w:t>的投资限制：因未平仓的</w:t>
      </w:r>
      <w:r>
        <w:rPr>
          <w:rFonts w:asciiTheme="minorEastAsia" w:eastAsiaTheme="minorEastAsia" w:hAnsiTheme="minorEastAsia"/>
          <w:bCs/>
          <w:color w:val="000000"/>
          <w:sz w:val="24"/>
          <w:szCs w:val="24"/>
        </w:rPr>
        <w:t>期权合约</w:t>
      </w:r>
      <w:r>
        <w:rPr>
          <w:rFonts w:asciiTheme="minorEastAsia" w:eastAsiaTheme="minorEastAsia" w:hAnsiTheme="minorEastAsia" w:hint="eastAsia"/>
          <w:bCs/>
          <w:color w:val="000000"/>
          <w:sz w:val="24"/>
          <w:szCs w:val="24"/>
        </w:rPr>
        <w:t>支付</w:t>
      </w:r>
      <w:r>
        <w:rPr>
          <w:rFonts w:asciiTheme="minorEastAsia" w:eastAsiaTheme="minorEastAsia" w:hAnsiTheme="minorEastAsia"/>
          <w:bCs/>
          <w:color w:val="000000"/>
          <w:sz w:val="24"/>
          <w:szCs w:val="24"/>
        </w:rPr>
        <w:t>和收取</w:t>
      </w:r>
      <w:r>
        <w:rPr>
          <w:rFonts w:asciiTheme="minorEastAsia" w:eastAsiaTheme="minorEastAsia" w:hAnsiTheme="minorEastAsia" w:hint="eastAsia"/>
          <w:bCs/>
          <w:color w:val="000000"/>
          <w:sz w:val="24"/>
          <w:szCs w:val="24"/>
        </w:rPr>
        <w:t>的</w:t>
      </w:r>
      <w:r>
        <w:rPr>
          <w:rFonts w:asciiTheme="minorEastAsia" w:eastAsiaTheme="minorEastAsia" w:hAnsiTheme="minorEastAsia"/>
          <w:bCs/>
          <w:color w:val="000000"/>
          <w:sz w:val="24"/>
          <w:szCs w:val="24"/>
        </w:rPr>
        <w:t>权利金</w:t>
      </w:r>
      <w:r>
        <w:rPr>
          <w:rFonts w:asciiTheme="minorEastAsia" w:eastAsiaTheme="minorEastAsia" w:hAnsiTheme="minorEastAsia" w:hint="eastAsia"/>
          <w:bCs/>
          <w:color w:val="000000"/>
          <w:sz w:val="24"/>
          <w:szCs w:val="24"/>
        </w:rPr>
        <w:t>总额</w:t>
      </w:r>
      <w:r>
        <w:rPr>
          <w:rFonts w:asciiTheme="minorEastAsia" w:eastAsiaTheme="minorEastAsia" w:hAnsiTheme="minorEastAsia"/>
          <w:bCs/>
          <w:color w:val="000000"/>
          <w:sz w:val="24"/>
          <w:szCs w:val="24"/>
        </w:rPr>
        <w:t>不得超过</w:t>
      </w:r>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的10%；</w:t>
      </w:r>
      <w:r>
        <w:rPr>
          <w:rFonts w:asciiTheme="minorEastAsia" w:eastAsiaTheme="minorEastAsia" w:hAnsiTheme="minorEastAsia" w:hint="eastAsia"/>
          <w:bCs/>
          <w:color w:val="000000"/>
          <w:sz w:val="24"/>
          <w:szCs w:val="24"/>
        </w:rPr>
        <w:t>开仓卖出</w:t>
      </w:r>
      <w:r>
        <w:rPr>
          <w:rFonts w:asciiTheme="minorEastAsia" w:eastAsiaTheme="minorEastAsia" w:hAnsiTheme="minorEastAsia"/>
          <w:bCs/>
          <w:color w:val="000000"/>
          <w:sz w:val="24"/>
          <w:szCs w:val="24"/>
        </w:rPr>
        <w:t>认购期权的，</w:t>
      </w:r>
      <w:r>
        <w:rPr>
          <w:rFonts w:asciiTheme="minorEastAsia" w:eastAsiaTheme="minorEastAsia" w:hAnsiTheme="minorEastAsia" w:hint="eastAsia"/>
          <w:bCs/>
          <w:color w:val="000000"/>
          <w:sz w:val="24"/>
          <w:szCs w:val="24"/>
        </w:rPr>
        <w:t>应持有足额标的证券；</w:t>
      </w:r>
      <w:r>
        <w:rPr>
          <w:rFonts w:asciiTheme="minorEastAsia" w:eastAsiaTheme="minorEastAsia" w:hAnsiTheme="minorEastAsia"/>
          <w:bCs/>
          <w:color w:val="000000"/>
          <w:sz w:val="24"/>
          <w:szCs w:val="24"/>
        </w:rPr>
        <w:t>开仓卖出</w:t>
      </w:r>
      <w:r>
        <w:rPr>
          <w:rFonts w:asciiTheme="minorEastAsia" w:eastAsiaTheme="minorEastAsia" w:hAnsiTheme="minorEastAsia" w:hint="eastAsia"/>
          <w:bCs/>
          <w:color w:val="000000"/>
          <w:sz w:val="24"/>
          <w:szCs w:val="24"/>
        </w:rPr>
        <w:t>认沽期权</w:t>
      </w:r>
      <w:r>
        <w:rPr>
          <w:rFonts w:asciiTheme="minorEastAsia" w:eastAsiaTheme="minorEastAsia" w:hAnsiTheme="minorEastAsia"/>
          <w:bCs/>
          <w:color w:val="000000"/>
          <w:sz w:val="24"/>
          <w:szCs w:val="24"/>
        </w:rPr>
        <w:t>的，</w:t>
      </w:r>
      <w:r>
        <w:rPr>
          <w:rFonts w:asciiTheme="minorEastAsia" w:eastAsiaTheme="minorEastAsia" w:hAnsiTheme="minorEastAsia" w:hint="eastAsia"/>
          <w:bCs/>
          <w:color w:val="000000"/>
          <w:sz w:val="24"/>
          <w:szCs w:val="24"/>
        </w:rPr>
        <w:t>应持有合约</w:t>
      </w:r>
      <w:r>
        <w:rPr>
          <w:rFonts w:asciiTheme="minorEastAsia" w:eastAsiaTheme="minorEastAsia" w:hAnsiTheme="minorEastAsia"/>
          <w:bCs/>
          <w:color w:val="000000"/>
          <w:sz w:val="24"/>
          <w:szCs w:val="24"/>
        </w:rPr>
        <w:t>行权</w:t>
      </w:r>
      <w:r>
        <w:rPr>
          <w:rFonts w:asciiTheme="minorEastAsia" w:eastAsiaTheme="minorEastAsia" w:hAnsiTheme="minorEastAsia" w:hint="eastAsia"/>
          <w:bCs/>
          <w:color w:val="000000"/>
          <w:sz w:val="24"/>
          <w:szCs w:val="24"/>
        </w:rPr>
        <w:t>所需</w:t>
      </w:r>
      <w:r>
        <w:rPr>
          <w:rFonts w:asciiTheme="minorEastAsia" w:eastAsiaTheme="minorEastAsia" w:hAnsiTheme="minorEastAsia"/>
          <w:bCs/>
          <w:color w:val="000000"/>
          <w:sz w:val="24"/>
          <w:szCs w:val="24"/>
        </w:rPr>
        <w:t>的</w:t>
      </w:r>
      <w:r>
        <w:rPr>
          <w:rFonts w:asciiTheme="minorEastAsia" w:eastAsiaTheme="minorEastAsia" w:hAnsiTheme="minorEastAsia" w:hint="eastAsia"/>
          <w:bCs/>
          <w:color w:val="000000"/>
          <w:sz w:val="24"/>
          <w:szCs w:val="24"/>
        </w:rPr>
        <w:t>全额现金或</w:t>
      </w:r>
      <w:r>
        <w:rPr>
          <w:rFonts w:asciiTheme="minorEastAsia" w:eastAsiaTheme="minorEastAsia" w:hAnsiTheme="minorEastAsia"/>
          <w:bCs/>
          <w:color w:val="000000"/>
          <w:sz w:val="24"/>
          <w:szCs w:val="24"/>
        </w:rPr>
        <w:t>交易</w:t>
      </w:r>
      <w:r>
        <w:rPr>
          <w:rFonts w:asciiTheme="minorEastAsia" w:eastAsiaTheme="minorEastAsia" w:hAnsiTheme="minorEastAsia" w:hint="eastAsia"/>
          <w:bCs/>
          <w:color w:val="000000"/>
          <w:sz w:val="24"/>
          <w:szCs w:val="24"/>
        </w:rPr>
        <w:t>所规则认可</w:t>
      </w:r>
      <w:r>
        <w:rPr>
          <w:rFonts w:asciiTheme="minorEastAsia" w:eastAsiaTheme="minorEastAsia" w:hAnsiTheme="minorEastAsia"/>
          <w:bCs/>
          <w:color w:val="000000"/>
          <w:sz w:val="24"/>
          <w:szCs w:val="24"/>
        </w:rPr>
        <w:t>的</w:t>
      </w:r>
      <w:r>
        <w:rPr>
          <w:rFonts w:asciiTheme="minorEastAsia" w:eastAsiaTheme="minorEastAsia" w:hAnsiTheme="minorEastAsia" w:hint="eastAsia"/>
          <w:bCs/>
          <w:color w:val="000000"/>
          <w:sz w:val="24"/>
          <w:szCs w:val="24"/>
        </w:rPr>
        <w:t>可冲抵期权保证金的现金等价物；未平仓</w:t>
      </w:r>
      <w:r>
        <w:rPr>
          <w:rFonts w:asciiTheme="minorEastAsia" w:eastAsiaTheme="minorEastAsia" w:hAnsiTheme="minorEastAsia"/>
          <w:bCs/>
          <w:color w:val="000000"/>
          <w:sz w:val="24"/>
          <w:szCs w:val="24"/>
        </w:rPr>
        <w:t>的期权合约</w:t>
      </w:r>
      <w:r>
        <w:rPr>
          <w:rFonts w:asciiTheme="minorEastAsia" w:eastAsiaTheme="minorEastAsia" w:hAnsiTheme="minorEastAsia" w:hint="eastAsia"/>
          <w:bCs/>
          <w:color w:val="000000"/>
          <w:sz w:val="24"/>
          <w:szCs w:val="24"/>
        </w:rPr>
        <w:t>面值</w:t>
      </w:r>
      <w:r>
        <w:rPr>
          <w:rFonts w:asciiTheme="minorEastAsia" w:eastAsiaTheme="minorEastAsia" w:hAnsiTheme="minorEastAsia"/>
          <w:bCs/>
          <w:color w:val="000000"/>
          <w:sz w:val="24"/>
          <w:szCs w:val="24"/>
        </w:rPr>
        <w:t>不得超过</w:t>
      </w:r>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的20%，</w:t>
      </w:r>
      <w:r>
        <w:rPr>
          <w:rFonts w:asciiTheme="minorEastAsia" w:eastAsiaTheme="minorEastAsia" w:hAnsiTheme="minorEastAsia" w:hint="eastAsia"/>
          <w:bCs/>
          <w:color w:val="000000"/>
          <w:sz w:val="24"/>
          <w:szCs w:val="24"/>
        </w:rPr>
        <w:t>其中</w:t>
      </w:r>
      <w:r>
        <w:rPr>
          <w:rFonts w:asciiTheme="minorEastAsia" w:eastAsiaTheme="minorEastAsia" w:hAnsiTheme="minorEastAsia"/>
          <w:bCs/>
          <w:color w:val="000000"/>
          <w:sz w:val="24"/>
          <w:szCs w:val="24"/>
        </w:rPr>
        <w:t>，合约面值</w:t>
      </w:r>
      <w:r>
        <w:rPr>
          <w:rFonts w:asciiTheme="minorEastAsia" w:eastAsiaTheme="minorEastAsia" w:hAnsiTheme="minorEastAsia" w:hint="eastAsia"/>
          <w:bCs/>
          <w:color w:val="000000"/>
          <w:sz w:val="24"/>
          <w:szCs w:val="24"/>
        </w:rPr>
        <w:t>按照</w:t>
      </w:r>
      <w:r>
        <w:rPr>
          <w:rFonts w:asciiTheme="minorEastAsia" w:eastAsiaTheme="minorEastAsia" w:hAnsiTheme="minorEastAsia"/>
          <w:bCs/>
          <w:color w:val="000000"/>
          <w:sz w:val="24"/>
          <w:szCs w:val="24"/>
        </w:rPr>
        <w:t>行权</w:t>
      </w:r>
      <w:r>
        <w:rPr>
          <w:rFonts w:asciiTheme="minorEastAsia" w:eastAsiaTheme="minorEastAsia" w:hAnsiTheme="minorEastAsia" w:hint="eastAsia"/>
          <w:bCs/>
          <w:color w:val="000000"/>
          <w:sz w:val="24"/>
          <w:szCs w:val="24"/>
        </w:rPr>
        <w:t>价</w:t>
      </w:r>
      <w:r>
        <w:rPr>
          <w:rFonts w:asciiTheme="minorEastAsia" w:eastAsiaTheme="minorEastAsia" w:hAnsiTheme="minorEastAsia"/>
          <w:bCs/>
          <w:color w:val="000000"/>
          <w:sz w:val="24"/>
          <w:szCs w:val="24"/>
        </w:rPr>
        <w:t>乘以</w:t>
      </w:r>
      <w:r>
        <w:rPr>
          <w:rFonts w:asciiTheme="minorEastAsia" w:eastAsiaTheme="minorEastAsia" w:hAnsiTheme="minorEastAsia" w:hint="eastAsia"/>
          <w:bCs/>
          <w:color w:val="000000"/>
          <w:sz w:val="24"/>
          <w:szCs w:val="24"/>
        </w:rPr>
        <w:t>合约乘数计算；</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（7）本基金投资于同一原始权益人的各类资产支持证券的比例，不得超过基金资产净值的10％；</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（8）本基金持有的全部资产支持证券，其市值不得超过基金资产净值的20％；</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（9）本基金持有的同一（指同一信用级别）资产支持证券的比例，不得超过该资产支持证券规模的10％；</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（10）基金管理人管理的全部</w:t>
      </w:r>
      <w:r>
        <w:rPr>
          <w:rFonts w:ascii="宋体" w:cs="宋体" w:hAnsi="宋体"/>
          <w:color w:val="000000"/>
          <w:sz w:val="24"/>
        </w:rPr>
        <w:t>基金</w:t>
      </w:r>
      <w:r>
        <w:rPr>
          <w:rFonts w:asciiTheme="minorEastAsia" w:eastAsiaTheme="minorEastAsia" w:hAnsiTheme="minorEastAsia"/>
          <w:bCs/>
          <w:color w:val="000000"/>
          <w:sz w:val="24"/>
          <w:szCs w:val="24"/>
        </w:rPr>
        <w:t>投资于同一原始权益人的各类资产支持证券，不得超过其各类资产支持证券合计规模的10％；</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（11）本基金应投资于信用级别评级为BBB以上（含BBB）的资产支持证券。</w:t>
      </w:r>
      <w:r>
        <w:rPr>
          <w:rFonts w:ascii="宋体" w:cs="宋体" w:hAnsi="宋体"/>
          <w:color w:val="000000"/>
          <w:sz w:val="24"/>
        </w:rPr>
        <w:t>基金</w:t>
      </w:r>
      <w:r>
        <w:rPr>
          <w:rFonts w:asciiTheme="minorEastAsia" w:eastAsiaTheme="minorEastAsia" w:hAnsiTheme="minorEastAsia"/>
          <w:bCs/>
          <w:color w:val="000000"/>
          <w:sz w:val="24"/>
          <w:szCs w:val="24"/>
        </w:rPr>
        <w:t>持有资产支持证券期间，如果其信用等级下降、不再符合投资标准，应在评级报告发布之日起3个月内予以全部卖出；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（12）基金财产参与股票发行申购，本基金所申报的金额不超过本基金的总资产，本基金所申报的股票数量不超过拟发行股票公司本次发行股票的总量；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（13）</w:t>
      </w:r>
      <w:r>
        <w:rPr>
          <w:rFonts w:asciiTheme="minorEastAsia" w:eastAsiaTheme="minorEastAsia" w:hAnsiTheme="minorEastAsia" w:hint="eastAsia"/>
          <w:bCs/>
          <w:color w:val="000000"/>
          <w:sz w:val="24"/>
          <w:szCs w:val="24"/>
        </w:rPr>
        <w:t>基金管理人管理的全部开放式</w:t>
      </w:r>
      <w:r>
        <w:rPr>
          <w:rFonts w:ascii="宋体" w:cs="宋体" w:hAnsi="宋体"/>
          <w:color w:val="000000"/>
          <w:sz w:val="24"/>
        </w:rPr>
        <w:t>基金</w:t>
      </w:r>
      <w:r>
        <w:rPr>
          <w:rFonts w:asciiTheme="minorEastAsia" w:eastAsiaTheme="minorEastAsia" w:hAnsiTheme="minorEastAsia" w:hint="eastAsia"/>
          <w:bCs/>
          <w:color w:val="000000"/>
          <w:sz w:val="24"/>
          <w:szCs w:val="24"/>
        </w:rPr>
        <w:t>持有一家上市公司发行的可流通股票，不得超过该上市公司可流通股票的</w:t>
      </w:r>
      <w:r>
        <w:rPr>
          <w:rFonts w:asciiTheme="minorEastAsia" w:eastAsiaTheme="minorEastAsia" w:hAnsiTheme="minorEastAsia"/>
          <w:bCs/>
          <w:color w:val="000000"/>
          <w:sz w:val="24"/>
          <w:szCs w:val="24"/>
        </w:rPr>
        <w:t>15%；</w:t>
      </w:r>
      <w:r>
        <w:rPr>
          <w:rFonts w:asciiTheme="minorEastAsia" w:eastAsiaTheme="minorEastAsia" w:hAnsiTheme="minorEastAsia" w:hint="eastAsia"/>
          <w:bCs/>
          <w:color w:val="000000"/>
          <w:sz w:val="24"/>
          <w:szCs w:val="24"/>
        </w:rPr>
        <w:t>基金管理人管理的全部投资组合持有一家上市公司发行的可流通股票，不得超过该上市公司可流通股票的</w:t>
      </w:r>
      <w:r>
        <w:rPr>
          <w:rFonts w:asciiTheme="minorEastAsia" w:eastAsiaTheme="minorEastAsia" w:hAnsiTheme="minorEastAsia"/>
          <w:bCs/>
          <w:color w:val="000000"/>
          <w:sz w:val="24"/>
          <w:szCs w:val="24"/>
        </w:rPr>
        <w:t>30%；</w:t>
      </w:r>
      <w:r>
        <w:rPr>
          <w:rFonts w:hint="eastAsia"/>
          <w:bCs/>
          <w:color w:val="000000"/>
          <w:sz w:val="24"/>
        </w:rPr>
        <w:t>完全按照有关指数的构成比例进行证券投资的开放式</w:t>
      </w:r>
      <w:r>
        <w:rPr>
          <w:rFonts w:ascii="宋体" w:cs="宋体" w:hAnsi="宋体"/>
          <w:color w:val="000000"/>
          <w:sz w:val="24"/>
        </w:rPr>
        <w:t>基金</w:t>
      </w:r>
      <w:r>
        <w:rPr>
          <w:rFonts w:hint="eastAsia"/>
          <w:bCs/>
          <w:color w:val="000000"/>
          <w:sz w:val="24"/>
        </w:rPr>
        <w:t>以及中国证监会认定的特殊投资组合可不受前述比例限制</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（14）本基金主动投资于流动性受限资产的市值合计不得超过</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资产净值的15%；因证券市场波动、上市公司股票停牌、</w:t>
      </w:r>
      <w:r>
        <w:rPr>
          <w:rFonts w:ascii="宋体" w:cs="宋体" w:hAnsi="宋体"/>
          <w:color w:val="000000"/>
          <w:sz w:val="24"/>
        </w:rPr>
        <w:t>基金</w:t>
      </w:r>
      <w:r>
        <w:rPr>
          <w:rFonts w:asciiTheme="minorEastAsia" w:eastAsiaTheme="minorEastAsia" w:hAnsiTheme="minorEastAsia"/>
          <w:bCs/>
          <w:color w:val="000000"/>
          <w:sz w:val="24"/>
          <w:szCs w:val="24"/>
        </w:rPr>
        <w:t>规模变动等基金管理人之外的因素致使</w:t>
      </w:r>
      <w:r>
        <w:rPr>
          <w:rFonts w:ascii="宋体" w:cs="宋体" w:hAnsi="宋体"/>
          <w:color w:val="000000"/>
          <w:sz w:val="24"/>
        </w:rPr>
        <w:t>基金</w:t>
      </w:r>
      <w:r>
        <w:rPr>
          <w:rFonts w:asciiTheme="minorEastAsia" w:eastAsiaTheme="minorEastAsia" w:hAnsiTheme="minorEastAsia"/>
          <w:bCs/>
          <w:color w:val="000000"/>
          <w:sz w:val="24"/>
          <w:szCs w:val="24"/>
        </w:rPr>
        <w:t>不符合该比例限制的，基金管理人不得主动新增流动性受限资产的投资；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（15）本基金与私募类</w:t>
      </w:r>
      <w:r>
        <w:rPr>
          <w:rFonts w:asciiTheme="minorEastAsia" w:eastAsiaTheme="minorEastAsia" w:hAnsiTheme="minorEastAsia"/>
          <w:bCs/>
          <w:color w:val="000000"/>
          <w:sz w:val="24"/>
          <w:szCs w:val="24"/>
        </w:rPr>
        <w:t>证券资管产品</w:t>
      </w:r>
      <w:r>
        <w:rPr>
          <w:rFonts w:asciiTheme="minorEastAsia" w:eastAsiaTheme="minorEastAsia" w:hAnsiTheme="minorEastAsia"/>
          <w:bCs/>
          <w:color w:val="000000"/>
          <w:sz w:val="24"/>
          <w:szCs w:val="24"/>
        </w:rPr>
        <w:t>及中国证监会认定的其他主体为交易对</w:t>
      </w:r>
      <w:r>
        <w:rPr>
          <w:rFonts w:asciiTheme="minorEastAsia" w:eastAsiaTheme="minorEastAsia" w:hAnsiTheme="minorEastAsia"/>
          <w:bCs/>
          <w:color w:val="000000"/>
          <w:sz w:val="24"/>
          <w:szCs w:val="24"/>
        </w:rPr>
        <w:t>手开展逆回购交易的，可接受质押品的资质要求应当与基金合同约定的投资范围保持一致；</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16）</w:t>
      </w:r>
      <w:r>
        <w:rPr>
          <w:rFonts w:asciiTheme="minorEastAsia" w:eastAsiaTheme="minorEastAsia" w:hAnsiTheme="minorEastAsia" w:hint="eastAsia"/>
          <w:bCs/>
          <w:color w:val="000000"/>
          <w:sz w:val="24"/>
          <w:szCs w:val="24"/>
        </w:rPr>
        <w:t>本基金仅在参与融资时遵守下列要求：本基金参与融资的每个交易日日终，本基金持有的融资买入股票与其他有价证券市值之和，不得超过</w:t>
      </w:r>
      <w:r>
        <w:rPr>
          <w:rFonts w:ascii="宋体" w:cs="宋体" w:hAnsi="宋体"/>
          <w:color w:val="000000"/>
          <w:sz w:val="24"/>
        </w:rPr>
        <w:t>基金</w:t>
      </w:r>
      <w:r>
        <w:rPr>
          <w:rFonts w:asciiTheme="minorEastAsia" w:eastAsiaTheme="minorEastAsia" w:hAnsiTheme="minorEastAsia" w:hint="eastAsia"/>
          <w:bCs/>
          <w:color w:val="000000"/>
          <w:sz w:val="24"/>
          <w:szCs w:val="24"/>
        </w:rPr>
        <w:t>资产净值的</w:t>
      </w:r>
      <w:r>
        <w:rPr>
          <w:rFonts w:asciiTheme="minorEastAsia" w:eastAsiaTheme="minorEastAsia" w:hAnsiTheme="minorEastAsia"/>
          <w:bCs/>
          <w:color w:val="000000"/>
          <w:sz w:val="24"/>
          <w:szCs w:val="24"/>
        </w:rPr>
        <w:t>95%；</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17）本基金资产总值不超过基金资产净值的140%</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18）</w:t>
      </w:r>
      <w:r>
        <w:rPr>
          <w:rFonts w:asciiTheme="minorEastAsia" w:eastAsiaTheme="minorEastAsia" w:hAnsiTheme="minorEastAsia" w:hint="eastAsia"/>
          <w:bCs/>
          <w:color w:val="000000"/>
          <w:sz w:val="24"/>
          <w:szCs w:val="24"/>
        </w:rPr>
        <w:t>本基金投资存托凭证的比例限制依照境内上市交易的股票执行；</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（19）</w:t>
      </w:r>
      <w:r>
        <w:rPr>
          <w:rFonts w:asciiTheme="minorEastAsia" w:eastAsiaTheme="minorEastAsia" w:hAnsiTheme="minorEastAsia" w:hint="eastAsia"/>
          <w:bCs/>
          <w:color w:val="000000"/>
          <w:sz w:val="24"/>
          <w:szCs w:val="24"/>
        </w:rPr>
        <w:t>法律法规及中国证监会规定的和《基金合同》约定的其他投资限制。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除上述</w:t>
      </w:r>
      <w:r>
        <w:rPr>
          <w:rFonts w:asciiTheme="minorEastAsia" w:eastAsiaTheme="minorEastAsia" w:hAnsiTheme="minorEastAsia" w:hint="eastAsia"/>
          <w:bCs/>
          <w:color w:val="000000"/>
          <w:sz w:val="24"/>
          <w:szCs w:val="24"/>
        </w:rPr>
        <w:t>第</w:t>
      </w:r>
      <w:r>
        <w:rPr>
          <w:rFonts w:asciiTheme="minorEastAsia" w:eastAsiaTheme="minorEastAsia" w:hAnsiTheme="minorEastAsia"/>
          <w:bCs/>
          <w:color w:val="000000"/>
          <w:sz w:val="24"/>
          <w:szCs w:val="24"/>
        </w:rPr>
        <w:t>（2）、（11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14</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15</w:t>
      </w:r>
      <w:r>
        <w:rPr>
          <w:rFonts w:asciiTheme="minorEastAsia" w:eastAsiaTheme="minorEastAsia" w:hAnsiTheme="minorEastAsia" w:hint="eastAsia"/>
          <w:bCs/>
          <w:color w:val="000000"/>
          <w:sz w:val="24"/>
          <w:szCs w:val="24"/>
        </w:rPr>
        <w:t>）项外</w:t>
      </w:r>
      <w:r>
        <w:rPr>
          <w:rFonts w:asciiTheme="minorEastAsia" w:eastAsiaTheme="minorEastAsia" w:hAnsiTheme="minorEastAsia"/>
          <w:bCs/>
          <w:color w:val="000000"/>
          <w:sz w:val="24"/>
          <w:szCs w:val="24"/>
        </w:rPr>
        <w:t>，因证券/期货市场波动、</w:t>
      </w:r>
      <w:r>
        <w:rPr>
          <w:rFonts w:asciiTheme="minorEastAsia" w:eastAsiaTheme="minorEastAsia" w:hAnsiTheme="minorEastAsia" w:hint="eastAsia"/>
          <w:bCs/>
          <w:color w:val="000000"/>
          <w:sz w:val="24"/>
          <w:szCs w:val="24"/>
        </w:rPr>
        <w:t>证券发行人</w:t>
      </w:r>
      <w:r>
        <w:rPr>
          <w:rFonts w:asciiTheme="minorEastAsia" w:eastAsiaTheme="minorEastAsia" w:hAnsiTheme="minorEastAsia"/>
          <w:bCs/>
          <w:color w:val="000000"/>
          <w:sz w:val="24"/>
          <w:szCs w:val="24"/>
        </w:rPr>
        <w:t>合并、</w:t>
      </w:r>
      <w:r>
        <w:rPr>
          <w:rFonts w:ascii="宋体" w:cs="宋体" w:hAnsi="宋体"/>
          <w:color w:val="000000"/>
          <w:sz w:val="24"/>
        </w:rPr>
        <w:t>基金</w:t>
      </w:r>
      <w:r>
        <w:rPr>
          <w:rFonts w:asciiTheme="minorEastAsia" w:eastAsiaTheme="minorEastAsia" w:hAnsiTheme="minorEastAsia"/>
          <w:bCs/>
          <w:color w:val="000000"/>
          <w:sz w:val="24"/>
          <w:szCs w:val="24"/>
        </w:rPr>
        <w:t>规模变动等基金管理人之外的因素致使本基金投资比例不符合上述规定投资比例的，基金管理人应当在10个交易日内进行调整</w:t>
      </w:r>
      <w:r>
        <w:rPr>
          <w:rFonts w:asciiTheme="minorEastAsia" w:eastAsiaTheme="minorEastAsia" w:hAnsiTheme="minorEastAsia" w:hint="eastAsia"/>
          <w:bCs/>
          <w:color w:val="000000"/>
          <w:sz w:val="24"/>
          <w:szCs w:val="24"/>
        </w:rPr>
        <w:t>，但中国证监会规定的特殊情形除外。</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基金管理人应当自基金合同生效之日起</w:t>
      </w:r>
      <w:r>
        <w:rPr>
          <w:rFonts w:asciiTheme="minorEastAsia" w:eastAsiaTheme="minorEastAsia" w:hAnsiTheme="minorEastAsia" w:hint="eastAsia"/>
          <w:bCs/>
          <w:color w:val="000000"/>
          <w:sz w:val="24"/>
          <w:szCs w:val="24"/>
        </w:rPr>
        <w:t>6</w:t>
      </w:r>
      <w:r>
        <w:rPr>
          <w:rFonts w:asciiTheme="minorEastAsia" w:eastAsiaTheme="minorEastAsia" w:hAnsiTheme="minorEastAsia"/>
          <w:bCs/>
          <w:color w:val="000000"/>
          <w:sz w:val="24"/>
          <w:szCs w:val="24"/>
        </w:rPr>
        <w:t>个月内使</w:t>
      </w:r>
      <w:r>
        <w:rPr>
          <w:rFonts w:ascii="宋体" w:cs="宋体" w:hAnsi="宋体"/>
          <w:color w:val="000000"/>
          <w:sz w:val="24"/>
        </w:rPr>
        <w:t>基金</w:t>
      </w:r>
      <w:r>
        <w:rPr>
          <w:rFonts w:asciiTheme="minorEastAsia" w:eastAsiaTheme="minorEastAsia" w:hAnsiTheme="minorEastAsia"/>
          <w:bCs/>
          <w:color w:val="000000"/>
          <w:sz w:val="24"/>
          <w:szCs w:val="24"/>
        </w:rPr>
        <w:t>的投资组合比例符合基金合同的有关约定。在上述期间内，本基金的投资范围、投资策略应当符合基金合同的约定。基金托管人对</w:t>
      </w:r>
      <w:r>
        <w:rPr>
          <w:rFonts w:ascii="宋体" w:cs="宋体" w:hAnsi="宋体"/>
          <w:color w:val="000000"/>
          <w:sz w:val="24"/>
        </w:rPr>
        <w:t>基金</w:t>
      </w:r>
      <w:r>
        <w:rPr>
          <w:rFonts w:asciiTheme="minorEastAsia" w:eastAsiaTheme="minorEastAsia" w:hAnsiTheme="minorEastAsia"/>
          <w:bCs/>
          <w:color w:val="000000"/>
          <w:sz w:val="24"/>
          <w:szCs w:val="24"/>
        </w:rPr>
        <w:t>的投资的监督与检查自本基金合同生效之日起开始。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法律法规或监管部门取消</w:t>
      </w:r>
      <w:r>
        <w:rPr>
          <w:rFonts w:asciiTheme="minorEastAsia" w:eastAsiaTheme="minorEastAsia" w:hAnsiTheme="minorEastAsia" w:hint="eastAsia"/>
          <w:bCs/>
          <w:color w:val="000000"/>
          <w:sz w:val="24"/>
          <w:szCs w:val="24"/>
        </w:rPr>
        <w:t>或调整</w:t>
      </w:r>
      <w:r>
        <w:rPr>
          <w:rFonts w:asciiTheme="minorEastAsia" w:eastAsiaTheme="minorEastAsia" w:hAnsiTheme="minorEastAsia"/>
          <w:bCs/>
          <w:color w:val="000000"/>
          <w:sz w:val="24"/>
          <w:szCs w:val="24"/>
        </w:rPr>
        <w:t>上述限制，如适用于本基金，基金管理人</w:t>
      </w:r>
      <w:r>
        <w:rPr>
          <w:rFonts w:asciiTheme="minorEastAsia" w:eastAsiaTheme="minorEastAsia" w:hAnsiTheme="minorEastAsia" w:hint="eastAsia"/>
          <w:bCs/>
          <w:color w:val="000000"/>
          <w:sz w:val="24"/>
          <w:szCs w:val="24"/>
        </w:rPr>
        <w:t>在</w:t>
      </w:r>
      <w:r>
        <w:rPr>
          <w:rFonts w:asciiTheme="minorEastAsia" w:eastAsiaTheme="minorEastAsia" w:hAnsiTheme="minorEastAsia"/>
          <w:bCs/>
          <w:color w:val="000000"/>
          <w:sz w:val="24"/>
          <w:szCs w:val="24"/>
        </w:rPr>
        <w:t>履行适当程序后，则本基金投资不再受相关限制</w:t>
      </w:r>
      <w:r>
        <w:rPr>
          <w:rFonts w:ascii="宋体" w:hAnsi="宋体" w:hint="eastAsia"/>
          <w:bCs/>
          <w:color w:val="000000"/>
          <w:sz w:val="24"/>
        </w:rPr>
        <w:t>或以调整后的规定为准</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禁止行为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为维护基金份额持有人的合法权益，</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不得用于下列投资或者活动：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（1）承销证券；</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违反规定</w:t>
      </w:r>
      <w:r>
        <w:rPr>
          <w:rFonts w:asciiTheme="minorEastAsia" w:eastAsiaTheme="minorEastAsia" w:hAnsiTheme="minorEastAsia"/>
          <w:bCs/>
          <w:color w:val="000000"/>
          <w:sz w:val="24"/>
          <w:szCs w:val="24"/>
        </w:rPr>
        <w:t>向他人贷款或者提供担保；</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）从事承担无限责任的投资；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）买卖其他</w:t>
      </w:r>
      <w:r>
        <w:rPr>
          <w:rFonts w:ascii="宋体" w:cs="宋体" w:hAnsi="宋体"/>
          <w:color w:val="000000"/>
          <w:sz w:val="24"/>
        </w:rPr>
        <w:t>基金</w:t>
      </w:r>
      <w:r>
        <w:rPr>
          <w:rFonts w:asciiTheme="minorEastAsia" w:eastAsiaTheme="minorEastAsia" w:hAnsiTheme="minorEastAsia"/>
          <w:bCs/>
          <w:color w:val="000000"/>
          <w:sz w:val="24"/>
          <w:szCs w:val="24"/>
        </w:rPr>
        <w:t>份额，但是</w:t>
      </w:r>
      <w:r>
        <w:rPr>
          <w:rFonts w:asciiTheme="minorEastAsia" w:eastAsiaTheme="minorEastAsia" w:hAnsiTheme="minorEastAsia" w:hint="eastAsia"/>
          <w:bCs/>
          <w:color w:val="000000"/>
          <w:sz w:val="24"/>
          <w:szCs w:val="24"/>
        </w:rPr>
        <w:t>中国证监会</w:t>
      </w:r>
      <w:r>
        <w:rPr>
          <w:rFonts w:asciiTheme="minorEastAsia" w:eastAsiaTheme="minorEastAsia" w:hAnsiTheme="minorEastAsia"/>
          <w:bCs/>
          <w:color w:val="000000"/>
          <w:sz w:val="24"/>
          <w:szCs w:val="24"/>
        </w:rPr>
        <w:t>另有规定的除外；</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5</w:t>
      </w:r>
      <w:r>
        <w:rPr>
          <w:rFonts w:asciiTheme="minorEastAsia" w:eastAsiaTheme="minorEastAsia" w:hAnsiTheme="minorEastAsia"/>
          <w:bCs/>
          <w:color w:val="000000"/>
          <w:sz w:val="24"/>
          <w:szCs w:val="24"/>
        </w:rPr>
        <w:t>）向其基金管理人、基金托管人出资；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6</w:t>
      </w:r>
      <w:r>
        <w:rPr>
          <w:rFonts w:asciiTheme="minorEastAsia" w:eastAsiaTheme="minorEastAsia" w:hAnsiTheme="minorEastAsia"/>
          <w:bCs/>
          <w:color w:val="000000"/>
          <w:sz w:val="24"/>
          <w:szCs w:val="24"/>
        </w:rPr>
        <w:t>）从事内幕交易、操纵证券交易价格及其他不正当的证券交易活动；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7</w:t>
      </w:r>
      <w:r>
        <w:rPr>
          <w:rFonts w:asciiTheme="minorEastAsia" w:eastAsiaTheme="minorEastAsia" w:hAnsiTheme="minorEastAsia"/>
          <w:bCs/>
          <w:color w:val="000000"/>
          <w:sz w:val="24"/>
          <w:szCs w:val="24"/>
        </w:rPr>
        <w:t>）法律</w:t>
      </w:r>
      <w:r>
        <w:rPr>
          <w:rFonts w:asciiTheme="minorEastAsia" w:eastAsiaTheme="minorEastAsia" w:hAnsiTheme="minorEastAsia" w:hint="eastAsia"/>
          <w:bCs/>
          <w:color w:val="000000"/>
          <w:sz w:val="24"/>
          <w:szCs w:val="24"/>
        </w:rPr>
        <w:t>、行政</w:t>
      </w:r>
      <w:r>
        <w:rPr>
          <w:rFonts w:asciiTheme="minorEastAsia" w:eastAsiaTheme="minorEastAsia" w:hAnsiTheme="minorEastAsia"/>
          <w:bCs/>
          <w:color w:val="000000"/>
          <w:sz w:val="24"/>
          <w:szCs w:val="24"/>
        </w:rPr>
        <w:t>法规</w:t>
      </w:r>
      <w:r>
        <w:rPr>
          <w:rFonts w:asciiTheme="minorEastAsia" w:eastAsiaTheme="minorEastAsia" w:hAnsiTheme="minorEastAsia" w:hint="eastAsia"/>
          <w:bCs/>
          <w:color w:val="000000"/>
          <w:sz w:val="24"/>
          <w:szCs w:val="24"/>
        </w:rPr>
        <w:t>和</w:t>
      </w:r>
      <w:r>
        <w:rPr>
          <w:rFonts w:asciiTheme="minorEastAsia" w:eastAsiaTheme="minorEastAsia" w:hAnsiTheme="minorEastAsia"/>
          <w:bCs/>
          <w:color w:val="000000"/>
          <w:sz w:val="24"/>
          <w:szCs w:val="24"/>
        </w:rPr>
        <w:t>中国证监会规定禁止的其他活动</w:t>
      </w:r>
      <w:r>
        <w:rPr>
          <w:rFonts w:asciiTheme="minorEastAsia" w:eastAsiaTheme="minorEastAsia" w:hAnsiTheme="minorEastAsia" w:hint="eastAsia"/>
          <w:bCs/>
          <w:color w:val="000000"/>
          <w:sz w:val="24"/>
          <w:szCs w:val="24"/>
        </w:rPr>
        <w:t>。</w:t>
      </w:r>
    </w:p>
    <w:p w:rsidR="00AA3326">
      <w:pPr>
        <w:spacing w:line="360" w:lineRule="auto"/>
        <w:ind w:firstLine="480" w:firstLineChars="200"/>
        <w:rPr>
          <w:bCs/>
          <w:color w:val="000000"/>
          <w:sz w:val="24"/>
        </w:rPr>
      </w:pPr>
      <w:r>
        <w:rPr>
          <w:rFonts w:asciiTheme="minorEastAsia" w:eastAsiaTheme="minorEastAsia" w:hAnsiTheme="minorEastAsia"/>
          <w:bCs/>
          <w:color w:val="000000"/>
          <w:sz w:val="24"/>
          <w:szCs w:val="24"/>
        </w:rPr>
        <w:t>基金管理人运用</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买卖基金管理人、基金托管人及其控股股东、实际控制人或者与其有重大利害关系的公司发行的证券或者承销期内承销的证券，或</w:t>
      </w:r>
      <w:r>
        <w:rPr>
          <w:rFonts w:asciiTheme="minorEastAsia" w:eastAsiaTheme="minorEastAsia" w:hAnsiTheme="minorEastAsia"/>
          <w:bCs/>
          <w:color w:val="000000"/>
          <w:sz w:val="24"/>
          <w:szCs w:val="24"/>
        </w:rPr>
        <w:t>者从事其他重大关联交易的，应当符合</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的投资目标和投资策略，遵循基金份额持有人利益优先原则，防范利益冲突，建立健全内部审批机制和评估机制，按照市场公平合理价格执行。相关交易必须事先得到基金托管人的同意，并按法律法规予以披露。</w:t>
      </w:r>
      <w:r>
        <w:rPr>
          <w:rFonts w:hint="eastAsia"/>
          <w:bCs/>
          <w:color w:val="000000"/>
          <w:sz w:val="24"/>
        </w:rPr>
        <w:t>重大关联交易应提交基金管理人董事会审议，并经过三分之二以上的独立董事通过。基金管理人董事会应至少每半年对关联交易事项进行审查。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hint="eastAsia"/>
          <w:bCs/>
          <w:color w:val="000000"/>
          <w:sz w:val="24"/>
        </w:rPr>
        <w:t>法律</w:t>
      </w:r>
      <w:bookmarkStart w:id="412" w:name="_Hlk197686460"/>
      <w:r>
        <w:rPr>
          <w:rFonts w:hint="eastAsia"/>
          <w:bCs/>
          <w:color w:val="000000"/>
          <w:sz w:val="24"/>
        </w:rPr>
        <w:t>、行政</w:t>
      </w:r>
      <w:bookmarkEnd w:id="412"/>
      <w:r>
        <w:rPr>
          <w:rFonts w:hint="eastAsia"/>
          <w:bCs/>
          <w:color w:val="000000"/>
          <w:sz w:val="24"/>
        </w:rPr>
        <w:t>法规或监管部门取消或调整上述限制，如适用于本基金，基金管理人在履行适当程序后，则本基金投资不再受相关限制或按调整后的规定执行。</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五、业绩比较基准</w:t>
      </w:r>
    </w:p>
    <w:p w:rsidR="00AA3326">
      <w:pPr>
        <w:spacing w:line="360" w:lineRule="auto"/>
        <w:ind w:firstLine="480" w:firstLineChars="200"/>
        <w:rPr>
          <w:rFonts w:ascii="宋体" w:hAnsi="宋体" w:hint="eastAsia"/>
          <w:bCs/>
          <w:color w:val="000000"/>
          <w:sz w:val="24"/>
          <w:szCs w:val="24"/>
        </w:rPr>
      </w:pPr>
      <w:r>
        <w:rPr>
          <w:rFonts w:ascii="宋体" w:hAnsi="宋体" w:hint="eastAsia"/>
          <w:bCs/>
          <w:color w:val="000000"/>
          <w:sz w:val="24"/>
          <w:szCs w:val="24"/>
        </w:rPr>
        <w:t>中证全</w:t>
      </w:r>
      <w:r>
        <w:rPr>
          <w:rFonts w:ascii="宋体" w:hAnsi="宋体" w:hint="eastAsia"/>
          <w:bCs/>
          <w:color w:val="000000"/>
          <w:sz w:val="24"/>
          <w:szCs w:val="24"/>
        </w:rPr>
        <w:t>指</w:t>
      </w:r>
      <w:r>
        <w:rPr>
          <w:rFonts w:ascii="宋体" w:hAnsi="宋体" w:hint="eastAsia"/>
          <w:bCs/>
          <w:color w:val="000000"/>
          <w:sz w:val="24"/>
          <w:szCs w:val="24"/>
        </w:rPr>
        <w:t>指数收益率*95%+银行活期存款利率(税后)*5%</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13" w:name="OLE_LINK15"/>
      <w:bookmarkStart w:id="414" w:name="OLE_LINK16"/>
      <w:bookmarkStart w:id="415" w:name="OLE_LINK52"/>
      <w:r>
        <w:rPr>
          <w:rFonts w:hint="eastAsia"/>
          <w:bCs/>
          <w:color w:val="000000"/>
          <w:sz w:val="24"/>
          <w:szCs w:val="24"/>
        </w:rPr>
        <w:t>中证全指</w:t>
      </w:r>
      <w:r>
        <w:rPr>
          <w:rFonts w:hint="eastAsia"/>
          <w:bCs/>
          <w:color w:val="000000"/>
          <w:sz w:val="24"/>
          <w:szCs w:val="24"/>
        </w:rPr>
        <w:t>指数是由中证指数有限公司编制，由上海证券交易所、深圳证券交易所和北京证券交易所市场符合条件的股票和存托凭证组成样本，具有较高的市场代表性，反映上交所、深交所和北交所市场上市公司的整体表现，适合作为本基金股票投资业绩比较基准。银行活期存款利率由中国人民银行公布，如果活期存款利率或利息税发生调整，则新的业绩比较基准将从调整当日起开始生效</w:t>
      </w:r>
      <w:bookmarkEnd w:id="413"/>
      <w:bookmarkEnd w:id="414"/>
      <w:r>
        <w:rPr>
          <w:rFonts w:hint="eastAsia"/>
          <w:bCs/>
          <w:color w:val="000000"/>
          <w:sz w:val="24"/>
          <w:szCs w:val="24"/>
        </w:rPr>
        <w:t>。</w:t>
      </w:r>
      <w:bookmarkEnd w:id="415"/>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如果今后法律法规发生变化，或者有更权威的、更能为市场普遍接受的业绩比较基准推出，或者是市场上出现更加适合用于本基金的业绩比较基准的指数</w:t>
      </w:r>
      <w:r>
        <w:rPr>
          <w:rFonts w:ascii="宋体" w:hAnsi="宋体"/>
          <w:bCs/>
          <w:color w:val="000000"/>
          <w:sz w:val="24"/>
          <w:szCs w:val="24"/>
        </w:rPr>
        <w:t>，或者市场发生变化导致</w:t>
      </w:r>
      <w:r>
        <w:rPr>
          <w:rFonts w:ascii="宋体" w:hAnsi="宋体"/>
          <w:bCs/>
          <w:color w:val="000000"/>
          <w:sz w:val="24"/>
          <w:szCs w:val="24"/>
        </w:rPr>
        <w:t>本业绩</w:t>
      </w:r>
      <w:r>
        <w:rPr>
          <w:rFonts w:ascii="宋体" w:hAnsi="宋体"/>
          <w:bCs/>
          <w:color w:val="000000"/>
          <w:sz w:val="24"/>
          <w:szCs w:val="24"/>
        </w:rPr>
        <w:t>比较基准不再适用或</w:t>
      </w:r>
      <w:r>
        <w:rPr>
          <w:rFonts w:ascii="宋体" w:hAnsi="宋体" w:hint="eastAsia"/>
          <w:bCs/>
          <w:color w:val="000000"/>
          <w:sz w:val="24"/>
          <w:szCs w:val="24"/>
        </w:rPr>
        <w:t>本业绩</w:t>
      </w:r>
      <w:r>
        <w:rPr>
          <w:rFonts w:ascii="宋体" w:hAnsi="宋体" w:hint="eastAsia"/>
          <w:bCs/>
          <w:color w:val="000000"/>
          <w:sz w:val="24"/>
          <w:szCs w:val="24"/>
        </w:rPr>
        <w:t>比较基准</w:t>
      </w:r>
      <w:r>
        <w:rPr>
          <w:rFonts w:ascii="宋体" w:hAnsi="宋体"/>
          <w:bCs/>
          <w:color w:val="000000"/>
          <w:sz w:val="24"/>
          <w:szCs w:val="24"/>
        </w:rPr>
        <w:t>停止发布</w:t>
      </w:r>
      <w:r>
        <w:rPr>
          <w:rFonts w:asciiTheme="minorEastAsia" w:eastAsiaTheme="minorEastAsia" w:hAnsiTheme="minorEastAsia" w:hint="eastAsia"/>
          <w:bCs/>
          <w:color w:val="000000"/>
          <w:sz w:val="24"/>
          <w:szCs w:val="24"/>
        </w:rPr>
        <w:t>时，基金管理人可以根据本基金的投资范围和投资策略与基金托管人协商一致并按照监管部门要求履行适当程序后，调整或变更本基金的业绩比较基准并及时公告。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六、</w:t>
      </w:r>
      <w:r>
        <w:rPr>
          <w:rFonts w:asciiTheme="minorEastAsia" w:eastAsiaTheme="minorEastAsia" w:hAnsiTheme="minorEastAsia"/>
          <w:bCs/>
          <w:color w:val="000000"/>
          <w:sz w:val="24"/>
          <w:szCs w:val="24"/>
        </w:rPr>
        <w:t>风险收益特征</w:t>
      </w:r>
    </w:p>
    <w:p w:rsidR="00AA3326">
      <w:pPr>
        <w:spacing w:line="360" w:lineRule="auto"/>
        <w:ind w:firstLine="480" w:firstLineChars="200"/>
        <w:rPr>
          <w:rFonts w:asciiTheme="minorEastAsia" w:cs="宋体" w:eastAsiaTheme="minorEastAsia" w:hAnsiTheme="minorEastAsia" w:hint="eastAsia"/>
          <w:color w:val="000000"/>
          <w:kern w:val="0"/>
          <w:sz w:val="24"/>
          <w:szCs w:val="24"/>
        </w:rPr>
      </w:pPr>
      <w:r>
        <w:rPr>
          <w:rFonts w:asciiTheme="minorEastAsia" w:eastAsiaTheme="minorEastAsia" w:hAnsiTheme="minorEastAsia"/>
          <w:bCs/>
          <w:color w:val="000000"/>
          <w:sz w:val="24"/>
          <w:szCs w:val="24"/>
        </w:rPr>
        <w:t>本基金</w:t>
      </w:r>
      <w:r>
        <w:rPr>
          <w:rFonts w:asciiTheme="minorEastAsia" w:eastAsiaTheme="minorEastAsia" w:hAnsiTheme="minorEastAsia" w:hint="eastAsia"/>
          <w:color w:val="000000"/>
          <w:sz w:val="24"/>
          <w:szCs w:val="24"/>
        </w:rPr>
        <w:t>为混合型基金</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理论上</w:t>
      </w:r>
      <w:r>
        <w:rPr>
          <w:rFonts w:asciiTheme="minorEastAsia" w:eastAsiaTheme="minorEastAsia" w:hAnsiTheme="minorEastAsia"/>
          <w:bCs/>
          <w:color w:val="000000"/>
          <w:sz w:val="24"/>
          <w:szCs w:val="24"/>
        </w:rPr>
        <w:t>其预期</w:t>
      </w:r>
      <w:r>
        <w:rPr>
          <w:rFonts w:asciiTheme="minorEastAsia" w:eastAsiaTheme="minorEastAsia" w:hAnsiTheme="minorEastAsia" w:hint="eastAsia"/>
          <w:color w:val="000000"/>
          <w:sz w:val="24"/>
          <w:szCs w:val="24"/>
        </w:rPr>
        <w:t>的</w:t>
      </w:r>
      <w:r>
        <w:rPr>
          <w:rFonts w:asciiTheme="minorEastAsia" w:eastAsiaTheme="minorEastAsia" w:hAnsiTheme="minorEastAsia"/>
          <w:bCs/>
          <w:color w:val="000000"/>
          <w:sz w:val="24"/>
          <w:szCs w:val="24"/>
        </w:rPr>
        <w:t>风险和收益高于货币市场</w:t>
      </w:r>
      <w:r>
        <w:rPr>
          <w:rFonts w:asciiTheme="minorEastAsia" w:eastAsiaTheme="minorEastAsia" w:hAnsiTheme="minorEastAsia" w:hint="eastAsia"/>
          <w:color w:val="000000"/>
          <w:sz w:val="24"/>
          <w:szCs w:val="24"/>
        </w:rPr>
        <w:t>基金、债券型基金</w:t>
      </w:r>
      <w:r>
        <w:rPr>
          <w:rFonts w:asciiTheme="minorEastAsia" w:eastAsiaTheme="minorEastAsia" w:hAnsiTheme="minorEastAsia" w:hint="eastAsia"/>
          <w:bCs/>
          <w:color w:val="000000"/>
          <w:sz w:val="24"/>
          <w:szCs w:val="24"/>
        </w:rPr>
        <w:t>，低于股票型基金</w:t>
      </w:r>
      <w:r>
        <w:rPr>
          <w:rFonts w:asciiTheme="minorEastAsia" w:cs="宋体" w:eastAsiaTheme="minorEastAsia" w:hAnsiTheme="minorEastAsia" w:hint="eastAsia"/>
          <w:color w:val="000000"/>
          <w:kern w:val="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七、基金管理人代表基金行使股东或债权人权利的处理原则及方法</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 xml:space="preserve">1、基金管理人按照国家有关规定代表基金独立行使股东或债权人权利，保护基金份额持有人的利益； </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 xml:space="preserve">2、不谋求对上市公司的控股； </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3、有利于</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 xml:space="preserve">的安全与增值； </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4、不通过关联交易为自身、雇员、授权代理人或任何存在利害关系的第三人牟取任何不当利益。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八、</w:t>
      </w:r>
      <w:r>
        <w:rPr>
          <w:rFonts w:asciiTheme="minorEastAsia" w:eastAsiaTheme="minorEastAsia" w:hAnsiTheme="minorEastAsia" w:hint="eastAsia"/>
          <w:bCs/>
          <w:color w:val="000000"/>
          <w:sz w:val="24"/>
          <w:szCs w:val="24"/>
        </w:rPr>
        <w:t>侧袋机制</w:t>
      </w:r>
      <w:r>
        <w:rPr>
          <w:rFonts w:asciiTheme="minorEastAsia" w:eastAsiaTheme="minorEastAsia" w:hAnsiTheme="minorEastAsia" w:hint="eastAsia"/>
          <w:bCs/>
          <w:color w:val="000000"/>
          <w:sz w:val="24"/>
          <w:szCs w:val="24"/>
        </w:rPr>
        <w:t>的实施和投资运作安排</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当</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持有特定资产且存在或潜在大额赎回申请时，根据最大限度保护基金份额持有人利益的原则，基金管理人经与基金托管人协商一致，并咨询会计师事务所意见后，可以依照法律法规及《基金合同》的约定</w:t>
      </w:r>
      <w:r>
        <w:rPr>
          <w:rFonts w:asciiTheme="minorEastAsia" w:eastAsiaTheme="minorEastAsia" w:hAnsiTheme="minorEastAsia" w:hint="eastAsia"/>
          <w:bCs/>
          <w:color w:val="000000"/>
          <w:sz w:val="24"/>
          <w:szCs w:val="24"/>
        </w:rPr>
        <w:t>启用侧袋机制</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侧袋机制</w:t>
      </w:r>
      <w:r>
        <w:rPr>
          <w:rFonts w:asciiTheme="minorEastAsia" w:eastAsiaTheme="minorEastAsia" w:hAnsiTheme="minorEastAsia" w:hint="eastAsia"/>
          <w:bCs/>
          <w:color w:val="000000"/>
          <w:sz w:val="24"/>
          <w:szCs w:val="24"/>
        </w:rPr>
        <w:t>实施期间，本部分约定的投资组合比例、投资策略、组合限制、业绩比较基准、风险收益特征等约定仅</w:t>
      </w:r>
      <w:r>
        <w:rPr>
          <w:rFonts w:asciiTheme="minorEastAsia" w:eastAsiaTheme="minorEastAsia" w:hAnsiTheme="minorEastAsia" w:hint="eastAsia"/>
          <w:bCs/>
          <w:color w:val="000000"/>
          <w:sz w:val="24"/>
          <w:szCs w:val="24"/>
        </w:rPr>
        <w:t>适用于主袋账户</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侧袋账户</w:t>
      </w:r>
      <w:r>
        <w:rPr>
          <w:rFonts w:asciiTheme="minorEastAsia" w:eastAsiaTheme="minorEastAsia" w:hAnsiTheme="minorEastAsia" w:hint="eastAsia"/>
          <w:bCs/>
          <w:color w:val="000000"/>
          <w:sz w:val="24"/>
          <w:szCs w:val="24"/>
        </w:rPr>
        <w:t>的实施条件、实施程序、运作安排、投资安排、特定资产的处置变现和支付等对投资者权益有重大影响的事项详见招募说明书的规定。</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kern w:val="44"/>
          <w:sz w:val="21"/>
        </w:rPr>
        <w:br w:type="page"/>
      </w:r>
      <w:bookmarkStart w:id="416" w:name="_Toc93226145"/>
      <w:bookmarkStart w:id="417" w:name="_Toc92662704"/>
      <w:bookmarkStart w:id="418" w:name="_Toc21642"/>
      <w:bookmarkStart w:id="419" w:name="_Toc128310496"/>
      <w:bookmarkStart w:id="420" w:name="_Toc534140376"/>
      <w:bookmarkStart w:id="421" w:name="_Toc32030"/>
      <w:bookmarkStart w:id="422" w:name="_Toc532487738"/>
      <w:bookmarkStart w:id="423" w:name="_Toc24474"/>
      <w:bookmarkStart w:id="424" w:name="_Toc20102"/>
      <w:bookmarkStart w:id="425" w:name="_Toc29561"/>
      <w:bookmarkStart w:id="426" w:name="_Toc31611"/>
      <w:bookmarkStart w:id="427" w:name="_Toc207633411"/>
      <w:bookmarkStart w:id="428" w:name="_Toc141703893"/>
      <w:bookmarkStart w:id="429" w:name="_Toc26114"/>
      <w:bookmarkStart w:id="430" w:name="_Toc13819"/>
      <w:bookmarkStart w:id="431" w:name="_Toc139991743"/>
      <w:bookmarkStart w:id="432" w:name="_Toc18000"/>
      <w:bookmarkStart w:id="433" w:name="_Toc20782"/>
      <w:bookmarkStart w:id="434" w:name="_Toc3054"/>
      <w:r>
        <w:rPr>
          <w:rFonts w:asciiTheme="minorEastAsia" w:eastAsiaTheme="minorEastAsia" w:hAnsiTheme="minorEastAsia"/>
          <w:sz w:val="30"/>
        </w:rPr>
        <w:t xml:space="preserve">第十三部分  </w:t>
      </w:r>
      <w:bookmarkEnd w:id="416"/>
      <w:bookmarkEnd w:id="417"/>
      <w:r>
        <w:rPr>
          <w:rFonts w:asciiTheme="minorEastAsia" w:eastAsiaTheme="minorEastAsia" w:hAnsiTheme="minorEastAsia" w:hint="eastAsia"/>
          <w:sz w:val="30"/>
        </w:rPr>
        <w:t>基金</w:t>
      </w:r>
      <w:r>
        <w:rPr>
          <w:rFonts w:asciiTheme="minorEastAsia" w:eastAsiaTheme="minorEastAsia" w:hAnsiTheme="minorEastAsia"/>
          <w:sz w:val="30"/>
        </w:rPr>
        <w:t>的财产</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一、基金资产总值</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基金资产总值是指</w:t>
      </w:r>
      <w:r>
        <w:rPr>
          <w:rFonts w:asciiTheme="minorEastAsia" w:eastAsiaTheme="minorEastAsia" w:hAnsiTheme="minorEastAsia" w:hint="eastAsia"/>
          <w:bCs/>
          <w:color w:val="000000"/>
          <w:sz w:val="24"/>
        </w:rPr>
        <w:t>购买</w:t>
      </w:r>
      <w:r>
        <w:rPr>
          <w:rFonts w:asciiTheme="minorEastAsia" w:eastAsiaTheme="minorEastAsia" w:hAnsiTheme="minorEastAsia"/>
          <w:bCs/>
          <w:color w:val="000000"/>
          <w:sz w:val="24"/>
        </w:rPr>
        <w:t>的各类证券及票据价值、银行存款本息和</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应收的申购款以及其他投资所形成的价值总和。</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二、基金资产净值</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基金资产净值是指基金资产总值减去基金负债后的价值。</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三、</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的账户</w:t>
      </w:r>
    </w:p>
    <w:p w:rsidR="00AA3326">
      <w:pPr>
        <w:spacing w:line="360" w:lineRule="auto"/>
        <w:ind w:firstLine="480" w:firstLineChars="200"/>
        <w:rPr>
          <w:rFonts w:asciiTheme="minorEastAsia" w:eastAsiaTheme="minorEastAsia" w:hAnsiTheme="minorEastAsia" w:hint="eastAsia"/>
          <w:color w:val="000000"/>
        </w:rPr>
      </w:pPr>
      <w:r>
        <w:rPr>
          <w:rFonts w:asciiTheme="minorEastAsia" w:eastAsiaTheme="minorEastAsia" w:hAnsiTheme="minorEastAsia"/>
          <w:bCs/>
          <w:color w:val="000000"/>
          <w:sz w:val="24"/>
        </w:rPr>
        <w:t>基金托管人</w:t>
      </w:r>
      <w:r>
        <w:rPr>
          <w:rFonts w:ascii="宋体" w:hAnsi="宋体" w:hint="eastAsia"/>
          <w:bCs/>
          <w:color w:val="000000"/>
          <w:sz w:val="24"/>
        </w:rPr>
        <w:t>接受基金管理人委托</w:t>
      </w:r>
      <w:r>
        <w:rPr>
          <w:rFonts w:asciiTheme="minorEastAsia" w:eastAsiaTheme="minorEastAsia" w:hAnsiTheme="minorEastAsia"/>
          <w:bCs/>
          <w:color w:val="000000"/>
          <w:sz w:val="24"/>
        </w:rPr>
        <w:t>根据相关法律法规、规范性文件为本基金开立资金</w:t>
      </w:r>
      <w:r>
        <w:rPr>
          <w:rFonts w:asciiTheme="minorEastAsia" w:eastAsiaTheme="minorEastAsia" w:hAnsiTheme="minorEastAsia" w:hint="eastAsia"/>
          <w:bCs/>
          <w:color w:val="000000"/>
          <w:sz w:val="24"/>
        </w:rPr>
        <w:t>账户</w:t>
      </w:r>
      <w:r>
        <w:rPr>
          <w:rFonts w:asciiTheme="minorEastAsia" w:eastAsiaTheme="minorEastAsia" w:hAnsiTheme="minorEastAsia"/>
          <w:bCs/>
          <w:color w:val="000000"/>
          <w:sz w:val="24"/>
        </w:rPr>
        <w:t>、证券</w:t>
      </w:r>
      <w:r>
        <w:rPr>
          <w:rFonts w:asciiTheme="minorEastAsia" w:eastAsiaTheme="minorEastAsia" w:hAnsiTheme="minorEastAsia" w:hint="eastAsia"/>
          <w:bCs/>
          <w:color w:val="000000"/>
          <w:sz w:val="24"/>
        </w:rPr>
        <w:t>账户</w:t>
      </w:r>
      <w:r>
        <w:rPr>
          <w:rFonts w:asciiTheme="minorEastAsia" w:eastAsiaTheme="minorEastAsia" w:hAnsiTheme="minorEastAsia"/>
          <w:bCs/>
          <w:color w:val="000000"/>
          <w:sz w:val="24"/>
        </w:rPr>
        <w:t>以及投资所需的其他专用</w:t>
      </w:r>
      <w:r>
        <w:rPr>
          <w:rFonts w:asciiTheme="minorEastAsia" w:eastAsiaTheme="minorEastAsia" w:hAnsiTheme="minorEastAsia" w:hint="eastAsia"/>
          <w:bCs/>
          <w:color w:val="000000"/>
          <w:sz w:val="24"/>
        </w:rPr>
        <w:t>账户</w:t>
      </w:r>
      <w:r>
        <w:rPr>
          <w:rFonts w:asciiTheme="minorEastAsia" w:eastAsiaTheme="minorEastAsia" w:hAnsiTheme="minorEastAsia"/>
          <w:bCs/>
          <w:color w:val="000000"/>
          <w:sz w:val="24"/>
        </w:rPr>
        <w:t>。开立的</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专用账户与基金管理人、基金托管人、</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销售机构和</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登记机构自有的财产账户以及其他</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账户相独立。</w:t>
      </w:r>
      <w:bookmarkStart w:id="435" w:name="_Hlt88841837"/>
      <w:bookmarkEnd w:id="435"/>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四、</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的保管和处分</w:t>
      </w:r>
      <w:bookmarkStart w:id="436" w:name="_Hlt88900062"/>
      <w:bookmarkEnd w:id="436"/>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本基金</w:t>
      </w:r>
      <w:r>
        <w:rPr>
          <w:rFonts w:asciiTheme="minorEastAsia" w:eastAsiaTheme="minorEastAsia" w:hAnsiTheme="minorEastAsia" w:hint="eastAsia"/>
          <w:bCs/>
          <w:color w:val="000000"/>
          <w:sz w:val="24"/>
        </w:rPr>
        <w:t>财产</w:t>
      </w:r>
      <w:r>
        <w:rPr>
          <w:rFonts w:asciiTheme="minorEastAsia" w:eastAsiaTheme="minorEastAsia" w:hAnsiTheme="minorEastAsia"/>
          <w:bCs/>
          <w:color w:val="000000"/>
          <w:sz w:val="24"/>
        </w:rPr>
        <w:t>独立于基金管理人、基金托管人和基金销售机构的财产，并由基金托管人保管。基金管理人、基金托管人、基金登记机构和基金销售机构以其自有的财产承担其自身的法律责任，其债权人不得对本基金</w:t>
      </w:r>
      <w:r>
        <w:rPr>
          <w:rFonts w:asciiTheme="minorEastAsia" w:eastAsiaTheme="minorEastAsia" w:hAnsiTheme="minorEastAsia" w:hint="eastAsia"/>
          <w:bCs/>
          <w:color w:val="000000"/>
          <w:sz w:val="24"/>
        </w:rPr>
        <w:t>财产</w:t>
      </w:r>
      <w:r>
        <w:rPr>
          <w:rFonts w:asciiTheme="minorEastAsia" w:eastAsiaTheme="minorEastAsia" w:hAnsiTheme="minorEastAsia"/>
          <w:bCs/>
          <w:color w:val="000000"/>
          <w:sz w:val="24"/>
        </w:rPr>
        <w:t>行使请求冻结、扣押或其他权利。除依法</w:t>
      </w:r>
      <w:r>
        <w:rPr>
          <w:rFonts w:asciiTheme="minorEastAsia" w:eastAsiaTheme="minorEastAsia" w:hAnsiTheme="minorEastAsia"/>
          <w:bCs/>
          <w:color w:val="000000"/>
          <w:sz w:val="24"/>
        </w:rPr>
        <w:t>律法规</w:t>
      </w:r>
      <w:r>
        <w:rPr>
          <w:rFonts w:asciiTheme="minorEastAsia" w:eastAsiaTheme="minorEastAsia" w:hAnsiTheme="minorEastAsia"/>
          <w:bCs/>
          <w:color w:val="000000"/>
          <w:sz w:val="24"/>
        </w:rPr>
        <w:t>和《基金合同》的规定处分外，</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不得被处分。</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基金管理人、基金托管人因依法解散、被依法撤销或者被依法宣告破产等原因进行清算的，</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不属于其清算财产。基金管理人管理运作</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所产生的债权，不得与其固有资产产生的债务相互</w:t>
      </w:r>
      <w:r>
        <w:rPr>
          <w:rFonts w:asciiTheme="minorEastAsia" w:eastAsiaTheme="minorEastAsia" w:hAnsiTheme="minorEastAsia"/>
          <w:bCs/>
          <w:color w:val="000000"/>
          <w:sz w:val="24"/>
        </w:rPr>
        <w:t>抵销</w:t>
      </w:r>
      <w:r>
        <w:rPr>
          <w:rFonts w:asciiTheme="minorEastAsia" w:eastAsiaTheme="minorEastAsia" w:hAnsiTheme="minorEastAsia"/>
          <w:bCs/>
          <w:color w:val="000000"/>
          <w:sz w:val="24"/>
        </w:rPr>
        <w:t>；基金管理人管理运作不同</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的</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所产生的债权债务不得相互</w:t>
      </w:r>
      <w:r>
        <w:rPr>
          <w:rFonts w:asciiTheme="minorEastAsia" w:eastAsiaTheme="minorEastAsia" w:hAnsiTheme="minorEastAsia"/>
          <w:bCs/>
          <w:color w:val="000000"/>
          <w:sz w:val="24"/>
        </w:rPr>
        <w:t>抵销</w:t>
      </w:r>
      <w:r>
        <w:rPr>
          <w:rFonts w:asciiTheme="minorEastAsia" w:eastAsiaTheme="minorEastAsia" w:hAnsiTheme="minorEastAsia"/>
          <w:bCs/>
          <w:color w:val="000000"/>
          <w:sz w:val="24"/>
        </w:rPr>
        <w:t>。非因</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本身承担的债务，不得对</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强制执行。</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kern w:val="44"/>
          <w:sz w:val="21"/>
        </w:rPr>
        <w:br w:type="page"/>
      </w:r>
      <w:bookmarkStart w:id="437" w:name="_Toc532487739"/>
      <w:bookmarkStart w:id="438" w:name="_Toc19714"/>
      <w:bookmarkStart w:id="439" w:name="_Toc31917"/>
      <w:bookmarkStart w:id="440" w:name="_Toc534140377"/>
      <w:bookmarkStart w:id="441" w:name="_Toc27832"/>
      <w:bookmarkStart w:id="442" w:name="_Toc207633412"/>
      <w:bookmarkStart w:id="443" w:name="_Toc871"/>
      <w:bookmarkStart w:id="444" w:name="_Toc2623"/>
      <w:bookmarkStart w:id="445" w:name="_Toc7802"/>
      <w:bookmarkStart w:id="446" w:name="_Toc17782"/>
      <w:bookmarkStart w:id="447" w:name="_Toc139991744"/>
      <w:bookmarkStart w:id="448" w:name="_Toc141703894"/>
      <w:r>
        <w:rPr>
          <w:rFonts w:asciiTheme="minorEastAsia" w:eastAsiaTheme="minorEastAsia" w:hAnsiTheme="minorEastAsia"/>
          <w:sz w:val="30"/>
        </w:rPr>
        <w:t>第十四部分  基金资产估值</w:t>
      </w:r>
      <w:bookmarkEnd w:id="437"/>
      <w:bookmarkEnd w:id="438"/>
      <w:bookmarkEnd w:id="439"/>
      <w:bookmarkEnd w:id="440"/>
      <w:bookmarkEnd w:id="441"/>
      <w:bookmarkEnd w:id="442"/>
      <w:bookmarkEnd w:id="443"/>
      <w:bookmarkEnd w:id="444"/>
      <w:bookmarkEnd w:id="445"/>
      <w:bookmarkEnd w:id="446"/>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szCs w:val="24"/>
        </w:rPr>
      </w:pPr>
      <w:bookmarkStart w:id="449" w:name="_Toc32046"/>
      <w:bookmarkStart w:id="450" w:name="_Toc139991745"/>
      <w:bookmarkStart w:id="451" w:name="_Toc141703895"/>
      <w:bookmarkEnd w:id="447"/>
      <w:bookmarkEnd w:id="448"/>
      <w:r>
        <w:rPr>
          <w:rFonts w:asciiTheme="minorEastAsia" w:eastAsiaTheme="minorEastAsia" w:hAnsiTheme="minorEastAsia"/>
          <w:bCs/>
          <w:color w:val="000000"/>
          <w:sz w:val="24"/>
          <w:szCs w:val="24"/>
        </w:rPr>
        <w:t>一、估值日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本基金的估值日为本基金相关的证券交易场所的交易日以及国家法律法规规定需要对外披露</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szCs w:val="24"/>
        </w:rPr>
        <w:t>净值的</w:t>
      </w:r>
      <w:r>
        <w:rPr>
          <w:rFonts w:asciiTheme="minorEastAsia" w:eastAsiaTheme="minorEastAsia" w:hAnsiTheme="minorEastAsia"/>
          <w:bCs/>
          <w:color w:val="000000"/>
          <w:sz w:val="24"/>
          <w:szCs w:val="24"/>
        </w:rPr>
        <w:t>非交易</w:t>
      </w:r>
      <w:r>
        <w:rPr>
          <w:rFonts w:asciiTheme="minorEastAsia" w:eastAsiaTheme="minorEastAsia" w:hAnsiTheme="minorEastAsia"/>
          <w:bCs/>
          <w:color w:val="000000"/>
          <w:sz w:val="24"/>
          <w:szCs w:val="24"/>
        </w:rPr>
        <w:t>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二、估值对象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szCs w:val="24"/>
        </w:rPr>
        <w:t>所拥有的股票、股指期货</w:t>
      </w:r>
      <w:r>
        <w:rPr>
          <w:rFonts w:asciiTheme="minorEastAsia" w:eastAsiaTheme="minorEastAsia" w:hAnsiTheme="minorEastAsia" w:hint="eastAsia"/>
          <w:bCs/>
          <w:color w:val="000000"/>
          <w:sz w:val="24"/>
          <w:szCs w:val="24"/>
        </w:rPr>
        <w:t>合约、股票期权合约、</w:t>
      </w:r>
      <w:r>
        <w:rPr>
          <w:rFonts w:asciiTheme="minorEastAsia" w:eastAsiaTheme="minorEastAsia" w:hAnsiTheme="minorEastAsia"/>
          <w:bCs/>
          <w:color w:val="000000"/>
          <w:sz w:val="24"/>
          <w:szCs w:val="24"/>
        </w:rPr>
        <w:t>债券、</w:t>
      </w:r>
      <w:r>
        <w:rPr>
          <w:rFonts w:asciiTheme="minorEastAsia" w:eastAsiaTheme="minorEastAsia" w:hAnsiTheme="minorEastAsia" w:hint="eastAsia"/>
          <w:bCs/>
          <w:color w:val="000000"/>
          <w:sz w:val="24"/>
          <w:szCs w:val="24"/>
        </w:rPr>
        <w:t>资产支持证券</w:t>
      </w:r>
      <w:r>
        <w:rPr>
          <w:rFonts w:asciiTheme="minorEastAsia" w:eastAsiaTheme="minorEastAsia" w:hAnsiTheme="minorEastAsia"/>
          <w:bCs/>
          <w:color w:val="000000"/>
          <w:sz w:val="24"/>
          <w:szCs w:val="24"/>
        </w:rPr>
        <w:t>和银行存款本息、应收款项、其它投资等资产及负债。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三、估值原则</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基金管理人在确定相关金融资产和金融负债的公允价值时，应符合《企业会计准则》、监管部门有关规定。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（一）</w:t>
      </w:r>
      <w:r>
        <w:rPr>
          <w:rFonts w:asciiTheme="minorEastAsia" w:eastAsiaTheme="minorEastAsia" w:hAnsiTheme="minorEastAsia"/>
          <w:bCs/>
          <w:color w:val="000000"/>
          <w:sz w:val="24"/>
          <w:szCs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与上述投资品种</w:t>
      </w:r>
      <w:r>
        <w:rPr>
          <w:rFonts w:asciiTheme="minorEastAsia" w:eastAsiaTheme="minorEastAsia" w:hAnsiTheme="minorEastAsia" w:hint="eastAsia"/>
          <w:bCs/>
          <w:color w:val="000000"/>
          <w:sz w:val="24"/>
          <w:szCs w:val="24"/>
        </w:rPr>
        <w:t>相</w:t>
      </w:r>
      <w:r>
        <w:rPr>
          <w:rFonts w:asciiTheme="minorEastAsia" w:eastAsiaTheme="minorEastAsia" w:hAnsiTheme="minorEastAsia"/>
          <w:bCs/>
          <w:color w:val="000000"/>
          <w:sz w:val="24"/>
          <w:szCs w:val="24"/>
        </w:rPr>
        <w:t>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（二）</w:t>
      </w:r>
      <w:r>
        <w:rPr>
          <w:rFonts w:asciiTheme="minorEastAsia" w:eastAsiaTheme="minorEastAsia" w:hAnsiTheme="minorEastAsia"/>
          <w:bCs/>
          <w:color w:val="000000"/>
          <w:sz w:val="24"/>
          <w:szCs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（三）</w:t>
      </w:r>
      <w:r>
        <w:rPr>
          <w:rFonts w:asciiTheme="minorEastAsia" w:eastAsiaTheme="minorEastAsia" w:hAnsiTheme="minorEastAsia"/>
          <w:bCs/>
          <w:color w:val="000000"/>
          <w:sz w:val="24"/>
          <w:szCs w:val="24"/>
        </w:rPr>
        <w:t>如经济环境发生重大变化或证券发行人发生影响证券价格的重大事件，使潜在估值调整对前一估值日的</w:t>
      </w:r>
      <w:r>
        <w:rPr>
          <w:rFonts w:asciiTheme="minorEastAsia" w:eastAsiaTheme="minorEastAsia" w:hAnsiTheme="minorEastAsia" w:hint="eastAsia"/>
          <w:bCs/>
          <w:color w:val="000000"/>
          <w:sz w:val="24"/>
          <w:szCs w:val="24"/>
        </w:rPr>
        <w:t>基金资产净值</w:t>
      </w:r>
      <w:r>
        <w:rPr>
          <w:rFonts w:asciiTheme="minorEastAsia" w:eastAsiaTheme="minorEastAsia" w:hAnsiTheme="minorEastAsia"/>
          <w:bCs/>
          <w:color w:val="000000"/>
          <w:sz w:val="24"/>
          <w:szCs w:val="24"/>
        </w:rPr>
        <w:t>的影响在0.25%以上的，应对估值进行调整并确定公允价值。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四、</w:t>
      </w:r>
      <w:r>
        <w:rPr>
          <w:rFonts w:asciiTheme="minorEastAsia" w:eastAsiaTheme="minorEastAsia" w:hAnsiTheme="minorEastAsia"/>
          <w:bCs/>
          <w:color w:val="000000"/>
          <w:sz w:val="24"/>
          <w:szCs w:val="24"/>
        </w:rPr>
        <w:t>估值方法</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1、证券交易所上市的有价证券的估值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（1）交易所上市的有价证券（包括股票等），以其估值日在证券交易所挂牌的市价（收盘价）估值；估值日无交易的，且最近交易日后经济环境未发生重大变化</w:t>
      </w:r>
      <w:r>
        <w:rPr>
          <w:rFonts w:asciiTheme="minorEastAsia" w:eastAsiaTheme="minorEastAsia" w:hAnsiTheme="minorEastAsia" w:hint="eastAsia"/>
          <w:bCs/>
          <w:iCs/>
          <w:color w:val="000000"/>
          <w:sz w:val="24"/>
          <w:szCs w:val="24"/>
        </w:rPr>
        <w:t>或</w:t>
      </w:r>
      <w:r>
        <w:rPr>
          <w:rFonts w:asciiTheme="minorEastAsia" w:eastAsiaTheme="minorEastAsia" w:hAnsiTheme="minorEastAsia"/>
          <w:bCs/>
          <w:iCs/>
          <w:color w:val="000000"/>
          <w:sz w:val="24"/>
          <w:szCs w:val="24"/>
        </w:rPr>
        <w:t>证券发行机构未发生影响证券价格的重大事件的，以最近交易日的市价（收盘价）估值；如最近交易日后经济环境发生了重大变化</w:t>
      </w:r>
      <w:r>
        <w:rPr>
          <w:rFonts w:asciiTheme="minorEastAsia" w:eastAsiaTheme="minorEastAsia" w:hAnsiTheme="minorEastAsia" w:hint="eastAsia"/>
          <w:bCs/>
          <w:iCs/>
          <w:color w:val="000000"/>
          <w:sz w:val="24"/>
          <w:szCs w:val="24"/>
        </w:rPr>
        <w:t>或</w:t>
      </w:r>
      <w:r>
        <w:rPr>
          <w:rFonts w:asciiTheme="minorEastAsia" w:eastAsiaTheme="minorEastAsia" w:hAnsiTheme="minorEastAsia"/>
          <w:bCs/>
          <w:iCs/>
          <w:color w:val="000000"/>
          <w:sz w:val="24"/>
          <w:szCs w:val="24"/>
        </w:rPr>
        <w:t>证券发行机构发生影响证券价格的重大事件的，可参考类似投资品种的现行市价及重大变化因素，调整最近交易市价，确定公允价格</w:t>
      </w:r>
      <w:r>
        <w:rPr>
          <w:rFonts w:asciiTheme="minorEastAsia" w:eastAsiaTheme="minorEastAsia" w:hAnsiTheme="minorEastAsia" w:hint="eastAsia"/>
          <w:bCs/>
          <w:iCs/>
          <w:color w:val="000000"/>
          <w:sz w:val="24"/>
          <w:szCs w:val="24"/>
        </w:rPr>
        <w:t>；</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（2</w:t>
      </w:r>
      <w:r>
        <w:rPr>
          <w:rFonts w:asciiTheme="minorEastAsia" w:eastAsiaTheme="minorEastAsia" w:hAnsiTheme="minorEastAsia" w:hint="eastAsia"/>
          <w:bCs/>
          <w:iCs/>
          <w:color w:val="000000"/>
          <w:sz w:val="24"/>
          <w:szCs w:val="24"/>
        </w:rPr>
        <w:t>）交易所上市交易或挂牌转让的不含</w:t>
      </w:r>
      <w:r>
        <w:rPr>
          <w:rFonts w:asciiTheme="minorEastAsia" w:eastAsiaTheme="minorEastAsia" w:hAnsiTheme="minorEastAsia" w:hint="eastAsia"/>
          <w:bCs/>
          <w:iCs/>
          <w:color w:val="000000"/>
          <w:sz w:val="24"/>
          <w:szCs w:val="24"/>
        </w:rPr>
        <w:t>权固定</w:t>
      </w:r>
      <w:r>
        <w:rPr>
          <w:rFonts w:asciiTheme="minorEastAsia" w:eastAsiaTheme="minorEastAsia" w:hAnsiTheme="minorEastAsia" w:hint="eastAsia"/>
          <w:bCs/>
          <w:iCs/>
          <w:color w:val="000000"/>
          <w:sz w:val="24"/>
          <w:szCs w:val="24"/>
        </w:rPr>
        <w:t>收益品种（基金合同另有规定的除外），选取估值日第三方估值机构提供的相应品种当日的估值全价进行估值；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hint="eastAsia"/>
          <w:bCs/>
          <w:iCs/>
          <w:color w:val="000000"/>
          <w:sz w:val="24"/>
          <w:szCs w:val="24"/>
        </w:rPr>
        <w:t>（</w:t>
      </w:r>
      <w:r>
        <w:rPr>
          <w:rFonts w:asciiTheme="minorEastAsia" w:eastAsiaTheme="minorEastAsia" w:hAnsiTheme="minorEastAsia"/>
          <w:bCs/>
          <w:iCs/>
          <w:color w:val="000000"/>
          <w:sz w:val="24"/>
          <w:szCs w:val="24"/>
        </w:rPr>
        <w:t>3</w:t>
      </w:r>
      <w:r>
        <w:rPr>
          <w:rFonts w:asciiTheme="minorEastAsia" w:eastAsiaTheme="minorEastAsia" w:hAnsiTheme="minorEastAsia" w:hint="eastAsia"/>
          <w:bCs/>
          <w:iCs/>
          <w:color w:val="000000"/>
          <w:sz w:val="24"/>
          <w:szCs w:val="24"/>
        </w:rPr>
        <w:t>）交易所上市交易或挂牌转让的含</w:t>
      </w:r>
      <w:r>
        <w:rPr>
          <w:rFonts w:asciiTheme="minorEastAsia" w:eastAsiaTheme="minorEastAsia" w:hAnsiTheme="minorEastAsia" w:hint="eastAsia"/>
          <w:bCs/>
          <w:iCs/>
          <w:color w:val="000000"/>
          <w:sz w:val="24"/>
          <w:szCs w:val="24"/>
        </w:rPr>
        <w:t>权固定</w:t>
      </w:r>
      <w:r>
        <w:rPr>
          <w:rFonts w:asciiTheme="minorEastAsia" w:eastAsiaTheme="minorEastAsia" w:hAnsiTheme="minorEastAsia" w:hint="eastAsia"/>
          <w:bCs/>
          <w:iCs/>
          <w:color w:val="000000"/>
          <w:sz w:val="24"/>
          <w:szCs w:val="24"/>
        </w:rPr>
        <w:t>收益品种（基金合同另有规定的除外），选取估值日第三方估值机构提供的相应品种当日的唯一估值全价或推荐估值全价进行估值；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hint="eastAsia"/>
          <w:bCs/>
          <w:iCs/>
          <w:color w:val="000000"/>
          <w:sz w:val="24"/>
          <w:szCs w:val="24"/>
        </w:rPr>
        <w:t>（</w:t>
      </w:r>
      <w:r>
        <w:rPr>
          <w:rFonts w:asciiTheme="minorEastAsia" w:eastAsiaTheme="minorEastAsia" w:hAnsiTheme="minorEastAsia"/>
          <w:bCs/>
          <w:iCs/>
          <w:color w:val="000000"/>
          <w:sz w:val="24"/>
          <w:szCs w:val="24"/>
        </w:rPr>
        <w:t>4</w:t>
      </w:r>
      <w:r>
        <w:rPr>
          <w:rFonts w:asciiTheme="minorEastAsia" w:eastAsiaTheme="minorEastAsia" w:hAnsiTheme="minorEastAsia" w:hint="eastAsia"/>
          <w:bCs/>
          <w:iCs/>
          <w:color w:val="000000"/>
          <w:sz w:val="24"/>
          <w:szCs w:val="24"/>
        </w:rPr>
        <w:t>）交易所上市交易的可转换债券，以每日收盘价作为估值全价；</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hint="eastAsia"/>
          <w:bCs/>
          <w:iCs/>
          <w:color w:val="000000"/>
          <w:sz w:val="24"/>
          <w:szCs w:val="24"/>
        </w:rPr>
        <w:t>（</w:t>
      </w:r>
      <w:r>
        <w:rPr>
          <w:rFonts w:asciiTheme="minorEastAsia" w:eastAsiaTheme="minorEastAsia" w:hAnsiTheme="minorEastAsia"/>
          <w:bCs/>
          <w:iCs/>
          <w:color w:val="000000"/>
          <w:sz w:val="24"/>
          <w:szCs w:val="24"/>
        </w:rPr>
        <w:t>5</w:t>
      </w:r>
      <w:r>
        <w:rPr>
          <w:rFonts w:asciiTheme="minorEastAsia" w:eastAsiaTheme="minorEastAsia" w:hAnsiTheme="minorEastAsia" w:hint="eastAsia"/>
          <w:bCs/>
          <w:iCs/>
          <w:color w:val="000000"/>
          <w:sz w:val="24"/>
          <w:szCs w:val="24"/>
        </w:rPr>
        <w:t>）交易所上市不存在活跃市场的有价证券，采用估值技术确定公允价值。交易所市场挂牌转让</w:t>
      </w:r>
      <w:r>
        <w:rPr>
          <w:rFonts w:asciiTheme="minorEastAsia" w:eastAsiaTheme="minorEastAsia" w:hAnsiTheme="minorEastAsia"/>
          <w:bCs/>
          <w:iCs/>
          <w:color w:val="000000"/>
          <w:sz w:val="24"/>
          <w:szCs w:val="24"/>
        </w:rPr>
        <w:t>的资产支持证券，采用估值技术确定公允价值</w:t>
      </w:r>
      <w:r>
        <w:rPr>
          <w:rFonts w:asciiTheme="minorEastAsia" w:eastAsiaTheme="minorEastAsia" w:hAnsiTheme="minorEastAsia" w:hint="eastAsia"/>
          <w:bCs/>
          <w:iCs/>
          <w:color w:val="000000"/>
          <w:sz w:val="24"/>
          <w:szCs w:val="24"/>
        </w:rPr>
        <w:t>；</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w:t>
      </w:r>
      <w:r>
        <w:rPr>
          <w:rFonts w:asciiTheme="minorEastAsia" w:eastAsiaTheme="minorEastAsia" w:hAnsiTheme="minorEastAsia" w:hint="eastAsia"/>
          <w:bCs/>
          <w:iCs/>
          <w:color w:val="000000"/>
          <w:sz w:val="24"/>
          <w:szCs w:val="24"/>
        </w:rPr>
        <w:t>市场活动</w:t>
      </w:r>
      <w:r>
        <w:rPr>
          <w:rFonts w:asciiTheme="minorEastAsia" w:eastAsiaTheme="minorEastAsia" w:hAnsiTheme="minorEastAsia"/>
          <w:bCs/>
          <w:iCs/>
          <w:color w:val="000000"/>
          <w:sz w:val="24"/>
          <w:szCs w:val="24"/>
        </w:rPr>
        <w:t>或市场活动很少的情况下，应采用估值技术确定其公允价值。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2、处于未上市期间的有价证券应区分如下情况处理：</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（1）送股、转增股、配股和公开增发的新股，按估值日在证券交易所挂牌的同一股票的估值方法估值；该日无交易的，以最近一日的市价（收盘价）估值；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（2）</w:t>
      </w:r>
      <w:bookmarkStart w:id="452" w:name="OLE_LINK17"/>
      <w:bookmarkStart w:id="453" w:name="OLE_LINK5"/>
      <w:r>
        <w:rPr>
          <w:rFonts w:asciiTheme="minorEastAsia" w:eastAsiaTheme="minorEastAsia" w:hAnsiTheme="minorEastAsia"/>
          <w:bCs/>
          <w:iCs/>
          <w:color w:val="000000"/>
          <w:sz w:val="24"/>
          <w:szCs w:val="24"/>
        </w:rPr>
        <w:t>首次公开发行未上市的股票</w:t>
      </w:r>
      <w:r>
        <w:rPr>
          <w:rFonts w:asciiTheme="minorEastAsia" w:eastAsiaTheme="minorEastAsia" w:hAnsiTheme="minorEastAsia" w:hint="eastAsia"/>
          <w:bCs/>
          <w:iCs/>
          <w:color w:val="000000"/>
          <w:sz w:val="24"/>
          <w:szCs w:val="24"/>
        </w:rPr>
        <w:t>和</w:t>
      </w:r>
      <w:r>
        <w:rPr>
          <w:rFonts w:asciiTheme="minorEastAsia" w:eastAsiaTheme="minorEastAsia" w:hAnsiTheme="minorEastAsia"/>
          <w:bCs/>
          <w:iCs/>
          <w:color w:val="000000"/>
          <w:sz w:val="24"/>
          <w:szCs w:val="24"/>
        </w:rPr>
        <w:t>债券，采用估值技术确定公允价值，在估值技术难以可靠计量公允价值的情况下，</w:t>
      </w:r>
      <w:r>
        <w:rPr>
          <w:rFonts w:asciiTheme="minorEastAsia" w:eastAsiaTheme="minorEastAsia" w:hAnsiTheme="minorEastAsia" w:hint="eastAsia"/>
          <w:bCs/>
          <w:iCs/>
          <w:color w:val="000000"/>
          <w:sz w:val="24"/>
          <w:szCs w:val="24"/>
        </w:rPr>
        <w:t>采用在当前情况下适用并且有足够可利用数据和其他信息支持的估值技术确定其公允价值</w:t>
      </w:r>
      <w:bookmarkEnd w:id="452"/>
      <w:bookmarkEnd w:id="453"/>
      <w:r>
        <w:rPr>
          <w:rFonts w:asciiTheme="minorEastAsia" w:eastAsiaTheme="minorEastAsia" w:hAnsiTheme="minorEastAsia" w:hint="eastAsia"/>
          <w:bCs/>
          <w:iCs/>
          <w:color w:val="000000"/>
          <w:sz w:val="24"/>
          <w:szCs w:val="24"/>
        </w:rPr>
        <w:t>；</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（3）在发行时明确一定期限限售期的股票，包括但不限于非公开发行股票、</w:t>
      </w:r>
      <w:r>
        <w:rPr>
          <w:rFonts w:asciiTheme="minorEastAsia" w:eastAsiaTheme="minorEastAsia" w:hAnsiTheme="minorEastAsia"/>
          <w:bCs/>
          <w:iCs/>
          <w:color w:val="000000"/>
          <w:sz w:val="24"/>
          <w:szCs w:val="24"/>
        </w:rPr>
        <w:t>首次公开发行股票时公司股东公开发售股份、通过大宗交易取得的带限售期的股票等，不包括停牌、新发行未上市、回购交易中的质押</w:t>
      </w:r>
      <w:r>
        <w:rPr>
          <w:rFonts w:asciiTheme="minorEastAsia" w:eastAsiaTheme="minorEastAsia" w:hAnsiTheme="minorEastAsia"/>
          <w:bCs/>
          <w:iCs/>
          <w:color w:val="000000"/>
          <w:sz w:val="24"/>
          <w:szCs w:val="24"/>
        </w:rPr>
        <w:t>券</w:t>
      </w:r>
      <w:r>
        <w:rPr>
          <w:rFonts w:asciiTheme="minorEastAsia" w:eastAsiaTheme="minorEastAsia" w:hAnsiTheme="minorEastAsia"/>
          <w:bCs/>
          <w:iCs/>
          <w:color w:val="000000"/>
          <w:sz w:val="24"/>
          <w:szCs w:val="24"/>
        </w:rPr>
        <w:t>等流通受限股票，按监管机构或行业协会有关规定确定公允价值。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3、</w:t>
      </w:r>
      <w:bookmarkStart w:id="454" w:name="OLE_LINK58"/>
      <w:bookmarkStart w:id="455" w:name="OLE_LINK59"/>
      <w:r>
        <w:rPr>
          <w:rFonts w:asciiTheme="minorEastAsia" w:eastAsiaTheme="minorEastAsia" w:hAnsiTheme="minorEastAsia"/>
          <w:bCs/>
          <w:iCs/>
          <w:color w:val="000000"/>
          <w:sz w:val="24"/>
          <w:szCs w:val="24"/>
        </w:rPr>
        <w:t>对全国银行间市场上不含权的固定收益品种，按照第三方估值机构提供的相应品种当日的估值</w:t>
      </w:r>
      <w:r>
        <w:rPr>
          <w:rFonts w:asciiTheme="minorEastAsia" w:eastAsiaTheme="minorEastAsia" w:hAnsiTheme="minorEastAsia" w:hint="eastAsia"/>
          <w:bCs/>
          <w:iCs/>
          <w:color w:val="000000"/>
          <w:sz w:val="24"/>
          <w:szCs w:val="24"/>
        </w:rPr>
        <w:t>全</w:t>
      </w:r>
      <w:r>
        <w:rPr>
          <w:rFonts w:asciiTheme="minorEastAsia" w:eastAsiaTheme="minorEastAsia" w:hAnsiTheme="minorEastAsia"/>
          <w:bCs/>
          <w:iCs/>
          <w:color w:val="000000"/>
          <w:sz w:val="24"/>
          <w:szCs w:val="24"/>
        </w:rPr>
        <w:t>价估值。对银行间市场上含权的固定收益品种，按照第三方估值机构提供的相应品种当日的唯一估值</w:t>
      </w:r>
      <w:r>
        <w:rPr>
          <w:rFonts w:asciiTheme="minorEastAsia" w:eastAsiaTheme="minorEastAsia" w:hAnsiTheme="minorEastAsia" w:hint="eastAsia"/>
          <w:bCs/>
          <w:iCs/>
          <w:color w:val="000000"/>
          <w:sz w:val="24"/>
          <w:szCs w:val="24"/>
        </w:rPr>
        <w:t>全</w:t>
      </w:r>
      <w:r>
        <w:rPr>
          <w:rFonts w:asciiTheme="minorEastAsia" w:eastAsiaTheme="minorEastAsia" w:hAnsiTheme="minorEastAsia"/>
          <w:bCs/>
          <w:iCs/>
          <w:color w:val="000000"/>
          <w:sz w:val="24"/>
          <w:szCs w:val="24"/>
        </w:rPr>
        <w:t>价或推荐估值</w:t>
      </w:r>
      <w:r>
        <w:rPr>
          <w:rFonts w:asciiTheme="minorEastAsia" w:eastAsiaTheme="minorEastAsia" w:hAnsiTheme="minorEastAsia" w:hint="eastAsia"/>
          <w:bCs/>
          <w:iCs/>
          <w:color w:val="000000"/>
          <w:sz w:val="24"/>
          <w:szCs w:val="24"/>
        </w:rPr>
        <w:t>全</w:t>
      </w:r>
      <w:r>
        <w:rPr>
          <w:rFonts w:asciiTheme="minorEastAsia" w:eastAsiaTheme="minorEastAsia" w:hAnsiTheme="minorEastAsia"/>
          <w:bCs/>
          <w:iCs/>
          <w:color w:val="000000"/>
          <w:sz w:val="24"/>
          <w:szCs w:val="24"/>
        </w:rPr>
        <w:t>价估值。对银行间市场未上市，且第三方估值机构未提供估值价格的债券，在发行利率与二级市场利率不存在明显差异，未上市期间市场利率没有发生大的变动的情况下，</w:t>
      </w:r>
      <w:r>
        <w:rPr>
          <w:rFonts w:asciiTheme="minorEastAsia" w:eastAsiaTheme="minorEastAsia" w:hAnsiTheme="minorEastAsia" w:hint="eastAsia"/>
          <w:bCs/>
          <w:iCs/>
          <w:color w:val="000000"/>
          <w:sz w:val="24"/>
          <w:szCs w:val="24"/>
        </w:rPr>
        <w:t>采用当前情况下适用并且有足够可利用数据和其他信息支持的估值技术确定其公允价值</w:t>
      </w:r>
      <w:r>
        <w:rPr>
          <w:rFonts w:asciiTheme="minorEastAsia" w:eastAsiaTheme="minorEastAsia" w:hAnsiTheme="minorEastAsia"/>
          <w:bCs/>
          <w:iCs/>
          <w:color w:val="000000"/>
          <w:sz w:val="24"/>
          <w:szCs w:val="24"/>
        </w:rPr>
        <w:t>。对于含投资人回售权的固定收益品种，</w:t>
      </w:r>
      <w:r>
        <w:rPr>
          <w:rFonts w:asciiTheme="minorEastAsia" w:eastAsiaTheme="minorEastAsia" w:hAnsiTheme="minorEastAsia" w:hint="eastAsia"/>
          <w:bCs/>
          <w:iCs/>
          <w:color w:val="000000"/>
          <w:sz w:val="24"/>
          <w:szCs w:val="24"/>
        </w:rPr>
        <w:t>行使回售权的，在回售登记日至实际收款日期间建议选取第三方估值基准服务机构提供的相应品种的唯一估值全价或推荐估值全价，同时应充分考虑发行人的信用风险变化对公允价值的影响；</w:t>
      </w:r>
      <w:r>
        <w:rPr>
          <w:rFonts w:asciiTheme="minorEastAsia" w:eastAsiaTheme="minorEastAsia" w:hAnsiTheme="minorEastAsia"/>
          <w:bCs/>
          <w:iCs/>
          <w:color w:val="000000"/>
          <w:sz w:val="24"/>
          <w:szCs w:val="24"/>
        </w:rPr>
        <w:t>回售登记</w:t>
      </w:r>
      <w:r>
        <w:rPr>
          <w:rFonts w:asciiTheme="minorEastAsia" w:eastAsiaTheme="minorEastAsia" w:hAnsiTheme="minorEastAsia" w:hint="eastAsia"/>
          <w:bCs/>
          <w:iCs/>
          <w:color w:val="000000"/>
          <w:sz w:val="24"/>
          <w:szCs w:val="24"/>
        </w:rPr>
        <w:t>期</w:t>
      </w:r>
      <w:r>
        <w:rPr>
          <w:rFonts w:asciiTheme="minorEastAsia" w:eastAsiaTheme="minorEastAsia" w:hAnsiTheme="minorEastAsia"/>
          <w:bCs/>
          <w:iCs/>
          <w:color w:val="000000"/>
          <w:sz w:val="24"/>
          <w:szCs w:val="24"/>
        </w:rPr>
        <w:t>截止日（含当日）后未行使回售权的按照长待偿期所对应的价格进行估值</w:t>
      </w:r>
      <w:bookmarkEnd w:id="454"/>
      <w:bookmarkEnd w:id="455"/>
      <w:r>
        <w:rPr>
          <w:rFonts w:asciiTheme="minorEastAsia" w:eastAsiaTheme="minorEastAsia" w:hAnsiTheme="minorEastAsia"/>
          <w:bCs/>
          <w:iCs/>
          <w:color w:val="000000"/>
          <w:sz w:val="24"/>
          <w:szCs w:val="24"/>
        </w:rPr>
        <w:t>。</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4、同一债券</w:t>
      </w:r>
      <w:r>
        <w:rPr>
          <w:rFonts w:asciiTheme="minorEastAsia" w:eastAsiaTheme="minorEastAsia" w:hAnsiTheme="minorEastAsia" w:hint="eastAsia"/>
          <w:bCs/>
          <w:iCs/>
          <w:color w:val="000000"/>
          <w:sz w:val="24"/>
          <w:szCs w:val="24"/>
        </w:rPr>
        <w:t>或</w:t>
      </w:r>
      <w:r>
        <w:rPr>
          <w:rFonts w:asciiTheme="minorEastAsia" w:eastAsiaTheme="minorEastAsia" w:hAnsiTheme="minorEastAsia"/>
          <w:bCs/>
          <w:iCs/>
          <w:color w:val="000000"/>
          <w:sz w:val="24"/>
          <w:szCs w:val="24"/>
        </w:rPr>
        <w:t>股票同时在两个或两个以上市场交易的，按债券</w:t>
      </w:r>
      <w:r>
        <w:rPr>
          <w:rFonts w:asciiTheme="minorEastAsia" w:eastAsiaTheme="minorEastAsia" w:hAnsiTheme="minorEastAsia" w:hint="eastAsia"/>
          <w:bCs/>
          <w:iCs/>
          <w:color w:val="000000"/>
          <w:sz w:val="24"/>
          <w:szCs w:val="24"/>
        </w:rPr>
        <w:t>或</w:t>
      </w:r>
      <w:r>
        <w:rPr>
          <w:rFonts w:asciiTheme="minorEastAsia" w:eastAsiaTheme="minorEastAsia" w:hAnsiTheme="minorEastAsia"/>
          <w:bCs/>
          <w:iCs/>
          <w:color w:val="000000"/>
          <w:sz w:val="24"/>
          <w:szCs w:val="24"/>
        </w:rPr>
        <w:t>股票所处的市场分别估值。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5、同业存单按估值日第三方估值机构提供的估值</w:t>
      </w:r>
      <w:r>
        <w:rPr>
          <w:rFonts w:asciiTheme="minorEastAsia" w:eastAsiaTheme="minorEastAsia" w:hAnsiTheme="minorEastAsia" w:hint="eastAsia"/>
          <w:bCs/>
          <w:iCs/>
          <w:color w:val="000000"/>
          <w:sz w:val="24"/>
          <w:szCs w:val="24"/>
        </w:rPr>
        <w:t>全</w:t>
      </w:r>
      <w:r>
        <w:rPr>
          <w:rFonts w:asciiTheme="minorEastAsia" w:eastAsiaTheme="minorEastAsia" w:hAnsiTheme="minorEastAsia"/>
          <w:bCs/>
          <w:iCs/>
          <w:color w:val="000000"/>
          <w:sz w:val="24"/>
          <w:szCs w:val="24"/>
        </w:rPr>
        <w:t>价估值；选定的第三方估值机构未提供估值价格的，</w:t>
      </w:r>
      <w:r>
        <w:rPr>
          <w:rFonts w:asciiTheme="minorEastAsia" w:eastAsiaTheme="minorEastAsia" w:hAnsiTheme="minorEastAsia" w:hint="eastAsia"/>
          <w:bCs/>
          <w:iCs/>
          <w:color w:val="000000"/>
          <w:sz w:val="24"/>
          <w:szCs w:val="24"/>
        </w:rPr>
        <w:t>采用估值技术确定公允价值</w:t>
      </w:r>
      <w:r>
        <w:rPr>
          <w:rFonts w:asciiTheme="minorEastAsia" w:eastAsiaTheme="minorEastAsia" w:hAnsiTheme="minorEastAsia"/>
          <w:bCs/>
          <w:iCs/>
          <w:color w:val="000000"/>
          <w:sz w:val="24"/>
          <w:szCs w:val="24"/>
        </w:rPr>
        <w:t>。</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6、股指期货合约，一般以股指期货当日结算价进行估值，估值当日无结算价的，且最近交易日后经济环境未发生重大变化的，采用最近交易日结算价估值。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7、</w:t>
      </w:r>
      <w:r>
        <w:rPr>
          <w:rFonts w:asciiTheme="minorEastAsia" w:eastAsiaTheme="minorEastAsia" w:hAnsiTheme="minorEastAsia" w:hint="eastAsia"/>
          <w:bCs/>
          <w:iCs/>
          <w:color w:val="000000"/>
          <w:sz w:val="24"/>
          <w:szCs w:val="24"/>
        </w:rPr>
        <w:t>股票期权合约</w:t>
      </w:r>
      <w:r>
        <w:rPr>
          <w:rFonts w:asciiTheme="minorEastAsia" w:eastAsiaTheme="minorEastAsia" w:hAnsiTheme="minorEastAsia"/>
          <w:bCs/>
          <w:iCs/>
          <w:color w:val="000000"/>
          <w:sz w:val="24"/>
          <w:szCs w:val="24"/>
        </w:rPr>
        <w:t>，一般以估值当日结算价进行估值，估值当日无结算价的，且最近交易日后经济环境未发生重大变化的，采用最近交易日结算价估值。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8、</w:t>
      </w:r>
      <w:r>
        <w:rPr>
          <w:rFonts w:asciiTheme="minorEastAsia" w:eastAsiaTheme="minorEastAsia" w:hAnsiTheme="minorEastAsia" w:hint="eastAsia"/>
          <w:bCs/>
          <w:iCs/>
          <w:color w:val="000000"/>
          <w:sz w:val="24"/>
          <w:szCs w:val="24"/>
        </w:rPr>
        <w:t>本基金投资存托凭证的估值核算，依照境内上市交易的股票执行。</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9、当本基金发生大额申购或赎回情形时，基金管理人可以采用摆动定价机制，以确保</w:t>
      </w:r>
      <w:r>
        <w:rPr>
          <w:rFonts w:asciiTheme="minorEastAsia" w:eastAsiaTheme="minorEastAsia" w:hAnsiTheme="minorEastAsia" w:hint="eastAsia"/>
          <w:bCs/>
          <w:color w:val="000000"/>
          <w:sz w:val="24"/>
        </w:rPr>
        <w:t>基金</w:t>
      </w:r>
      <w:r>
        <w:rPr>
          <w:rFonts w:asciiTheme="minorEastAsia" w:eastAsiaTheme="minorEastAsia" w:hAnsiTheme="minorEastAsia"/>
          <w:bCs/>
          <w:iCs/>
          <w:color w:val="000000"/>
          <w:sz w:val="24"/>
          <w:szCs w:val="24"/>
        </w:rPr>
        <w:t>估值的公平性</w:t>
      </w:r>
      <w:r>
        <w:rPr>
          <w:rFonts w:asciiTheme="minorEastAsia" w:eastAsiaTheme="minorEastAsia" w:hAnsiTheme="minorEastAsia" w:hint="eastAsia"/>
          <w:bCs/>
          <w:color w:val="000000"/>
          <w:sz w:val="24"/>
        </w:rPr>
        <w:t>，具体处理原则与操作规范遵循相关法律法规以及监管部门、自律规则的规定</w:t>
      </w:r>
      <w:r>
        <w:rPr>
          <w:rFonts w:asciiTheme="minorEastAsia" w:eastAsiaTheme="minorEastAsia" w:hAnsiTheme="minorEastAsia"/>
          <w:bCs/>
          <w:iCs/>
          <w:color w:val="000000"/>
          <w:sz w:val="24"/>
          <w:szCs w:val="24"/>
        </w:rPr>
        <w:t xml:space="preserve">。 </w:t>
      </w:r>
    </w:p>
    <w:p w:rsidR="00AA3326">
      <w:pPr>
        <w:spacing w:line="360" w:lineRule="auto"/>
        <w:ind w:firstLine="480" w:firstLineChars="200"/>
        <w:rPr>
          <w:rFonts w:asciiTheme="minorEastAsia" w:eastAsiaTheme="minorEastAsia" w:hAnsiTheme="minorEastAsia" w:hint="eastAsia"/>
          <w:bCs/>
          <w:iCs/>
          <w:color w:val="000000"/>
          <w:sz w:val="24"/>
          <w:szCs w:val="24"/>
        </w:rPr>
      </w:pPr>
      <w:bookmarkStart w:id="456" w:name="_Hlk199261659"/>
      <w:r>
        <w:rPr>
          <w:rFonts w:asciiTheme="minorEastAsia" w:eastAsiaTheme="minorEastAsia" w:hAnsiTheme="minorEastAsia" w:hint="eastAsia"/>
          <w:bCs/>
          <w:iCs/>
          <w:color w:val="000000"/>
          <w:sz w:val="24"/>
          <w:szCs w:val="24"/>
        </w:rPr>
        <w:t>10、本基金参与融资业务的，按照相关法律法规、监管部门和行业协会的相关规定进行估值。</w:t>
      </w:r>
    </w:p>
    <w:p w:rsidR="00AA3326">
      <w:pPr>
        <w:spacing w:line="360" w:lineRule="auto"/>
        <w:ind w:firstLine="480" w:firstLineChars="200"/>
        <w:rPr>
          <w:rFonts w:asciiTheme="minorEastAsia" w:eastAsiaTheme="minorEastAsia" w:hAnsiTheme="minorEastAsia" w:hint="eastAsia"/>
          <w:bCs/>
          <w:iCs/>
          <w:color w:val="000000"/>
          <w:sz w:val="24"/>
          <w:szCs w:val="24"/>
        </w:rPr>
      </w:pPr>
      <w:bookmarkEnd w:id="456"/>
      <w:r>
        <w:rPr>
          <w:rFonts w:asciiTheme="minorEastAsia" w:eastAsiaTheme="minorEastAsia" w:hAnsiTheme="minorEastAsia"/>
          <w:bCs/>
          <w:iCs/>
          <w:color w:val="000000"/>
          <w:sz w:val="24"/>
          <w:szCs w:val="24"/>
        </w:rPr>
        <w:t>11、如有确凿证据表明按上述方法进行估值不能客观反映其公允价值的，基</w:t>
      </w:r>
      <w:r>
        <w:rPr>
          <w:rFonts w:asciiTheme="minorEastAsia" w:eastAsiaTheme="minorEastAsia" w:hAnsiTheme="minorEastAsia"/>
          <w:bCs/>
          <w:iCs/>
          <w:color w:val="000000"/>
          <w:sz w:val="24"/>
          <w:szCs w:val="24"/>
        </w:rPr>
        <w:t>金管理人可根据具体情况与基金托管人商定后，按最能反映公允价值的价格估值。</w:t>
      </w:r>
    </w:p>
    <w:p w:rsidR="00AA3326">
      <w:pPr>
        <w:spacing w:line="360" w:lineRule="auto"/>
        <w:ind w:firstLine="480" w:firstLineChars="200"/>
        <w:rPr>
          <w:rFonts w:asciiTheme="minorEastAsia" w:eastAsiaTheme="minorEastAsia" w:hAnsiTheme="minorEastAsia" w:hint="eastAsia"/>
          <w:bCs/>
          <w:iCs/>
          <w:color w:val="000000"/>
          <w:sz w:val="24"/>
          <w:szCs w:val="24"/>
        </w:rPr>
      </w:pPr>
      <w:r>
        <w:rPr>
          <w:rFonts w:asciiTheme="minorEastAsia" w:eastAsiaTheme="minorEastAsia" w:hAnsiTheme="minorEastAsia"/>
          <w:bCs/>
          <w:iCs/>
          <w:color w:val="000000"/>
          <w:sz w:val="24"/>
          <w:szCs w:val="24"/>
        </w:rPr>
        <w:t>12、相关法律法规以及监管部门有强制规定的，从其规定。如有新增事项，按国家最新规定估值。</w:t>
      </w:r>
    </w:p>
    <w:p w:rsidR="00AA3326">
      <w:pPr>
        <w:spacing w:line="360" w:lineRule="auto"/>
        <w:ind w:firstLine="480" w:firstLineChars="200"/>
        <w:rPr>
          <w:rStyle w:val="read"/>
          <w:rFonts w:asciiTheme="minorEastAsia" w:eastAsiaTheme="minorEastAsia" w:hAnsiTheme="minorEastAsia" w:hint="eastAsia"/>
          <w:bCs/>
          <w:color w:val="000000"/>
          <w:sz w:val="24"/>
          <w:szCs w:val="24"/>
        </w:rPr>
      </w:pPr>
      <w:r>
        <w:rPr>
          <w:rStyle w:val="read"/>
          <w:rFonts w:asciiTheme="minorEastAsia" w:eastAsiaTheme="minorEastAsia" w:hAnsiTheme="minorEastAsia"/>
          <w:bCs/>
          <w:color w:val="000000"/>
          <w:sz w:val="24"/>
          <w:szCs w:val="24"/>
        </w:rPr>
        <w:t>如基金管理人或基金托管人发现</w:t>
      </w:r>
      <w:r>
        <w:rPr>
          <w:rFonts w:asciiTheme="minorEastAsia" w:eastAsiaTheme="minorEastAsia" w:hAnsiTheme="minorEastAsia" w:hint="eastAsia"/>
          <w:bCs/>
          <w:color w:val="000000"/>
          <w:sz w:val="24"/>
        </w:rPr>
        <w:t>基金</w:t>
      </w:r>
      <w:r>
        <w:rPr>
          <w:rStyle w:val="read"/>
          <w:rFonts w:asciiTheme="minorEastAsia" w:eastAsiaTheme="minorEastAsia" w:hAnsiTheme="minorEastAsia"/>
          <w:bCs/>
          <w:color w:val="000000"/>
          <w:sz w:val="24"/>
          <w:szCs w:val="24"/>
        </w:rPr>
        <w:t>估值违反基金合同订明的估值方法、程序及相关法律法规的规定或者未能充分维护基金份额持有人利益时，应立即通知对方，共同查明原因，双方协商解决。</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根据有关法律法规，基金资产净值计算和</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szCs w:val="24"/>
        </w:rPr>
        <w:t>会计核算的义务由基金管理人承担。本基金的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会计责任方由基金管理人担任，因此，就与本基金有关的会计问题，如经相关各方在平等基础上充分讨论后，仍无法达成一致的意见，按照基金管理人对</w:t>
      </w:r>
      <w:r>
        <w:rPr>
          <w:rFonts w:asciiTheme="minorEastAsia" w:eastAsiaTheme="minorEastAsia" w:hAnsiTheme="minorEastAsia" w:hint="eastAsia"/>
          <w:bCs/>
          <w:color w:val="000000"/>
          <w:sz w:val="24"/>
        </w:rPr>
        <w:t>基金</w:t>
      </w:r>
      <w:r>
        <w:rPr>
          <w:rFonts w:asciiTheme="minorEastAsia" w:eastAsiaTheme="minorEastAsia" w:hAnsiTheme="minorEastAsia" w:hint="eastAsia"/>
          <w:bCs/>
          <w:color w:val="000000"/>
          <w:sz w:val="24"/>
          <w:szCs w:val="24"/>
        </w:rPr>
        <w:t>净值信息</w:t>
      </w:r>
      <w:r>
        <w:rPr>
          <w:rFonts w:asciiTheme="minorEastAsia" w:eastAsiaTheme="minorEastAsia" w:hAnsiTheme="minorEastAsia"/>
          <w:bCs/>
          <w:color w:val="000000"/>
          <w:sz w:val="24"/>
          <w:szCs w:val="24"/>
        </w:rPr>
        <w:t>的计算结果对外予以公布。</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五</w:t>
      </w:r>
      <w:r>
        <w:rPr>
          <w:rFonts w:asciiTheme="minorEastAsia" w:eastAsiaTheme="minorEastAsia" w:hAnsiTheme="minorEastAsia"/>
          <w:bCs/>
          <w:color w:val="000000"/>
          <w:sz w:val="24"/>
          <w:szCs w:val="24"/>
        </w:rPr>
        <w:t>、估值程序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bookmarkStart w:id="457" w:name="_Hlk197521767"/>
      <w:r>
        <w:rPr>
          <w:rFonts w:asciiTheme="minorEastAsia" w:eastAsiaTheme="minorEastAsia" w:hAnsiTheme="minorEastAsia" w:hint="eastAsia"/>
          <w:bCs/>
          <w:color w:val="000000"/>
          <w:sz w:val="24"/>
          <w:szCs w:val="24"/>
        </w:rPr>
        <w:t>各类</w:t>
      </w:r>
      <w:r>
        <w:rPr>
          <w:rFonts w:asciiTheme="minorEastAsia" w:eastAsiaTheme="minorEastAsia" w:hAnsiTheme="minorEastAsia"/>
          <w:bCs/>
          <w:color w:val="000000"/>
          <w:sz w:val="24"/>
          <w:szCs w:val="24"/>
        </w:rPr>
        <w:t>基金份额净值是按照每个工作日闭市后，</w:t>
      </w:r>
      <w:r>
        <w:rPr>
          <w:rFonts w:asciiTheme="minorEastAsia" w:eastAsiaTheme="minorEastAsia" w:hAnsiTheme="minorEastAsia" w:hint="eastAsia"/>
          <w:bCs/>
          <w:color w:val="000000"/>
          <w:sz w:val="24"/>
          <w:szCs w:val="24"/>
        </w:rPr>
        <w:t>该类</w:t>
      </w:r>
      <w:r>
        <w:rPr>
          <w:rFonts w:asciiTheme="minorEastAsia" w:eastAsiaTheme="minorEastAsia" w:hAnsiTheme="minorEastAsia"/>
          <w:bCs/>
          <w:color w:val="000000"/>
          <w:sz w:val="24"/>
          <w:szCs w:val="24"/>
        </w:rPr>
        <w:t>基金资产净值除以当日</w:t>
      </w:r>
      <w:r>
        <w:rPr>
          <w:rFonts w:asciiTheme="minorEastAsia" w:eastAsiaTheme="minorEastAsia" w:hAnsiTheme="minorEastAsia" w:hint="eastAsia"/>
          <w:bCs/>
          <w:color w:val="000000"/>
          <w:sz w:val="24"/>
          <w:szCs w:val="24"/>
        </w:rPr>
        <w:t>该类</w:t>
      </w:r>
      <w:r>
        <w:rPr>
          <w:rFonts w:asciiTheme="minorEastAsia" w:eastAsiaTheme="minorEastAsia" w:hAnsiTheme="minorEastAsia"/>
          <w:bCs/>
          <w:color w:val="000000"/>
          <w:sz w:val="24"/>
          <w:szCs w:val="24"/>
        </w:rPr>
        <w:t>基金份额的余额数量计算，精确到</w:t>
      </w:r>
      <w:r>
        <w:rPr>
          <w:rFonts w:asciiTheme="minorEastAsia" w:eastAsiaTheme="minorEastAsia" w:hAnsiTheme="minorEastAsia" w:hint="eastAsia"/>
          <w:bCs/>
          <w:color w:val="000000"/>
          <w:sz w:val="24"/>
          <w:szCs w:val="24"/>
        </w:rPr>
        <w:t>0.0001</w:t>
      </w:r>
      <w:r>
        <w:rPr>
          <w:rFonts w:asciiTheme="minorEastAsia" w:eastAsiaTheme="minorEastAsia" w:hAnsiTheme="minorEastAsia"/>
          <w:bCs/>
          <w:color w:val="000000"/>
          <w:sz w:val="24"/>
          <w:szCs w:val="24"/>
        </w:rPr>
        <w:t>元，小数点后第</w:t>
      </w:r>
      <w:r>
        <w:rPr>
          <w:rFonts w:asciiTheme="minorEastAsia" w:eastAsiaTheme="minorEastAsia" w:hAnsiTheme="minorEastAsia" w:hint="eastAsia"/>
          <w:bCs/>
          <w:color w:val="000000"/>
          <w:sz w:val="24"/>
          <w:szCs w:val="24"/>
        </w:rPr>
        <w:t>5</w:t>
      </w:r>
      <w:r>
        <w:rPr>
          <w:rFonts w:asciiTheme="minorEastAsia" w:eastAsiaTheme="minorEastAsia" w:hAnsiTheme="minorEastAsia"/>
          <w:bCs/>
          <w:color w:val="000000"/>
          <w:sz w:val="24"/>
          <w:szCs w:val="24"/>
        </w:rPr>
        <w:t>位四舍五入。</w:t>
      </w:r>
      <w:r>
        <w:rPr>
          <w:rFonts w:asciiTheme="minorEastAsia" w:eastAsiaTheme="minorEastAsia" w:hAnsiTheme="minorEastAsia" w:hint="eastAsia"/>
          <w:bCs/>
          <w:color w:val="000000"/>
          <w:sz w:val="24"/>
          <w:szCs w:val="24"/>
        </w:rPr>
        <w:t>基金管理人可以设立大额赎回情形下的净值精度应急调整机制。</w:t>
      </w:r>
      <w:r>
        <w:rPr>
          <w:rFonts w:asciiTheme="minorEastAsia" w:eastAsiaTheme="minorEastAsia" w:hAnsiTheme="minorEastAsia"/>
          <w:bCs/>
          <w:color w:val="000000"/>
          <w:sz w:val="24"/>
          <w:szCs w:val="24"/>
        </w:rPr>
        <w:t>国家另有规定的，从其规定。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基金管理人</w:t>
      </w:r>
      <w:r>
        <w:rPr>
          <w:rFonts w:asciiTheme="minorEastAsia" w:eastAsiaTheme="minorEastAsia" w:hAnsiTheme="minorEastAsia"/>
          <w:bCs/>
          <w:color w:val="000000"/>
          <w:sz w:val="24"/>
          <w:szCs w:val="24"/>
        </w:rPr>
        <w:t>每个工作日计算基金资产净值及</w:t>
      </w:r>
      <w:r>
        <w:rPr>
          <w:rFonts w:asciiTheme="minorEastAsia" w:eastAsiaTheme="minorEastAsia" w:hAnsiTheme="minorEastAsia" w:hint="eastAsia"/>
          <w:bCs/>
          <w:color w:val="000000"/>
          <w:sz w:val="24"/>
          <w:szCs w:val="24"/>
        </w:rPr>
        <w:t>各类</w:t>
      </w:r>
      <w:r>
        <w:rPr>
          <w:rFonts w:asciiTheme="minorEastAsia" w:eastAsiaTheme="minorEastAsia" w:hAnsiTheme="minorEastAsia"/>
          <w:bCs/>
          <w:color w:val="000000"/>
          <w:sz w:val="24"/>
          <w:szCs w:val="24"/>
        </w:rPr>
        <w:t>基金份额净值，并按规定公告。</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457"/>
      <w:r>
        <w:rPr>
          <w:rFonts w:asciiTheme="minorEastAsia" w:eastAsiaTheme="minorEastAsia" w:hAnsiTheme="minorEastAsia"/>
          <w:bCs/>
          <w:color w:val="000000"/>
          <w:sz w:val="24"/>
          <w:szCs w:val="24"/>
        </w:rPr>
        <w:t>2、基金管理人</w:t>
      </w:r>
      <w:r>
        <w:rPr>
          <w:rFonts w:asciiTheme="minorEastAsia" w:eastAsiaTheme="minorEastAsia" w:hAnsiTheme="minorEastAsia"/>
          <w:bCs/>
          <w:color w:val="000000"/>
          <w:sz w:val="24"/>
          <w:szCs w:val="24"/>
        </w:rPr>
        <w:t>应每个</w:t>
      </w:r>
      <w:r>
        <w:rPr>
          <w:rFonts w:asciiTheme="minorEastAsia" w:eastAsiaTheme="minorEastAsia" w:hAnsiTheme="minorEastAsia"/>
          <w:bCs/>
          <w:color w:val="000000"/>
          <w:sz w:val="24"/>
          <w:szCs w:val="24"/>
        </w:rPr>
        <w:t>工作日对基金资产估值</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但基金管理人根据法律法规或本基金合同的规定暂停估值时除外。基金管理人每个工作日对基金资产估值后，将</w:t>
      </w:r>
      <w:r>
        <w:rPr>
          <w:rFonts w:asciiTheme="minorEastAsia" w:eastAsiaTheme="minorEastAsia" w:hAnsiTheme="minorEastAsia" w:hint="eastAsia"/>
          <w:bCs/>
          <w:color w:val="000000"/>
          <w:sz w:val="24"/>
          <w:szCs w:val="24"/>
        </w:rPr>
        <w:t>各类</w:t>
      </w:r>
      <w:r>
        <w:rPr>
          <w:rFonts w:asciiTheme="minorEastAsia" w:eastAsiaTheme="minorEastAsia" w:hAnsiTheme="minorEastAsia"/>
          <w:bCs/>
          <w:color w:val="000000"/>
          <w:sz w:val="24"/>
          <w:szCs w:val="24"/>
        </w:rPr>
        <w:t>基金份额净值结果发送基金托管人，经基金托管人复核无误后，由基金管理人对外公布。</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六</w:t>
      </w:r>
      <w:r>
        <w:rPr>
          <w:rFonts w:asciiTheme="minorEastAsia" w:eastAsiaTheme="minorEastAsia" w:hAnsiTheme="minorEastAsia"/>
          <w:bCs/>
          <w:color w:val="000000"/>
          <w:sz w:val="24"/>
          <w:szCs w:val="24"/>
        </w:rPr>
        <w:t>、估值错误的处理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基金管理人和基金托管人将采取必要、适当、合理的措施确保基金资产估值的准确性、及时性。当任一类基金份额净值小数点后</w:t>
      </w: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位以内（含第</w:t>
      </w: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位）发生估值错误时，视为</w:t>
      </w:r>
      <w:r>
        <w:rPr>
          <w:rFonts w:asciiTheme="minorEastAsia" w:eastAsiaTheme="minorEastAsia" w:hAnsiTheme="minorEastAsia" w:hint="eastAsia"/>
          <w:bCs/>
          <w:color w:val="000000"/>
          <w:sz w:val="24"/>
          <w:szCs w:val="24"/>
        </w:rPr>
        <w:t>该类</w:t>
      </w:r>
      <w:r>
        <w:rPr>
          <w:rFonts w:asciiTheme="minorEastAsia" w:eastAsiaTheme="minorEastAsia" w:hAnsiTheme="minorEastAsia"/>
          <w:bCs/>
          <w:color w:val="000000"/>
          <w:sz w:val="24"/>
          <w:szCs w:val="24"/>
        </w:rPr>
        <w:t>基金份额净值错误。</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本基金合同的当事人应按照以下约定处理：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1、估值错误类型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本基金运作过程中，如果由于基金管理人或基金托管人、或登记机构、或销售机构、或投资人自身的过错造成估值错误，导致其他当事人遭受损失的，过错</w:t>
      </w:r>
      <w:r>
        <w:rPr>
          <w:rFonts w:asciiTheme="minorEastAsia" w:eastAsiaTheme="minorEastAsia" w:hAnsiTheme="minorEastAsia"/>
          <w:bCs/>
          <w:color w:val="000000"/>
          <w:sz w:val="24"/>
          <w:szCs w:val="24"/>
        </w:rPr>
        <w:t>的责任人应当对由于该估值错误遭受损失当事人（“受损方”）的直接损失按下述“估值错误处理原则”给予赔偿，承担赔偿责任。</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上述估值错误的主要类型包括但不限于：资料申报差错、数据传输差错、数据计算差错、系统故障差错、下达指令差错等。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2、估值错误处理原则</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）估值错误的责任方对有关当事人的直接损失负责，不对间接损失负责，并且仅对估值错误的有关直接当事人负责，不对第三方负责。</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）因估值错误而获得不当得利的当事人负有及时返还不当得利的义务。但估值错误责任方仍应对估值错误负责。如果由于获得不当得利的当事人</w:t>
      </w:r>
      <w:r>
        <w:rPr>
          <w:rFonts w:asciiTheme="minorEastAsia" w:eastAsiaTheme="minorEastAsia" w:hAnsiTheme="minorEastAsia"/>
          <w:bCs/>
          <w:color w:val="000000"/>
          <w:sz w:val="24"/>
          <w:szCs w:val="24"/>
        </w:rPr>
        <w:t>不</w:t>
      </w:r>
      <w:r>
        <w:rPr>
          <w:rFonts w:asciiTheme="minorEastAsia" w:eastAsiaTheme="minorEastAsia" w:hAnsiTheme="minorEastAsia"/>
          <w:bCs/>
          <w:color w:val="000000"/>
          <w:sz w:val="24"/>
          <w:szCs w:val="24"/>
        </w:rPr>
        <w:t>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）估值错误调整采用尽量恢复至假设未发生估值错误的正确情形的方式。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（5）按法律法规规定的其他原则处理估值错误。</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3、估值错误处理程序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估值错误被发现后，有关的当事人应当及时进行处理，处理的程序如下：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（1）查明估值错误发生的原因，列明所有的当事人，并根据估值错误发生的原因确定估值错误的责任方；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）根据估值错误处理原则或当事人协商的方法对因估值错误造成的损失进行评估；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）根据估值错误处理原则或当事人协商的方法由估值错误的责任方进行更正和赔偿损失；</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）根据估值错误处理的方法，需要修改基金登记机构交易数据的，由基金登记机构进行更正，并就估值错误的更正向有关当事人进行确认。</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4、基金份额净值估值错误处理的方法如下：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（1）基金份额净值计算出现错误时，基金管理人应当立即予以纠正，通报基金托管人，并采取合理的措施防止损失进一步扩大。</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）错误偏差达到</w:t>
      </w:r>
      <w:r>
        <w:rPr>
          <w:rFonts w:asciiTheme="minorEastAsia" w:eastAsiaTheme="minorEastAsia" w:hAnsiTheme="minorEastAsia" w:hint="eastAsia"/>
          <w:bCs/>
          <w:color w:val="000000"/>
          <w:sz w:val="24"/>
          <w:szCs w:val="24"/>
        </w:rPr>
        <w:t>该类</w:t>
      </w:r>
      <w:r>
        <w:rPr>
          <w:rFonts w:asciiTheme="minorEastAsia" w:eastAsiaTheme="minorEastAsia" w:hAnsiTheme="minorEastAsia"/>
          <w:bCs/>
          <w:color w:val="000000"/>
          <w:sz w:val="24"/>
          <w:szCs w:val="24"/>
        </w:rPr>
        <w:t>基金份额净值的0.25%时，基金管理人应当通报基金托管人并报中国证监会备案；错误偏差达到</w:t>
      </w:r>
      <w:r>
        <w:rPr>
          <w:rFonts w:asciiTheme="minorEastAsia" w:eastAsiaTheme="minorEastAsia" w:hAnsiTheme="minorEastAsia" w:hint="eastAsia"/>
          <w:bCs/>
          <w:color w:val="000000"/>
          <w:sz w:val="24"/>
          <w:szCs w:val="24"/>
        </w:rPr>
        <w:t>该类</w:t>
      </w:r>
      <w:r>
        <w:rPr>
          <w:rFonts w:asciiTheme="minorEastAsia" w:eastAsiaTheme="minorEastAsia" w:hAnsiTheme="minorEastAsia"/>
          <w:bCs/>
          <w:color w:val="000000"/>
          <w:sz w:val="24"/>
          <w:szCs w:val="24"/>
        </w:rPr>
        <w:t>基金份额净值的0.5%时，基金管理人应当公告，并报中国证监会备案。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）前述内容如法律法规或监管机关另有规定的，从其规定处理。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七</w:t>
      </w:r>
      <w:r>
        <w:rPr>
          <w:rFonts w:asciiTheme="minorEastAsia" w:eastAsiaTheme="minorEastAsia" w:hAnsiTheme="minorEastAsia"/>
          <w:bCs/>
          <w:color w:val="000000"/>
          <w:sz w:val="24"/>
          <w:szCs w:val="24"/>
        </w:rPr>
        <w:t>、暂停估值的情形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szCs w:val="24"/>
        </w:rPr>
        <w:t>投资所涉及的证券</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期货交易市场遇法定节假日或因其他原因暂停营业时；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2、因不可抗力致使基金管理人、基金托管人无法准确评估基金资产价值时；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w:t>
      </w:r>
      <w:r>
        <w:rPr>
          <w:rFonts w:asciiTheme="minorEastAsia" w:eastAsiaTheme="minorEastAsia" w:hAnsiTheme="minorEastAsia" w:hint="eastAsia"/>
          <w:b/>
          <w:bCs/>
          <w:color w:val="000000"/>
          <w:sz w:val="24"/>
          <w:szCs w:val="24"/>
        </w:rPr>
        <w:t>当特定资产占前一估值日基金资产净值50%以上的，经与基金托管人协商确认后，基金管理人应当暂停估值；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、中国证监会和基金合同认定的其它情形。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八</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szCs w:val="24"/>
        </w:rPr>
        <w:t>净值的确认</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58" w:name="_Hlk197516301"/>
      <w:r>
        <w:rPr>
          <w:rFonts w:asciiTheme="minorEastAsia" w:eastAsiaTheme="minorEastAsia" w:hAnsiTheme="minorEastAsia"/>
          <w:bCs/>
          <w:color w:val="000000"/>
          <w:sz w:val="24"/>
          <w:szCs w:val="24"/>
        </w:rPr>
        <w:t>基金资产净值和</w:t>
      </w:r>
      <w:r>
        <w:rPr>
          <w:rFonts w:asciiTheme="minorEastAsia" w:eastAsiaTheme="minorEastAsia" w:hAnsiTheme="minorEastAsia" w:hint="eastAsia"/>
          <w:bCs/>
          <w:color w:val="000000"/>
          <w:sz w:val="24"/>
          <w:szCs w:val="24"/>
        </w:rPr>
        <w:t>各类</w:t>
      </w:r>
      <w:r>
        <w:rPr>
          <w:rFonts w:asciiTheme="minorEastAsia" w:eastAsiaTheme="minorEastAsia" w:hAnsiTheme="minorEastAsia"/>
          <w:bCs/>
          <w:color w:val="000000"/>
          <w:sz w:val="24"/>
          <w:szCs w:val="24"/>
        </w:rPr>
        <w:t>基金份额净值由基金管理人负责计算，基金托管人负责进行复核。基金管理人应于每个开放日交易结束后计算当日的基金资产净值和</w:t>
      </w:r>
      <w:r>
        <w:rPr>
          <w:rFonts w:asciiTheme="minorEastAsia" w:eastAsiaTheme="minorEastAsia" w:hAnsiTheme="minorEastAsia" w:hint="eastAsia"/>
          <w:bCs/>
          <w:color w:val="000000"/>
          <w:sz w:val="24"/>
          <w:szCs w:val="24"/>
        </w:rPr>
        <w:t>各类</w:t>
      </w:r>
      <w:r>
        <w:rPr>
          <w:rFonts w:asciiTheme="minorEastAsia" w:eastAsiaTheme="minorEastAsia" w:hAnsiTheme="minorEastAsia"/>
          <w:bCs/>
          <w:color w:val="000000"/>
          <w:sz w:val="24"/>
          <w:szCs w:val="24"/>
        </w:rPr>
        <w:t>基金份额净值并发送给基金托管人。基金托管人对净值计算结果复核确认后发送给基金管理人，由基金管理人对</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szCs w:val="24"/>
        </w:rPr>
        <w:t>净值予以公布。</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458"/>
      <w:r>
        <w:rPr>
          <w:rFonts w:asciiTheme="minorEastAsia" w:eastAsiaTheme="minorEastAsia" w:hAnsiTheme="minorEastAsia" w:hint="eastAsia"/>
          <w:bCs/>
          <w:color w:val="000000"/>
          <w:sz w:val="24"/>
          <w:szCs w:val="24"/>
        </w:rPr>
        <w:t>九</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特殊情形的处理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w:t>
      </w:r>
      <w:r>
        <w:rPr>
          <w:rFonts w:asciiTheme="minorEastAsia" w:eastAsiaTheme="minorEastAsia" w:hAnsiTheme="minorEastAsia"/>
          <w:bCs/>
          <w:iCs/>
          <w:color w:val="000000"/>
          <w:sz w:val="24"/>
          <w:szCs w:val="24"/>
        </w:rPr>
        <w:t>基金管理人</w:t>
      </w:r>
      <w:r>
        <w:rPr>
          <w:rFonts w:asciiTheme="minorEastAsia" w:eastAsiaTheme="minorEastAsia" w:hAnsiTheme="minorEastAsia" w:hint="eastAsia"/>
          <w:bCs/>
          <w:iCs/>
          <w:color w:val="000000"/>
          <w:sz w:val="24"/>
          <w:szCs w:val="24"/>
        </w:rPr>
        <w:t>、基金托管人</w:t>
      </w:r>
      <w:r>
        <w:rPr>
          <w:rFonts w:asciiTheme="minorEastAsia" w:eastAsiaTheme="minorEastAsia" w:hAnsiTheme="minorEastAsia"/>
          <w:bCs/>
          <w:iCs/>
          <w:color w:val="000000"/>
          <w:sz w:val="24"/>
          <w:szCs w:val="24"/>
        </w:rPr>
        <w:t>按估值</w:t>
      </w:r>
      <w:r>
        <w:rPr>
          <w:rFonts w:asciiTheme="minorEastAsia" w:eastAsiaTheme="minorEastAsia" w:hAnsiTheme="minorEastAsia" w:hint="eastAsia"/>
          <w:bCs/>
          <w:iCs/>
          <w:color w:val="000000"/>
          <w:sz w:val="24"/>
          <w:szCs w:val="24"/>
        </w:rPr>
        <w:t>方法</w:t>
      </w:r>
      <w:r>
        <w:rPr>
          <w:rFonts w:asciiTheme="minorEastAsia" w:eastAsiaTheme="minorEastAsia" w:hAnsiTheme="minorEastAsia"/>
          <w:bCs/>
          <w:iCs/>
          <w:color w:val="000000"/>
          <w:sz w:val="24"/>
          <w:szCs w:val="24"/>
        </w:rPr>
        <w:t>的第11项进行估值时，所造成的误差不作为</w:t>
      </w:r>
      <w:bookmarkStart w:id="459" w:name="_Hlk197521648"/>
      <w:r>
        <w:rPr>
          <w:rFonts w:asciiTheme="minorEastAsia" w:eastAsiaTheme="minorEastAsia" w:hAnsiTheme="minorEastAsia" w:hint="eastAsia"/>
          <w:bCs/>
          <w:iCs/>
          <w:color w:val="000000"/>
          <w:sz w:val="24"/>
          <w:szCs w:val="24"/>
        </w:rPr>
        <w:t>基金</w:t>
      </w:r>
      <w:r>
        <w:rPr>
          <w:rFonts w:ascii="宋体" w:hAnsi="宋体"/>
          <w:bCs/>
          <w:iCs/>
          <w:color w:val="000000"/>
          <w:sz w:val="24"/>
          <w:szCs w:val="24"/>
        </w:rPr>
        <w:t>份额净值</w:t>
      </w:r>
      <w:r>
        <w:rPr>
          <w:rFonts w:asciiTheme="minorEastAsia" w:eastAsiaTheme="minorEastAsia" w:hAnsiTheme="minorEastAsia"/>
          <w:bCs/>
          <w:iCs/>
          <w:color w:val="000000"/>
          <w:sz w:val="24"/>
          <w:szCs w:val="24"/>
        </w:rPr>
        <w:t>错误处理</w:t>
      </w:r>
      <w:bookmarkEnd w:id="459"/>
      <w:r>
        <w:rPr>
          <w:rFonts w:asciiTheme="minorEastAsia" w:eastAsiaTheme="minorEastAsia" w:hAnsiTheme="minorEastAsia"/>
          <w:bCs/>
          <w:i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由于不可抗力原因，或由于证券、期货交易所及登记结算公司</w:t>
      </w:r>
      <w:bookmarkStart w:id="460" w:name="_Hlk34407551"/>
      <w:r>
        <w:rPr>
          <w:rFonts w:ascii="宋体" w:hAnsi="宋体" w:hint="eastAsia"/>
          <w:bCs/>
          <w:color w:val="000000"/>
          <w:sz w:val="24"/>
          <w:szCs w:val="24"/>
        </w:rPr>
        <w:t>等第三方机构</w:t>
      </w:r>
      <w:bookmarkEnd w:id="460"/>
      <w:r>
        <w:rPr>
          <w:rFonts w:asciiTheme="minorEastAsia" w:eastAsiaTheme="minorEastAsia" w:hAnsiTheme="minorEastAsia"/>
          <w:bCs/>
          <w:color w:val="000000"/>
          <w:sz w:val="24"/>
          <w:szCs w:val="24"/>
        </w:rPr>
        <w:t>发送的数据错误</w:t>
      </w:r>
      <w:bookmarkStart w:id="461" w:name="_Hlk34407556"/>
      <w:r>
        <w:rPr>
          <w:rFonts w:ascii="宋体" w:hAnsi="宋体" w:hint="eastAsia"/>
          <w:bCs/>
          <w:color w:val="000000"/>
          <w:sz w:val="24"/>
          <w:szCs w:val="24"/>
        </w:rPr>
        <w:t>，或国家会计政策变更、市场规则变更</w:t>
      </w:r>
      <w:bookmarkEnd w:id="461"/>
      <w:r>
        <w:rPr>
          <w:rFonts w:asciiTheme="minorEastAsia" w:eastAsiaTheme="minorEastAsia" w:hAnsiTheme="minorEastAsia"/>
          <w:bCs/>
          <w:color w:val="000000"/>
          <w:sz w:val="24"/>
          <w:szCs w:val="24"/>
        </w:rPr>
        <w:t>等，基金管理人和基金托管人虽然已经采取必要、适当、合理的措施进行检查，但是未能发现该错误</w:t>
      </w:r>
      <w:r>
        <w:rPr>
          <w:rFonts w:asciiTheme="minorEastAsia" w:eastAsiaTheme="minorEastAsia" w:hAnsiTheme="minorEastAsia"/>
          <w:bCs/>
          <w:color w:val="000000"/>
          <w:sz w:val="24"/>
          <w:szCs w:val="24"/>
        </w:rPr>
        <w:t>而造成的基金资产估值错误，基金管理人、基金托管人免除赔偿责任。但基金管理人、基金托管人应积极采取必要的措施减轻或消除由此造成的影响。</w:t>
      </w:r>
    </w:p>
    <w:p w:rsidR="00AA3326">
      <w:pPr>
        <w:spacing w:line="360" w:lineRule="auto"/>
        <w:ind w:firstLine="480" w:firstLineChars="200"/>
        <w:rPr>
          <w:rFonts w:asciiTheme="minorEastAsia" w:eastAsiaTheme="minorEastAsia" w:hAnsiTheme="minorEastAsia" w:hint="eastAsia"/>
          <w:b/>
          <w:bCs/>
          <w:color w:val="000000"/>
          <w:sz w:val="24"/>
          <w:szCs w:val="24"/>
        </w:rPr>
      </w:pPr>
      <w:r>
        <w:rPr>
          <w:rFonts w:asciiTheme="minorEastAsia" w:eastAsiaTheme="minorEastAsia" w:hAnsiTheme="minorEastAsia" w:hint="eastAsia"/>
          <w:b/>
          <w:bCs/>
          <w:color w:val="000000"/>
          <w:sz w:val="24"/>
          <w:szCs w:val="24"/>
        </w:rPr>
        <w:t>十、实施</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期间的基金资产估值</w:t>
      </w:r>
    </w:p>
    <w:p w:rsidR="00AA3326">
      <w:pPr>
        <w:spacing w:line="360" w:lineRule="auto"/>
        <w:ind w:firstLine="480" w:firstLineChars="200"/>
        <w:rPr>
          <w:rFonts w:asciiTheme="minorEastAsia" w:eastAsiaTheme="minorEastAsia" w:hAnsiTheme="minorEastAsia" w:hint="eastAsia"/>
          <w:b/>
          <w:bCs/>
          <w:color w:val="000000"/>
          <w:sz w:val="24"/>
          <w:szCs w:val="24"/>
        </w:rPr>
      </w:pPr>
      <w:r>
        <w:rPr>
          <w:rFonts w:asciiTheme="minorEastAsia" w:eastAsiaTheme="minorEastAsia" w:hAnsiTheme="minorEastAsia" w:hint="eastAsia"/>
          <w:b/>
          <w:bCs/>
          <w:color w:val="000000"/>
          <w:sz w:val="24"/>
          <w:szCs w:val="24"/>
        </w:rPr>
        <w:t>本基金实施</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的，应根据本部分的约定</w:t>
      </w:r>
      <w:r>
        <w:rPr>
          <w:rFonts w:asciiTheme="minorEastAsia" w:eastAsiaTheme="minorEastAsia" w:hAnsiTheme="minorEastAsia" w:hint="eastAsia"/>
          <w:b/>
          <w:bCs/>
          <w:color w:val="000000"/>
          <w:sz w:val="24"/>
          <w:szCs w:val="24"/>
        </w:rPr>
        <w:t>对主袋账户</w:t>
      </w:r>
      <w:r>
        <w:rPr>
          <w:rFonts w:asciiTheme="minorEastAsia" w:eastAsiaTheme="minorEastAsia" w:hAnsiTheme="minorEastAsia" w:hint="eastAsia"/>
          <w:b/>
          <w:bCs/>
          <w:color w:val="000000"/>
          <w:sz w:val="24"/>
          <w:szCs w:val="24"/>
        </w:rPr>
        <w:t>资产进行估值并</w:t>
      </w:r>
      <w:r>
        <w:rPr>
          <w:rFonts w:asciiTheme="minorEastAsia" w:eastAsiaTheme="minorEastAsia" w:hAnsiTheme="minorEastAsia" w:hint="eastAsia"/>
          <w:b/>
          <w:bCs/>
          <w:color w:val="000000"/>
          <w:sz w:val="24"/>
          <w:szCs w:val="24"/>
        </w:rPr>
        <w:t>披露主袋账户</w:t>
      </w:r>
      <w:r>
        <w:rPr>
          <w:rFonts w:asciiTheme="minorEastAsia" w:eastAsiaTheme="minorEastAsia" w:hAnsiTheme="minorEastAsia" w:hint="eastAsia"/>
          <w:b/>
          <w:bCs/>
          <w:color w:val="000000"/>
          <w:sz w:val="24"/>
          <w:szCs w:val="24"/>
        </w:rPr>
        <w:t>的基金净值信息，暂停</w:t>
      </w:r>
      <w:r>
        <w:rPr>
          <w:rFonts w:asciiTheme="minorEastAsia" w:eastAsiaTheme="minorEastAsia" w:hAnsiTheme="minorEastAsia" w:hint="eastAsia"/>
          <w:b/>
          <w:bCs/>
          <w:color w:val="000000"/>
          <w:sz w:val="24"/>
          <w:szCs w:val="24"/>
        </w:rPr>
        <w:t>披露侧袋账户</w:t>
      </w:r>
      <w:r>
        <w:rPr>
          <w:rFonts w:asciiTheme="minorEastAsia" w:eastAsiaTheme="minorEastAsia" w:hAnsiTheme="minorEastAsia" w:hint="eastAsia"/>
          <w:b/>
          <w:bCs/>
          <w:color w:val="000000"/>
          <w:sz w:val="24"/>
          <w:szCs w:val="24"/>
        </w:rPr>
        <w:t>份额净值。</w:t>
      </w:r>
    </w:p>
    <w:p w:rsidR="00AA3326">
      <w:pPr>
        <w:spacing w:line="360" w:lineRule="auto"/>
        <w:ind w:firstLine="480" w:firstLineChars="200"/>
        <w:rPr>
          <w:rFonts w:asciiTheme="minorEastAsia" w:eastAsiaTheme="minorEastAsia" w:hAnsiTheme="minorEastAsia" w:hint="eastAsia"/>
          <w:b/>
          <w:bCs/>
          <w:color w:val="000000"/>
          <w:sz w:val="24"/>
          <w:szCs w:val="24"/>
        </w:rPr>
      </w:pPr>
      <w:r>
        <w:rPr>
          <w:rFonts w:asciiTheme="minorEastAsia" w:eastAsiaTheme="minorEastAsia" w:hAnsiTheme="minorEastAsia"/>
          <w:bCs/>
          <w:iCs/>
          <w:color w:val="000000"/>
          <w:sz w:val="24"/>
          <w:szCs w:val="24"/>
        </w:rPr>
        <w:t>基金管理人</w:t>
      </w:r>
      <w:r>
        <w:rPr>
          <w:rFonts w:asciiTheme="minorEastAsia" w:eastAsiaTheme="minorEastAsia" w:hAnsiTheme="minorEastAsia" w:hint="eastAsia"/>
          <w:bCs/>
          <w:iCs/>
          <w:color w:val="000000"/>
          <w:sz w:val="24"/>
          <w:szCs w:val="24"/>
        </w:rPr>
        <w:t>与基金托管人按监管机构或行业协会有关规定</w:t>
      </w:r>
      <w:r>
        <w:rPr>
          <w:rFonts w:asciiTheme="minorEastAsia" w:eastAsiaTheme="minorEastAsia" w:hAnsiTheme="minorEastAsia" w:hint="eastAsia"/>
          <w:bCs/>
          <w:iCs/>
          <w:color w:val="000000"/>
          <w:sz w:val="24"/>
          <w:szCs w:val="24"/>
        </w:rPr>
        <w:t>实施侧袋机制</w:t>
      </w:r>
      <w:r>
        <w:rPr>
          <w:rFonts w:asciiTheme="minorEastAsia" w:eastAsiaTheme="minorEastAsia" w:hAnsiTheme="minorEastAsia" w:hint="eastAsia"/>
          <w:bCs/>
          <w:iCs/>
          <w:color w:val="000000"/>
          <w:sz w:val="24"/>
          <w:szCs w:val="24"/>
        </w:rPr>
        <w:t>。</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sz w:val="30"/>
        </w:rPr>
        <w:br w:type="page"/>
      </w:r>
      <w:bookmarkStart w:id="462" w:name="_Toc12105"/>
      <w:bookmarkStart w:id="463" w:name="_Toc534140378"/>
      <w:bookmarkStart w:id="464" w:name="_Toc3365"/>
      <w:bookmarkStart w:id="465" w:name="_Toc6493"/>
      <w:bookmarkStart w:id="466" w:name="_Toc24601"/>
      <w:bookmarkStart w:id="467" w:name="_Toc19752"/>
      <w:bookmarkStart w:id="468" w:name="_Toc19706"/>
      <w:bookmarkStart w:id="469" w:name="_Toc207633413"/>
      <w:bookmarkStart w:id="470" w:name="_Toc13987"/>
      <w:bookmarkStart w:id="471" w:name="_Toc32041"/>
      <w:bookmarkStart w:id="472" w:name="_Toc15779"/>
      <w:bookmarkStart w:id="473" w:name="_Toc532487740"/>
      <w:bookmarkStart w:id="474" w:name="_Toc32227"/>
      <w:bookmarkStart w:id="475" w:name="_Hlk197686214"/>
      <w:r>
        <w:rPr>
          <w:rFonts w:asciiTheme="minorEastAsia" w:eastAsiaTheme="minorEastAsia" w:hAnsiTheme="minorEastAsia"/>
          <w:sz w:val="30"/>
        </w:rPr>
        <w:t xml:space="preserve">第十五部分  </w:t>
      </w:r>
      <w:r>
        <w:rPr>
          <w:rFonts w:asciiTheme="minorEastAsia" w:eastAsiaTheme="minorEastAsia" w:hAnsiTheme="minorEastAsia" w:hint="eastAsia"/>
          <w:sz w:val="30"/>
        </w:rPr>
        <w:t>基金</w:t>
      </w:r>
      <w:r>
        <w:rPr>
          <w:rFonts w:asciiTheme="minorEastAsia" w:eastAsiaTheme="minorEastAsia" w:hAnsiTheme="minorEastAsia"/>
          <w:sz w:val="30"/>
        </w:rPr>
        <w:t>费用与税收</w:t>
      </w:r>
      <w:bookmarkEnd w:id="449"/>
      <w:bookmarkEnd w:id="450"/>
      <w:bookmarkEnd w:id="451"/>
      <w:bookmarkEnd w:id="462"/>
      <w:bookmarkEnd w:id="463"/>
      <w:bookmarkEnd w:id="464"/>
      <w:bookmarkEnd w:id="465"/>
      <w:bookmarkEnd w:id="466"/>
      <w:bookmarkEnd w:id="467"/>
      <w:bookmarkEnd w:id="468"/>
      <w:bookmarkEnd w:id="469"/>
      <w:bookmarkEnd w:id="470"/>
      <w:bookmarkEnd w:id="471"/>
      <w:bookmarkEnd w:id="472"/>
      <w:bookmarkEnd w:id="473"/>
      <w:bookmarkEnd w:id="474"/>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一、</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费用的种类</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1、基金管理人的管理费；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2、基金托管人的托管费；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销售服务费</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4、《基金合同》生效后与</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相关的信息披露费用；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5、《基金合同》生效后与</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相关的会计师费、律师费</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诉讼费和仲裁费；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6、基金份额持有人大会费用；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的证券</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期货交易费用；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w:t>
      </w:r>
      <w:r>
        <w:rPr>
          <w:rFonts w:asciiTheme="minorEastAsia" w:eastAsiaTheme="minorEastAsia" w:hAnsiTheme="minorEastAsia" w:hint="eastAsia"/>
          <w:bCs/>
          <w:color w:val="000000"/>
          <w:sz w:val="24"/>
          <w:szCs w:val="24"/>
        </w:rPr>
        <w:t>基金的</w:t>
      </w:r>
      <w:r>
        <w:rPr>
          <w:rFonts w:asciiTheme="minorEastAsia" w:eastAsiaTheme="minorEastAsia" w:hAnsiTheme="minorEastAsia"/>
          <w:bCs/>
          <w:color w:val="000000"/>
          <w:sz w:val="24"/>
          <w:szCs w:val="24"/>
        </w:rPr>
        <w:t>银行汇划</w:t>
      </w:r>
      <w:r>
        <w:rPr>
          <w:rFonts w:asciiTheme="minorEastAsia" w:eastAsiaTheme="minorEastAsia" w:hAnsiTheme="minorEastAsia" w:hint="eastAsia"/>
          <w:bCs/>
          <w:color w:val="000000"/>
          <w:sz w:val="24"/>
          <w:szCs w:val="24"/>
        </w:rPr>
        <w:t>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w:t>
      </w:r>
      <w:r>
        <w:rPr>
          <w:rFonts w:asciiTheme="minorEastAsia" w:eastAsiaTheme="minorEastAsia" w:hAnsiTheme="minorEastAsia" w:hint="eastAsia"/>
          <w:bCs/>
          <w:color w:val="000000"/>
          <w:sz w:val="24"/>
          <w:szCs w:val="24"/>
        </w:rPr>
        <w:t>基金的开户费用、账户维护费用；</w:t>
      </w:r>
    </w:p>
    <w:p w:rsidR="00AA3326">
      <w:pPr>
        <w:spacing w:line="360" w:lineRule="auto"/>
        <w:ind w:firstLine="480" w:firstLineChars="200"/>
        <w:rPr>
          <w:rFonts w:ascii="宋体" w:hAnsi="宋体" w:hint="eastAsia"/>
          <w:bCs/>
          <w:color w:val="000000"/>
          <w:sz w:val="24"/>
          <w:szCs w:val="24"/>
        </w:rPr>
      </w:pPr>
      <w:r>
        <w:rPr>
          <w:rFonts w:asciiTheme="minorEastAsia" w:eastAsiaTheme="minorEastAsia" w:hAnsiTheme="minorEastAsia"/>
          <w:bCs/>
          <w:color w:val="000000"/>
          <w:sz w:val="24"/>
          <w:szCs w:val="24"/>
        </w:rPr>
        <w:t>10</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按照国家有关规定和《基金合同》约定，可以在</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中列支的其他费用。</w:t>
      </w:r>
      <w:bookmarkStart w:id="476" w:name="_Hlk34407586"/>
    </w:p>
    <w:p w:rsidR="00AA3326">
      <w:pPr>
        <w:spacing w:line="360" w:lineRule="auto"/>
        <w:ind w:firstLine="480" w:firstLineChars="200"/>
        <w:rPr>
          <w:rFonts w:asciiTheme="minorEastAsia" w:eastAsiaTheme="minorEastAsia" w:hAnsiTheme="minorEastAsia" w:hint="eastAsia"/>
          <w:bCs/>
          <w:color w:val="000000"/>
          <w:sz w:val="24"/>
          <w:szCs w:val="24"/>
        </w:rPr>
      </w:pPr>
      <w:bookmarkEnd w:id="476"/>
      <w:r>
        <w:rPr>
          <w:rFonts w:asciiTheme="minorEastAsia" w:eastAsiaTheme="minorEastAsia" w:hAnsiTheme="minorEastAsia"/>
          <w:bCs/>
          <w:color w:val="000000"/>
          <w:sz w:val="24"/>
          <w:szCs w:val="24"/>
        </w:rPr>
        <w:t>二、</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费用计提方法、计提标准和支付方式</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77" w:name="_Hlk197517991"/>
      <w:r>
        <w:rPr>
          <w:rFonts w:asciiTheme="minorEastAsia" w:eastAsiaTheme="minorEastAsia" w:hAnsiTheme="minorEastAsia"/>
          <w:bCs/>
          <w:color w:val="000000"/>
          <w:sz w:val="24"/>
          <w:szCs w:val="24"/>
        </w:rPr>
        <w:t xml:space="preserve">1、基金管理人的管理费 </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78" w:name="OLE_LINK50"/>
      <w:bookmarkStart w:id="479" w:name="OLE_LINK57"/>
      <w:bookmarkStart w:id="480" w:name="OLE_LINK51"/>
      <w:r>
        <w:rPr>
          <w:rFonts w:asciiTheme="minorEastAsia" w:eastAsiaTheme="minorEastAsia" w:hAnsiTheme="minorEastAsia"/>
          <w:bCs/>
          <w:color w:val="000000"/>
          <w:sz w:val="24"/>
          <w:szCs w:val="24"/>
        </w:rPr>
        <w:t>本基金的管理费按前一日基金资产净值</w:t>
      </w:r>
      <w:bookmarkEnd w:id="478"/>
      <w:bookmarkEnd w:id="479"/>
      <w:bookmarkEnd w:id="480"/>
      <w:r>
        <w:rPr>
          <w:rFonts w:asciiTheme="minorEastAsia" w:eastAsiaTheme="minorEastAsia" w:hAnsiTheme="minorEastAsia"/>
          <w:bCs/>
          <w:color w:val="000000"/>
          <w:sz w:val="24"/>
          <w:szCs w:val="24"/>
        </w:rPr>
        <w:t>的1</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年费率计提。管理费的计算方法如下：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H＝E×1%÷当年天数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H为每日应计提的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管理费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E为前一日的基金资产净值</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81" w:name="_Hlk197686029"/>
      <w:r>
        <w:rPr>
          <w:rFonts w:asciiTheme="minorEastAsia" w:eastAsiaTheme="minorEastAsia" w:hAnsiTheme="minorEastAsia"/>
          <w:bCs/>
          <w:color w:val="000000"/>
          <w:sz w:val="24"/>
          <w:szCs w:val="24"/>
        </w:rPr>
        <w:t>基金管理费每日计算，逐日累计至每月月末，按月支付，</w:t>
      </w:r>
      <w:r>
        <w:rPr>
          <w:rFonts w:asciiTheme="minorEastAsia" w:eastAsiaTheme="minorEastAsia" w:hAnsiTheme="minorEastAsia" w:hint="eastAsia"/>
          <w:bCs/>
          <w:color w:val="000000"/>
          <w:sz w:val="24"/>
          <w:szCs w:val="24"/>
        </w:rPr>
        <w:t>由基金托管人根据与基金管理人核对一致的财务数据，自动在月初第</w:t>
      </w: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个工作日按照指定的账户路</w:t>
      </w:r>
      <w:bookmarkStart w:id="482" w:name="OLE_LINK55"/>
      <w:bookmarkStart w:id="483" w:name="OLE_LINK56"/>
      <w:r>
        <w:rPr>
          <w:rFonts w:asciiTheme="minorEastAsia" w:eastAsiaTheme="minorEastAsia" w:hAnsiTheme="minorEastAsia" w:hint="eastAsia"/>
          <w:bCs/>
          <w:color w:val="000000"/>
          <w:sz w:val="24"/>
          <w:szCs w:val="24"/>
        </w:rPr>
        <w:t>径进行资金支付，基金管理人无需再出具资金划拨指令。若遇法定节假日、休息日等，支付日期顺延。费用自动扣划后，基金管理人应进行核对，如发现数据不符，及时联系基金托管人协商解决。</w:t>
      </w:r>
      <w:bookmarkEnd w:id="482"/>
      <w:bookmarkEnd w:id="483"/>
    </w:p>
    <w:p w:rsidR="00AA3326">
      <w:pPr>
        <w:spacing w:line="360" w:lineRule="auto"/>
        <w:ind w:firstLine="480"/>
        <w:rPr>
          <w:rFonts w:asciiTheme="minorEastAsia" w:eastAsiaTheme="minorEastAsia" w:hAnsiTheme="minorEastAsia" w:hint="eastAsia"/>
          <w:bCs/>
          <w:color w:val="000000"/>
          <w:sz w:val="24"/>
          <w:szCs w:val="24"/>
        </w:rPr>
      </w:pPr>
      <w:bookmarkEnd w:id="477"/>
      <w:r>
        <w:rPr>
          <w:rFonts w:asciiTheme="minorEastAsia" w:eastAsiaTheme="minorEastAsia" w:hAnsiTheme="minorEastAsia"/>
          <w:bCs/>
          <w:color w:val="000000"/>
          <w:sz w:val="24"/>
          <w:szCs w:val="24"/>
        </w:rPr>
        <w:t>2、基金托管人的托管费</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84" w:name="_Hlk197518008"/>
      <w:r>
        <w:rPr>
          <w:rFonts w:asciiTheme="minorEastAsia" w:eastAsiaTheme="minorEastAsia" w:hAnsiTheme="minorEastAsia"/>
          <w:bCs/>
          <w:color w:val="000000"/>
          <w:sz w:val="24"/>
          <w:szCs w:val="24"/>
        </w:rPr>
        <w:t>本基金的托管费按前一日基金资产净值的</w:t>
      </w:r>
      <w:bookmarkStart w:id="485" w:name="_Hlk197938957"/>
      <w:r>
        <w:rPr>
          <w:rFonts w:asciiTheme="minorEastAsia" w:eastAsiaTheme="minorEastAsia" w:hAnsiTheme="minorEastAsia" w:hint="eastAsia"/>
          <w:bCs/>
          <w:color w:val="000000"/>
          <w:sz w:val="24"/>
          <w:szCs w:val="24"/>
        </w:rPr>
        <w:t>0</w:t>
      </w:r>
      <w:r>
        <w:rPr>
          <w:rFonts w:asciiTheme="minorEastAsia" w:eastAsiaTheme="minorEastAsia" w:hAnsiTheme="minorEastAsia"/>
          <w:bCs/>
          <w:color w:val="000000"/>
          <w:sz w:val="24"/>
          <w:szCs w:val="24"/>
        </w:rPr>
        <w:t>.</w:t>
      </w:r>
      <w:bookmarkEnd w:id="485"/>
      <w:r>
        <w:rPr>
          <w:rFonts w:asciiTheme="minorEastAsia" w:eastAsiaTheme="minorEastAsia" w:hAnsiTheme="minorEastAsia"/>
          <w:bCs/>
          <w:color w:val="000000"/>
          <w:sz w:val="24"/>
          <w:szCs w:val="24"/>
        </w:rPr>
        <w:t>2%的年费率计提。托管费的计算方法如下：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H＝E×</w:t>
      </w:r>
      <w:r>
        <w:rPr>
          <w:rFonts w:asciiTheme="minorEastAsia" w:eastAsiaTheme="minorEastAsia" w:hAnsiTheme="minorEastAsia" w:hint="eastAsia"/>
          <w:bCs/>
          <w:color w:val="000000"/>
          <w:sz w:val="24"/>
          <w:szCs w:val="24"/>
        </w:rPr>
        <w:t>0</w:t>
      </w:r>
      <w:r>
        <w:rPr>
          <w:rFonts w:asciiTheme="minorEastAsia" w:eastAsiaTheme="minorEastAsia" w:hAnsiTheme="minorEastAsia"/>
          <w:bCs/>
          <w:color w:val="000000"/>
          <w:sz w:val="24"/>
          <w:szCs w:val="24"/>
        </w:rPr>
        <w:t>.2%÷当年天数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H为每日应计提的</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托管费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E为前一日的基金资产净值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托管费每日计算，逐日累计至每月月末，按月支付，</w:t>
      </w:r>
      <w:r>
        <w:rPr>
          <w:rFonts w:asciiTheme="minorEastAsia" w:eastAsiaTheme="minorEastAsia" w:hAnsiTheme="minorEastAsia" w:hint="eastAsia"/>
          <w:bCs/>
          <w:color w:val="000000"/>
          <w:sz w:val="24"/>
          <w:szCs w:val="24"/>
        </w:rPr>
        <w:t>由基金托管人根据与基金管理人核对一致的财务数据，自动在月初第</w:t>
      </w: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个工作日按照指定的账户路径进行资金支付，基金管理人无需再出具资金划拨指令。若遇法定节假日、休息日等，支付日期顺延。费用自动扣划后，基金管理人应进行核对，如发现数据不符，及时联系基金托管人协商解决</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484"/>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销售服务费</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86" w:name="_Hlk197518040"/>
      <w:r>
        <w:rPr>
          <w:rFonts w:asciiTheme="minorEastAsia" w:eastAsiaTheme="minorEastAsia" w:hAnsiTheme="minorEastAsia" w:hint="eastAsia"/>
          <w:bCs/>
          <w:color w:val="000000"/>
          <w:sz w:val="24"/>
          <w:szCs w:val="24"/>
        </w:rPr>
        <w:t>本基金</w:t>
      </w:r>
      <w:r>
        <w:rPr>
          <w:rFonts w:asciiTheme="minorEastAsia" w:eastAsiaTheme="minorEastAsia" w:hAnsiTheme="minorEastAsia"/>
          <w:bCs/>
          <w:color w:val="000000"/>
          <w:sz w:val="24"/>
          <w:szCs w:val="24"/>
        </w:rPr>
        <w:t>A</w:t>
      </w:r>
      <w:r>
        <w:rPr>
          <w:rFonts w:asciiTheme="minorEastAsia" w:eastAsiaTheme="minorEastAsia" w:hAnsiTheme="minorEastAsia" w:hint="eastAsia"/>
          <w:bCs/>
          <w:color w:val="000000"/>
          <w:sz w:val="24"/>
          <w:szCs w:val="24"/>
        </w:rPr>
        <w:t>类基金份额不收取销售服务费，</w:t>
      </w:r>
      <w:r>
        <w:rPr>
          <w:rFonts w:asciiTheme="minorEastAsia" w:eastAsiaTheme="minorEastAsia" w:hAnsiTheme="minorEastAsia"/>
          <w:bCs/>
          <w:color w:val="000000"/>
          <w:sz w:val="24"/>
          <w:szCs w:val="24"/>
        </w:rPr>
        <w:t>C</w:t>
      </w:r>
      <w:r>
        <w:rPr>
          <w:rFonts w:asciiTheme="minorEastAsia" w:eastAsiaTheme="minorEastAsia" w:hAnsiTheme="minorEastAsia" w:hint="eastAsia"/>
          <w:bCs/>
          <w:color w:val="000000"/>
          <w:sz w:val="24"/>
          <w:szCs w:val="24"/>
        </w:rPr>
        <w:t>类基金份额的销售服务费年费率为0</w:t>
      </w:r>
      <w:r>
        <w:rPr>
          <w:rFonts w:asciiTheme="minorEastAsia" w:eastAsiaTheme="minorEastAsia" w:hAnsiTheme="minorEastAsia"/>
          <w:bCs/>
          <w:color w:val="000000"/>
          <w:sz w:val="24"/>
          <w:szCs w:val="24"/>
        </w:rPr>
        <w:t>.4%</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C</w:t>
      </w:r>
      <w:r>
        <w:rPr>
          <w:rFonts w:asciiTheme="minorEastAsia" w:eastAsiaTheme="minorEastAsia" w:hAnsiTheme="minorEastAsia" w:hint="eastAsia"/>
          <w:bCs/>
          <w:color w:val="000000"/>
          <w:sz w:val="24"/>
          <w:szCs w:val="24"/>
        </w:rPr>
        <w:t>类基金份额的销售服务费按前一日</w:t>
      </w:r>
      <w:r>
        <w:rPr>
          <w:rFonts w:asciiTheme="minorEastAsia" w:eastAsiaTheme="minorEastAsia" w:hAnsiTheme="minorEastAsia"/>
          <w:bCs/>
          <w:color w:val="000000"/>
          <w:sz w:val="24"/>
          <w:szCs w:val="24"/>
        </w:rPr>
        <w:t>C</w:t>
      </w:r>
      <w:r>
        <w:rPr>
          <w:rFonts w:asciiTheme="minorEastAsia" w:eastAsiaTheme="minorEastAsia" w:hAnsiTheme="minorEastAsia" w:hint="eastAsia"/>
          <w:bCs/>
          <w:color w:val="000000"/>
          <w:sz w:val="24"/>
          <w:szCs w:val="24"/>
        </w:rPr>
        <w:t>类基金份额资产净值的0</w:t>
      </w:r>
      <w:r>
        <w:rPr>
          <w:rFonts w:asciiTheme="minorEastAsia" w:eastAsiaTheme="minorEastAsia" w:hAnsiTheme="minorEastAsia"/>
          <w:bCs/>
          <w:color w:val="000000"/>
          <w:sz w:val="24"/>
          <w:szCs w:val="24"/>
        </w:rPr>
        <w:t>.4%</w:t>
      </w:r>
      <w:r>
        <w:rPr>
          <w:rFonts w:asciiTheme="minorEastAsia" w:eastAsiaTheme="minorEastAsia" w:hAnsiTheme="minorEastAsia" w:hint="eastAsia"/>
          <w:bCs/>
          <w:color w:val="000000"/>
          <w:sz w:val="24"/>
          <w:szCs w:val="24"/>
        </w:rPr>
        <w:t>年费率计提，计算方法如下：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H</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E×</w:t>
      </w:r>
      <w:r>
        <w:rPr>
          <w:rFonts w:asciiTheme="minorEastAsia" w:eastAsiaTheme="minorEastAsia" w:hAnsiTheme="minorEastAsia" w:hint="eastAsia"/>
          <w:bCs/>
          <w:color w:val="000000"/>
          <w:sz w:val="24"/>
          <w:szCs w:val="24"/>
        </w:rPr>
        <w:t>年销售服务费率</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当年天数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 xml:space="preserve">H </w:t>
      </w:r>
      <w:r>
        <w:rPr>
          <w:rFonts w:asciiTheme="minorEastAsia" w:eastAsiaTheme="minorEastAsia" w:hAnsiTheme="minorEastAsia" w:hint="eastAsia"/>
          <w:bCs/>
          <w:color w:val="000000"/>
          <w:sz w:val="24"/>
          <w:szCs w:val="24"/>
        </w:rPr>
        <w:t>为</w:t>
      </w:r>
      <w:r>
        <w:rPr>
          <w:rFonts w:asciiTheme="minorEastAsia" w:eastAsiaTheme="minorEastAsia" w:hAnsiTheme="minorEastAsia"/>
          <w:bCs/>
          <w:color w:val="000000"/>
          <w:sz w:val="24"/>
          <w:szCs w:val="24"/>
        </w:rPr>
        <w:t xml:space="preserve">C </w:t>
      </w:r>
      <w:r>
        <w:rPr>
          <w:rFonts w:asciiTheme="minorEastAsia" w:eastAsiaTheme="minorEastAsia" w:hAnsiTheme="minorEastAsia" w:hint="eastAsia"/>
          <w:bCs/>
          <w:color w:val="000000"/>
          <w:sz w:val="24"/>
          <w:szCs w:val="24"/>
        </w:rPr>
        <w:t>类基金份额每日应计提的销售服务费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 xml:space="preserve">E </w:t>
      </w:r>
      <w:r>
        <w:rPr>
          <w:rFonts w:asciiTheme="minorEastAsia" w:eastAsiaTheme="minorEastAsia" w:hAnsiTheme="minorEastAsia" w:hint="eastAsia"/>
          <w:bCs/>
          <w:color w:val="000000"/>
          <w:sz w:val="24"/>
          <w:szCs w:val="24"/>
        </w:rPr>
        <w:t>为</w:t>
      </w:r>
      <w:r>
        <w:rPr>
          <w:rFonts w:asciiTheme="minorEastAsia" w:eastAsiaTheme="minorEastAsia" w:hAnsiTheme="minorEastAsia"/>
          <w:bCs/>
          <w:color w:val="000000"/>
          <w:sz w:val="24"/>
          <w:szCs w:val="24"/>
        </w:rPr>
        <w:t xml:space="preserve">C </w:t>
      </w:r>
      <w:r>
        <w:rPr>
          <w:rFonts w:asciiTheme="minorEastAsia" w:eastAsiaTheme="minorEastAsia" w:hAnsiTheme="minorEastAsia" w:hint="eastAsia"/>
          <w:bCs/>
          <w:color w:val="000000"/>
          <w:sz w:val="24"/>
          <w:szCs w:val="24"/>
        </w:rPr>
        <w:t>类基金份额前一日基金资产净值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销售服务费每日计算，逐日累计至每月月末，按月支付，由基金托管人根据与基金管理人核对一致的财务数据，自动在月初第</w:t>
      </w: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个工作日按照指定的账户路径进行资金支付，基金管理人无需再出具资金划拨指令。若遇法定节假日、休息日等，支付日期顺延。费用自动扣划后，基金管理人应进行核对，如发现数据不符，及时联系基金托管人协商解决。销售服务费由基金管理人按照相关合同规定支付给基金销售机构，或一次性支付给基金管理人并由基金管理人代付给各基金销售机构。</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481"/>
      <w:r>
        <w:rPr>
          <w:rFonts w:asciiTheme="minorEastAsia" w:eastAsiaTheme="minorEastAsia" w:hAnsiTheme="minorEastAsia" w:hint="eastAsia"/>
          <w:bCs/>
          <w:color w:val="000000"/>
          <w:sz w:val="24"/>
          <w:szCs w:val="24"/>
        </w:rPr>
        <w:t>销售服务费主要用于支付销售机构佣金、以及基金管理人的基金行销广告费、促销活动费、基金份额持有人服务费等。</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486"/>
      <w:r>
        <w:rPr>
          <w:rFonts w:asciiTheme="minorEastAsia" w:eastAsiaTheme="minorEastAsia" w:hAnsiTheme="minorEastAsia"/>
          <w:bCs/>
          <w:color w:val="000000"/>
          <w:sz w:val="24"/>
          <w:szCs w:val="24"/>
        </w:rPr>
        <w:t>4</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上述“一、</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费用的种类</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中第4－10项费用，根据有关法规及相应协议规定，按费用实际支出金额列入当期费用，由基金托管人从</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中支付</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三、不列入</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费用的项目</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下列费用不列入</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487" w:name="_Hlk197518099"/>
      <w:r>
        <w:rPr>
          <w:rFonts w:asciiTheme="minorEastAsia" w:eastAsiaTheme="minorEastAsia" w:hAnsiTheme="minorEastAsia"/>
          <w:bCs/>
          <w:color w:val="000000"/>
          <w:sz w:val="24"/>
          <w:szCs w:val="24"/>
        </w:rPr>
        <w:t>1、基金管理人和基金托管人因未履行或未完全履行义务导致的费用支出或</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的损失；</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2、基金管理人和基金托管人处理与</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运作无关的事项发生的费用；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《基金合同》生效前的相关费用，按当时有效的</w:t>
      </w:r>
      <w:r>
        <w:rPr>
          <w:rFonts w:asciiTheme="minorEastAsia" w:eastAsiaTheme="minorEastAsia" w:hAnsiTheme="minorEastAsia" w:hint="eastAsia"/>
          <w:bCs/>
          <w:color w:val="000000"/>
          <w:sz w:val="24"/>
        </w:rPr>
        <w:t>《</w:t>
      </w:r>
      <w:bookmarkStart w:id="488" w:name="_Hlk196898595"/>
      <w:r>
        <w:rPr>
          <w:rFonts w:ascii="宋体" w:hAnsi="宋体"/>
          <w:bCs/>
          <w:color w:val="000000"/>
          <w:sz w:val="24"/>
          <w:szCs w:val="24"/>
        </w:rPr>
        <w:t>海通策略优选混合型集合资产管理计划</w:t>
      </w:r>
      <w:bookmarkEnd w:id="488"/>
      <w:r>
        <w:rPr>
          <w:rFonts w:hint="eastAsia"/>
          <w:bCs/>
          <w:color w:val="000000"/>
          <w:sz w:val="24"/>
        </w:rPr>
        <w:t>资产管理合同</w:t>
      </w:r>
      <w:r>
        <w:rPr>
          <w:rFonts w:asciiTheme="minorEastAsia" w:eastAsiaTheme="minorEastAsia" w:hAnsiTheme="minorEastAsia" w:hint="eastAsia"/>
          <w:bCs/>
          <w:color w:val="000000"/>
          <w:sz w:val="24"/>
        </w:rPr>
        <w:t>》</w:t>
      </w:r>
      <w:r>
        <w:rPr>
          <w:rFonts w:asciiTheme="minorEastAsia" w:eastAsiaTheme="minorEastAsia" w:hAnsiTheme="minorEastAsia" w:hint="eastAsia"/>
          <w:bCs/>
          <w:color w:val="000000"/>
          <w:sz w:val="24"/>
          <w:szCs w:val="24"/>
        </w:rPr>
        <w:t>的约定支付；</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其他根据相关法律法规及中国证监会的有关规定不得列入</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费用的项目。</w:t>
      </w:r>
      <w:bookmarkStart w:id="489" w:name="_Hlt88827255"/>
      <w:bookmarkEnd w:id="489"/>
    </w:p>
    <w:p w:rsidR="00AA3326">
      <w:pPr>
        <w:spacing w:line="360" w:lineRule="auto"/>
        <w:ind w:firstLine="480" w:firstLineChars="200"/>
        <w:rPr>
          <w:rFonts w:asciiTheme="minorEastAsia" w:eastAsiaTheme="minorEastAsia" w:hAnsiTheme="minorEastAsia" w:hint="eastAsia"/>
          <w:bCs/>
          <w:color w:val="000000"/>
          <w:sz w:val="24"/>
          <w:szCs w:val="24"/>
        </w:rPr>
      </w:pPr>
      <w:bookmarkEnd w:id="487"/>
      <w:r>
        <w:rPr>
          <w:rFonts w:asciiTheme="minorEastAsia" w:eastAsiaTheme="minorEastAsia" w:hAnsiTheme="minorEastAsia"/>
          <w:bCs/>
          <w:color w:val="000000"/>
          <w:sz w:val="24"/>
          <w:szCs w:val="24"/>
        </w:rPr>
        <w:t>四、</w:t>
      </w:r>
      <w:r>
        <w:rPr>
          <w:rFonts w:asciiTheme="minorEastAsia" w:eastAsiaTheme="minorEastAsia" w:hAnsiTheme="minorEastAsia" w:hint="eastAsia"/>
          <w:bCs/>
          <w:color w:val="000000"/>
          <w:sz w:val="24"/>
          <w:szCs w:val="24"/>
        </w:rPr>
        <w:t>实施</w:t>
      </w:r>
      <w:r>
        <w:rPr>
          <w:rFonts w:asciiTheme="minorEastAsia" w:eastAsiaTheme="minorEastAsia" w:hAnsiTheme="minorEastAsia" w:hint="eastAsia"/>
          <w:bCs/>
          <w:color w:val="000000"/>
          <w:sz w:val="24"/>
          <w:szCs w:val="24"/>
        </w:rPr>
        <w:t>侧袋机制</w:t>
      </w:r>
      <w:r>
        <w:rPr>
          <w:rFonts w:asciiTheme="minorEastAsia" w:eastAsiaTheme="minorEastAsia" w:hAnsiTheme="minorEastAsia" w:hint="eastAsia"/>
          <w:bCs/>
          <w:color w:val="000000"/>
          <w:sz w:val="24"/>
          <w:szCs w:val="24"/>
        </w:rPr>
        <w:t>期间的基金费用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本基金实施</w:t>
      </w:r>
      <w:r>
        <w:rPr>
          <w:rFonts w:asciiTheme="minorEastAsia" w:eastAsiaTheme="minorEastAsia" w:hAnsiTheme="minorEastAsia" w:hint="eastAsia"/>
          <w:bCs/>
          <w:color w:val="000000"/>
          <w:sz w:val="24"/>
          <w:szCs w:val="24"/>
        </w:rPr>
        <w:t>侧袋机制</w:t>
      </w:r>
      <w:r>
        <w:rPr>
          <w:rFonts w:asciiTheme="minorEastAsia" w:eastAsiaTheme="minorEastAsia" w:hAnsiTheme="minorEastAsia" w:hint="eastAsia"/>
          <w:bCs/>
          <w:color w:val="000000"/>
          <w:sz w:val="24"/>
          <w:szCs w:val="24"/>
        </w:rPr>
        <w:t>的，</w:t>
      </w:r>
      <w:r>
        <w:rPr>
          <w:rFonts w:asciiTheme="minorEastAsia" w:eastAsiaTheme="minorEastAsia" w:hAnsiTheme="minorEastAsia" w:hint="eastAsia"/>
          <w:bCs/>
          <w:color w:val="000000"/>
          <w:sz w:val="24"/>
          <w:szCs w:val="24"/>
        </w:rPr>
        <w:t>与侧袋账户</w:t>
      </w:r>
      <w:r>
        <w:rPr>
          <w:rFonts w:asciiTheme="minorEastAsia" w:eastAsiaTheme="minorEastAsia" w:hAnsiTheme="minorEastAsia" w:hint="eastAsia"/>
          <w:bCs/>
          <w:color w:val="000000"/>
          <w:sz w:val="24"/>
          <w:szCs w:val="24"/>
        </w:rPr>
        <w:t>有关的费用可以</w:t>
      </w:r>
      <w:r>
        <w:rPr>
          <w:rFonts w:asciiTheme="minorEastAsia" w:eastAsiaTheme="minorEastAsia" w:hAnsiTheme="minorEastAsia" w:hint="eastAsia"/>
          <w:bCs/>
          <w:color w:val="000000"/>
          <w:sz w:val="24"/>
          <w:szCs w:val="24"/>
        </w:rPr>
        <w:t>从侧袋账户</w:t>
      </w:r>
      <w:r>
        <w:rPr>
          <w:rFonts w:asciiTheme="minorEastAsia" w:eastAsiaTheme="minorEastAsia" w:hAnsiTheme="minorEastAsia" w:hint="eastAsia"/>
          <w:bCs/>
          <w:color w:val="000000"/>
          <w:sz w:val="24"/>
          <w:szCs w:val="24"/>
        </w:rPr>
        <w:t>中列支，但应</w:t>
      </w:r>
      <w:r>
        <w:rPr>
          <w:rFonts w:asciiTheme="minorEastAsia" w:eastAsiaTheme="minorEastAsia" w:hAnsiTheme="minorEastAsia" w:hint="eastAsia"/>
          <w:bCs/>
          <w:color w:val="000000"/>
          <w:sz w:val="24"/>
          <w:szCs w:val="24"/>
        </w:rPr>
        <w:t>待侧袋</w:t>
      </w:r>
      <w:r>
        <w:rPr>
          <w:rFonts w:asciiTheme="minorEastAsia" w:eastAsiaTheme="minorEastAsia" w:hAnsiTheme="minorEastAsia" w:hint="eastAsia"/>
          <w:bCs/>
          <w:color w:val="000000"/>
          <w:sz w:val="24"/>
          <w:szCs w:val="24"/>
        </w:rPr>
        <w:t>账户资产变现后方可列支，有关费用可酌情收取或减免，但不得收取管理费，详见招募说明书的规定。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五、基金</w:t>
      </w:r>
      <w:r>
        <w:rPr>
          <w:rFonts w:asciiTheme="minorEastAsia" w:eastAsiaTheme="minorEastAsia" w:hAnsiTheme="minorEastAsia"/>
          <w:bCs/>
          <w:color w:val="000000"/>
          <w:sz w:val="24"/>
          <w:szCs w:val="24"/>
        </w:rPr>
        <w:t>税收</w:t>
      </w:r>
    </w:p>
    <w:p w:rsidR="00AA3326">
      <w:pPr>
        <w:spacing w:line="360" w:lineRule="auto"/>
        <w:ind w:firstLine="480" w:firstLineChars="200"/>
        <w:rPr>
          <w:rFonts w:asciiTheme="minorEastAsia" w:eastAsiaTheme="minorEastAsia" w:hAnsiTheme="minorEastAsia" w:hint="eastAsia"/>
          <w:bCs/>
          <w:color w:val="000000"/>
          <w:sz w:val="24"/>
          <w:szCs w:val="24"/>
        </w:rPr>
      </w:pPr>
      <w:r>
        <w:rPr>
          <w:bCs/>
          <w:color w:val="000000"/>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AA3326">
      <w:pPr>
        <w:pStyle w:val="Heading1"/>
        <w:spacing w:after="0" w:before="0"/>
        <w:jc w:val="center"/>
        <w:rPr>
          <w:rFonts w:asciiTheme="minorEastAsia" w:eastAsiaTheme="minorEastAsia" w:hAnsiTheme="minorEastAsia" w:hint="eastAsia"/>
          <w:sz w:val="30"/>
        </w:rPr>
      </w:pPr>
      <w:bookmarkStart w:id="490" w:name="_Toc92662707"/>
      <w:bookmarkStart w:id="491" w:name="_Toc93226149"/>
      <w:bookmarkStart w:id="492" w:name="_Toc139991746"/>
      <w:bookmarkStart w:id="493" w:name="_Toc128310499"/>
      <w:bookmarkStart w:id="494" w:name="_Toc141703896"/>
      <w:bookmarkStart w:id="495" w:name="_Toc22552"/>
      <w:r>
        <w:rPr>
          <w:rFonts w:asciiTheme="minorEastAsia" w:eastAsiaTheme="minorEastAsia" w:hAnsiTheme="minorEastAsia"/>
          <w:b w:val="0"/>
          <w:bCs/>
          <w:sz w:val="30"/>
        </w:rPr>
        <w:br w:type="page"/>
      </w:r>
      <w:bookmarkStart w:id="496" w:name="_Toc178"/>
      <w:bookmarkStart w:id="497" w:name="_Toc15351"/>
      <w:bookmarkStart w:id="498" w:name="_Toc25883"/>
      <w:bookmarkStart w:id="499" w:name="_Toc19558"/>
      <w:bookmarkStart w:id="500" w:name="_Toc534140379"/>
      <w:bookmarkStart w:id="501" w:name="_Toc21829"/>
      <w:bookmarkStart w:id="502" w:name="_Toc12761"/>
      <w:bookmarkStart w:id="503" w:name="_Toc20052"/>
      <w:bookmarkStart w:id="504" w:name="_Toc207633414"/>
      <w:bookmarkStart w:id="505" w:name="_Toc532487741"/>
      <w:bookmarkStart w:id="506" w:name="_Toc3656"/>
      <w:bookmarkStart w:id="507" w:name="_Toc1617"/>
      <w:bookmarkStart w:id="508" w:name="_Toc15525"/>
      <w:bookmarkEnd w:id="475"/>
      <w:r>
        <w:rPr>
          <w:rFonts w:asciiTheme="minorEastAsia" w:eastAsiaTheme="minorEastAsia" w:hAnsiTheme="minorEastAsia"/>
          <w:sz w:val="30"/>
        </w:rPr>
        <w:t xml:space="preserve">第十六部分  </w:t>
      </w:r>
      <w:bookmarkEnd w:id="490"/>
      <w:bookmarkEnd w:id="491"/>
      <w:r>
        <w:rPr>
          <w:rFonts w:asciiTheme="minorEastAsia" w:eastAsiaTheme="minorEastAsia" w:hAnsiTheme="minorEastAsia" w:hint="eastAsia"/>
          <w:sz w:val="30"/>
        </w:rPr>
        <w:t>基金</w:t>
      </w:r>
      <w:r>
        <w:rPr>
          <w:rFonts w:asciiTheme="minorEastAsia" w:eastAsiaTheme="minorEastAsia" w:hAnsiTheme="minorEastAsia"/>
          <w:sz w:val="30"/>
        </w:rPr>
        <w:t>的收益与分配</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AA3326">
      <w:pPr>
        <w:rPr>
          <w:rFonts w:asciiTheme="minorEastAsia" w:eastAsiaTheme="minorEastAsia" w:hAnsiTheme="minorEastAsia" w:hint="eastAsia"/>
          <w:bCs/>
          <w:color w:val="000000"/>
        </w:rPr>
      </w:pP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一、基金利润的构成</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基金利润指</w:t>
      </w:r>
      <w:r>
        <w:rPr>
          <w:rFonts w:hint="eastAsia"/>
          <w:bCs/>
          <w:color w:val="000000"/>
          <w:sz w:val="24"/>
        </w:rPr>
        <w:t>基金</w:t>
      </w:r>
      <w:r>
        <w:rPr>
          <w:rFonts w:asciiTheme="minorEastAsia" w:eastAsiaTheme="minorEastAsia" w:hAnsiTheme="minorEastAsia"/>
          <w:bCs/>
          <w:color w:val="000000"/>
          <w:sz w:val="24"/>
          <w:szCs w:val="24"/>
        </w:rPr>
        <w:t>利息收入、投资收益、公允价值变动收益和其他收入扣除相关费用后的余额，</w:t>
      </w:r>
      <w:r>
        <w:rPr>
          <w:rFonts w:hint="eastAsia"/>
          <w:bCs/>
          <w:color w:val="000000"/>
          <w:sz w:val="24"/>
        </w:rPr>
        <w:t>基金</w:t>
      </w:r>
      <w:r>
        <w:rPr>
          <w:rFonts w:asciiTheme="minorEastAsia" w:eastAsiaTheme="minorEastAsia" w:hAnsiTheme="minorEastAsia"/>
          <w:bCs/>
          <w:color w:val="000000"/>
          <w:sz w:val="24"/>
          <w:szCs w:val="24"/>
        </w:rPr>
        <w:t>已实现收益指基金利润减去公允价值变动收益后的余额。</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二、基金可供分配利润</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基金可供分配利润指截至收益分配基准日基金未分配利润与未分配利润中已实现收益的孰低数。</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三、基金收益分配原则</w:t>
      </w:r>
    </w:p>
    <w:p w:rsidR="00AA3326">
      <w:pPr>
        <w:spacing w:line="360" w:lineRule="auto"/>
        <w:ind w:firstLine="540" w:firstLineChars="225"/>
        <w:rPr>
          <w:rFonts w:asciiTheme="minorEastAsia" w:eastAsiaTheme="minorEastAsia" w:hAnsiTheme="minorEastAsia" w:hint="eastAsia"/>
          <w:bCs/>
          <w:color w:val="000000"/>
          <w:sz w:val="24"/>
          <w:szCs w:val="24"/>
        </w:rPr>
      </w:pPr>
      <w:bookmarkStart w:id="509" w:name="_Hlk197517429"/>
      <w:r>
        <w:rPr>
          <w:rFonts w:asciiTheme="minorEastAsia" w:eastAsiaTheme="minorEastAsia" w:hAnsiTheme="minorEastAsia"/>
          <w:bCs/>
          <w:color w:val="000000"/>
          <w:sz w:val="24"/>
          <w:szCs w:val="24"/>
        </w:rPr>
        <w:t>1、在符合有关基金</w:t>
      </w:r>
      <w:r>
        <w:rPr>
          <w:rFonts w:asciiTheme="minorEastAsia" w:eastAsiaTheme="minorEastAsia" w:hAnsiTheme="minorEastAsia" w:hint="eastAsia"/>
          <w:bCs/>
          <w:color w:val="000000"/>
          <w:sz w:val="24"/>
          <w:szCs w:val="24"/>
        </w:rPr>
        <w:t>收益分配</w:t>
      </w:r>
      <w:r>
        <w:rPr>
          <w:rFonts w:asciiTheme="minorEastAsia" w:eastAsiaTheme="minorEastAsia" w:hAnsiTheme="minorEastAsia"/>
          <w:bCs/>
          <w:color w:val="000000"/>
          <w:sz w:val="24"/>
          <w:szCs w:val="24"/>
        </w:rPr>
        <w:t>条件的前提下，</w:t>
      </w:r>
      <w:bookmarkStart w:id="510" w:name="_Hlk197521262"/>
      <w:r>
        <w:rPr>
          <w:rFonts w:hint="eastAsia"/>
          <w:bCs/>
          <w:color w:val="000000"/>
          <w:sz w:val="24"/>
        </w:rPr>
        <w:t>具体分红方案</w:t>
      </w:r>
      <w:r>
        <w:rPr>
          <w:rFonts w:hint="eastAsia"/>
          <w:bCs/>
          <w:color w:val="000000"/>
          <w:sz w:val="24"/>
        </w:rPr>
        <w:t>见基金</w:t>
      </w:r>
      <w:r>
        <w:rPr>
          <w:rFonts w:hint="eastAsia"/>
          <w:bCs/>
          <w:color w:val="000000"/>
          <w:sz w:val="24"/>
        </w:rPr>
        <w:t>管理人根据</w:t>
      </w:r>
      <w:r>
        <w:rPr>
          <w:rFonts w:asciiTheme="minorEastAsia" w:eastAsiaTheme="minorEastAsia" w:hAnsiTheme="minorEastAsia"/>
          <w:bCs/>
          <w:color w:val="000000"/>
          <w:sz w:val="24"/>
          <w:szCs w:val="24"/>
        </w:rPr>
        <w:t>基金</w:t>
      </w:r>
      <w:r>
        <w:rPr>
          <w:rFonts w:hint="eastAsia"/>
          <w:bCs/>
          <w:color w:val="000000"/>
          <w:sz w:val="24"/>
        </w:rPr>
        <w:t>运作情况届时不定期发布的相关分红公告，</w:t>
      </w:r>
      <w:bookmarkEnd w:id="510"/>
      <w:r>
        <w:rPr>
          <w:rFonts w:asciiTheme="minorEastAsia" w:eastAsiaTheme="minorEastAsia" w:hAnsiTheme="minorEastAsia"/>
          <w:bCs/>
          <w:color w:val="000000"/>
          <w:sz w:val="24"/>
          <w:szCs w:val="24"/>
        </w:rPr>
        <w:t>若《基金合同》生效不满3个月可不进行收益分配；</w:t>
      </w:r>
    </w:p>
    <w:p w:rsidR="00AA3326">
      <w:pPr>
        <w:spacing w:line="360" w:lineRule="auto"/>
        <w:ind w:firstLine="540" w:firstLineChars="225"/>
        <w:rPr>
          <w:rFonts w:asciiTheme="minorEastAsia" w:eastAsiaTheme="minorEastAsia" w:hAnsiTheme="minorEastAsia" w:hint="eastAsia"/>
          <w:bCs/>
          <w:color w:val="000000"/>
          <w:sz w:val="24"/>
          <w:szCs w:val="24"/>
        </w:rPr>
      </w:pPr>
      <w:bookmarkStart w:id="511" w:name="_Hlk197521313"/>
      <w:r>
        <w:rPr>
          <w:rFonts w:asciiTheme="minorEastAsia" w:eastAsiaTheme="minorEastAsia" w:hAnsiTheme="minorEastAsia"/>
          <w:bCs/>
          <w:color w:val="000000"/>
          <w:sz w:val="24"/>
          <w:szCs w:val="24"/>
        </w:rPr>
        <w:t>2、本基金收益分配方式分两种：现金分红与红利再投资，投资者可选择现金红利或将现金红利自动转为</w:t>
      </w:r>
      <w:r>
        <w:rPr>
          <w:rFonts w:asciiTheme="minorEastAsia" w:eastAsiaTheme="minorEastAsia" w:hAnsiTheme="minorEastAsia" w:hint="eastAsia"/>
          <w:bCs/>
          <w:color w:val="000000"/>
          <w:sz w:val="24"/>
          <w:szCs w:val="24"/>
        </w:rPr>
        <w:t>该类</w:t>
      </w:r>
      <w:r>
        <w:rPr>
          <w:rFonts w:asciiTheme="minorEastAsia" w:eastAsiaTheme="minorEastAsia" w:hAnsiTheme="minorEastAsia"/>
          <w:bCs/>
          <w:color w:val="000000"/>
          <w:sz w:val="24"/>
          <w:szCs w:val="24"/>
        </w:rPr>
        <w:t>基金份额进行再投资；若投资者不选择，本基金默认的收益分配方式是现金分红；</w:t>
      </w:r>
      <w:r>
        <w:rPr>
          <w:rFonts w:asciiTheme="minorEastAsia" w:eastAsiaTheme="minorEastAsia" w:hAnsiTheme="minorEastAsia" w:hint="eastAsia"/>
          <w:bCs/>
          <w:color w:val="000000"/>
          <w:sz w:val="24"/>
          <w:szCs w:val="24"/>
        </w:rPr>
        <w:t>因红利再投资转换的份额类别，与基金份额持有人在收益分配基准日持有的份额同属一个类别；如基金份额持有人持有多个类别份额的，则根据不同类别收益分配方案分别计算该类别红利再投资份额；</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3、基金收益分配后各类基金份额净值不能低于面值；即基金收益分配基准日的各类基金份额净值减去每单位该类基金份额收益分配金额后不能低于面值</w:t>
      </w:r>
      <w:r>
        <w:rPr>
          <w:rFonts w:asciiTheme="minorEastAsia" w:eastAsiaTheme="minorEastAsia" w:hAnsiTheme="minorEastAsia" w:hint="eastAsia"/>
          <w:bCs/>
          <w:color w:val="000000"/>
          <w:sz w:val="24"/>
          <w:szCs w:val="24"/>
        </w:rPr>
        <w:t>；</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w:t>
      </w:r>
      <w:bookmarkStart w:id="512" w:name="_Hlk197521303"/>
      <w:r>
        <w:rPr>
          <w:rFonts w:asciiTheme="minorEastAsia" w:eastAsiaTheme="minorEastAsia" w:hAnsiTheme="minorEastAsia" w:hint="eastAsia"/>
          <w:bCs/>
          <w:color w:val="000000"/>
          <w:sz w:val="24"/>
          <w:szCs w:val="24"/>
        </w:rPr>
        <w:t>由于本基金A类基金份额、C类基金份额的费用收取方式存在不同，各类别基金份额对应的可分配收益将有所不同</w:t>
      </w:r>
      <w:bookmarkEnd w:id="512"/>
      <w:r>
        <w:rPr>
          <w:rFonts w:asciiTheme="minorEastAsia" w:eastAsiaTheme="minorEastAsia" w:hAnsiTheme="minorEastAsia" w:hint="eastAsia"/>
          <w:bCs/>
          <w:color w:val="000000"/>
          <w:sz w:val="24"/>
          <w:szCs w:val="24"/>
        </w:rPr>
        <w:t>，本基金同一份额类别的每一份基金份额享有同等分配权</w:t>
      </w:r>
      <w:r>
        <w:rPr>
          <w:rFonts w:asciiTheme="minorEastAsia" w:eastAsiaTheme="minorEastAsia" w:hAnsiTheme="minorEastAsia"/>
          <w:bCs/>
          <w:color w:val="000000"/>
          <w:sz w:val="24"/>
          <w:szCs w:val="24"/>
        </w:rPr>
        <w:t>；</w:t>
      </w:r>
    </w:p>
    <w:p w:rsidR="00AA3326">
      <w:pPr>
        <w:spacing w:line="360" w:lineRule="auto"/>
        <w:ind w:firstLine="540" w:firstLineChars="225"/>
        <w:rPr>
          <w:rFonts w:asciiTheme="minorEastAsia" w:eastAsiaTheme="minorEastAsia" w:hAnsiTheme="minorEastAsia" w:hint="eastAsia"/>
          <w:bCs/>
          <w:color w:val="000000"/>
          <w:sz w:val="24"/>
          <w:szCs w:val="24"/>
        </w:rPr>
      </w:pPr>
      <w:bookmarkEnd w:id="511"/>
      <w:r>
        <w:rPr>
          <w:rFonts w:asciiTheme="minorEastAsia" w:eastAsiaTheme="minorEastAsia" w:hAnsiTheme="minorEastAsia"/>
          <w:bCs/>
          <w:color w:val="000000"/>
          <w:sz w:val="24"/>
          <w:szCs w:val="24"/>
        </w:rPr>
        <w:t>5、法律法规或监管机关另有规定的，从其规定。</w:t>
      </w:r>
    </w:p>
    <w:p w:rsidR="00AA3326">
      <w:pPr>
        <w:spacing w:line="360" w:lineRule="auto"/>
        <w:ind w:firstLine="540" w:firstLineChars="225"/>
        <w:rPr>
          <w:rFonts w:asciiTheme="minorEastAsia" w:eastAsiaTheme="minorEastAsia" w:hAnsiTheme="minorEastAsia" w:hint="eastAsia"/>
          <w:bCs/>
          <w:color w:val="000000"/>
          <w:sz w:val="24"/>
          <w:szCs w:val="24"/>
        </w:rPr>
      </w:pPr>
      <w:bookmarkEnd w:id="509"/>
      <w:r>
        <w:rPr>
          <w:rFonts w:asciiTheme="minorEastAsia" w:eastAsiaTheme="minorEastAsia" w:hAnsiTheme="minorEastAsia"/>
          <w:bCs/>
          <w:color w:val="000000"/>
          <w:sz w:val="24"/>
          <w:szCs w:val="24"/>
        </w:rPr>
        <w:t>四、收益分配方案</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收益分配方案中应载明截止收益分配基准日的可供分配利润、</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收益分配对象、分配时间、分配数额及比例、分配方式等内容。</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五、收益分配方案的确定、公告与实施</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本基金收益分配方案由基金管理人拟定，并由基金托管人复核，</w:t>
      </w:r>
      <w:r>
        <w:rPr>
          <w:rFonts w:asciiTheme="minorEastAsia" w:eastAsiaTheme="minorEastAsia" w:hAnsiTheme="minorEastAsia" w:hint="eastAsia"/>
          <w:bCs/>
          <w:color w:val="000000"/>
          <w:sz w:val="24"/>
          <w:szCs w:val="24"/>
        </w:rPr>
        <w:t>在2日内在规定媒介公告</w:t>
      </w:r>
      <w:r>
        <w:rPr>
          <w:rFonts w:asciiTheme="minorEastAsia" w:eastAsiaTheme="minorEastAsia" w:hAnsiTheme="minorEastAsia"/>
          <w:bCs/>
          <w:color w:val="000000"/>
          <w:sz w:val="24"/>
          <w:szCs w:val="24"/>
        </w:rPr>
        <w:t>。</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六、</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收益分配中发生的费用</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收益分配时所发生的银行转账或其他手续费用由投资者自行承担。当投资者的现金红利小于一定金额，不足</w:t>
      </w:r>
      <w:r>
        <w:rPr>
          <w:rFonts w:asciiTheme="minorEastAsia" w:eastAsiaTheme="minorEastAsia" w:hAnsiTheme="minorEastAsia" w:hint="eastAsia"/>
          <w:bCs/>
          <w:color w:val="000000"/>
          <w:sz w:val="24"/>
          <w:szCs w:val="24"/>
        </w:rPr>
        <w:t>以</w:t>
      </w:r>
      <w:r>
        <w:rPr>
          <w:rFonts w:asciiTheme="minorEastAsia" w:eastAsiaTheme="minorEastAsia" w:hAnsiTheme="minorEastAsia"/>
          <w:bCs/>
          <w:color w:val="000000"/>
          <w:sz w:val="24"/>
          <w:szCs w:val="24"/>
        </w:rPr>
        <w:t>支付银行转账或其他手续费用时，登记机构可将基金份额持有人的现金红利自动转为</w:t>
      </w:r>
      <w:bookmarkStart w:id="513" w:name="_Hlk197521385"/>
      <w:r>
        <w:rPr>
          <w:rFonts w:asciiTheme="minorEastAsia" w:eastAsiaTheme="minorEastAsia" w:hAnsiTheme="minorEastAsia" w:hint="eastAsia"/>
          <w:bCs/>
          <w:color w:val="000000"/>
          <w:sz w:val="24"/>
          <w:szCs w:val="24"/>
        </w:rPr>
        <w:t>该类</w:t>
      </w:r>
      <w:bookmarkEnd w:id="513"/>
      <w:r>
        <w:rPr>
          <w:rFonts w:asciiTheme="minorEastAsia" w:eastAsiaTheme="minorEastAsia" w:hAnsiTheme="minorEastAsia"/>
          <w:bCs/>
          <w:color w:val="000000"/>
          <w:sz w:val="24"/>
          <w:szCs w:val="24"/>
        </w:rPr>
        <w:t>基金份额。红利再投资的计算方法，依照《业务规则》执行。</w:t>
      </w:r>
    </w:p>
    <w:p w:rsidR="00AA3326">
      <w:pPr>
        <w:spacing w:line="360" w:lineRule="auto"/>
        <w:ind w:firstLine="540" w:firstLineChars="225"/>
        <w:rPr>
          <w:rFonts w:asciiTheme="minorEastAsia" w:eastAsiaTheme="minorEastAsia" w:hAnsiTheme="minorEastAsia" w:hint="eastAsia"/>
          <w:b/>
          <w:bCs/>
          <w:color w:val="000000"/>
          <w:sz w:val="24"/>
          <w:szCs w:val="24"/>
        </w:rPr>
      </w:pPr>
      <w:r>
        <w:rPr>
          <w:rFonts w:asciiTheme="minorEastAsia" w:eastAsiaTheme="minorEastAsia" w:hAnsiTheme="minorEastAsia" w:hint="eastAsia"/>
          <w:b/>
          <w:bCs/>
          <w:color w:val="000000"/>
          <w:sz w:val="24"/>
          <w:szCs w:val="24"/>
        </w:rPr>
        <w:t>七、实施</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期间的收益分配</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
          <w:bCs/>
          <w:color w:val="000000"/>
          <w:sz w:val="24"/>
          <w:szCs w:val="24"/>
        </w:rPr>
        <w:t>本基金实施</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的，</w:t>
      </w:r>
      <w:r>
        <w:rPr>
          <w:rFonts w:asciiTheme="minorEastAsia" w:eastAsiaTheme="minorEastAsia" w:hAnsiTheme="minorEastAsia" w:hint="eastAsia"/>
          <w:b/>
          <w:bCs/>
          <w:color w:val="000000"/>
          <w:sz w:val="24"/>
          <w:szCs w:val="24"/>
        </w:rPr>
        <w:t>侧袋账户</w:t>
      </w:r>
      <w:r>
        <w:rPr>
          <w:rFonts w:asciiTheme="minorEastAsia" w:eastAsiaTheme="minorEastAsia" w:hAnsiTheme="minorEastAsia" w:hint="eastAsia"/>
          <w:b/>
          <w:bCs/>
          <w:color w:val="000000"/>
          <w:sz w:val="24"/>
          <w:szCs w:val="24"/>
        </w:rPr>
        <w:t>不进行收益分配，详见招募说明书的规定。</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br w:type="page"/>
      </w:r>
      <w:bookmarkStart w:id="514" w:name="_Toc92662708"/>
      <w:bookmarkStart w:id="515" w:name="_Toc93226150"/>
      <w:bookmarkStart w:id="516" w:name="_Toc534140380"/>
      <w:bookmarkStart w:id="517" w:name="_Toc141703897"/>
      <w:bookmarkStart w:id="518" w:name="_Toc23859"/>
      <w:bookmarkStart w:id="519" w:name="_Toc18747"/>
      <w:bookmarkStart w:id="520" w:name="_Toc13255"/>
      <w:bookmarkStart w:id="521" w:name="_Toc28961"/>
      <w:bookmarkStart w:id="522" w:name="_Toc532487742"/>
      <w:bookmarkStart w:id="523" w:name="_Toc21206"/>
      <w:bookmarkStart w:id="524" w:name="_Toc139991747"/>
      <w:bookmarkStart w:id="525" w:name="_Toc29695"/>
      <w:bookmarkStart w:id="526" w:name="_Toc10894"/>
      <w:bookmarkStart w:id="527" w:name="_Toc128310500"/>
      <w:bookmarkStart w:id="528" w:name="_Toc1043"/>
      <w:bookmarkStart w:id="529" w:name="_Toc31736"/>
      <w:bookmarkStart w:id="530" w:name="_Toc18007"/>
      <w:bookmarkStart w:id="531" w:name="_Toc17499"/>
    </w:p>
    <w:p w:rsidR="00AA3326">
      <w:pPr>
        <w:pStyle w:val="Heading1"/>
        <w:spacing w:after="0" w:before="0"/>
        <w:jc w:val="center"/>
        <w:rPr>
          <w:rFonts w:asciiTheme="minorEastAsia" w:eastAsiaTheme="minorEastAsia" w:hAnsiTheme="minorEastAsia" w:hint="eastAsia"/>
          <w:sz w:val="30"/>
        </w:rPr>
      </w:pPr>
      <w:bookmarkStart w:id="532" w:name="_Toc29399301"/>
      <w:bookmarkStart w:id="533" w:name="_Toc207633415"/>
      <w:r>
        <w:rPr>
          <w:rFonts w:asciiTheme="minorEastAsia" w:eastAsiaTheme="minorEastAsia" w:hAnsiTheme="minorEastAsia"/>
          <w:sz w:val="30"/>
        </w:rPr>
        <w:t>第十七部分  基金份额的</w:t>
      </w:r>
      <w:r>
        <w:rPr>
          <w:rFonts w:asciiTheme="minorEastAsia" w:eastAsiaTheme="minorEastAsia" w:hAnsiTheme="minorEastAsia" w:hint="eastAsia"/>
          <w:sz w:val="30"/>
        </w:rPr>
        <w:t>折算</w:t>
      </w:r>
      <w:bookmarkEnd w:id="532"/>
      <w:bookmarkEnd w:id="533"/>
    </w:p>
    <w:p w:rsidR="00AA3326">
      <w:pPr>
        <w:rPr>
          <w:color w:val="000000"/>
        </w:rPr>
      </w:pP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一、基金份额折算基准日</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在基金合同生效日或基金管理人决定的其他日期，基金管理人可根据市场情况确定折算基准日。</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二、基金份额折算对象</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份额折算基准日登记在册的本基金份额。</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三、基金份额折算频率</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不定期。</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四、基金份额折算方式</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基金管理人对本基金份额的折算方式，具体</w:t>
      </w:r>
      <w:r>
        <w:rPr>
          <w:rFonts w:asciiTheme="minorEastAsia" w:eastAsiaTheme="minorEastAsia" w:hAnsiTheme="minorEastAsia" w:hint="eastAsia"/>
          <w:bCs/>
          <w:color w:val="000000"/>
          <w:sz w:val="24"/>
          <w:szCs w:val="24"/>
        </w:rPr>
        <w:t>见基金</w:t>
      </w:r>
      <w:r>
        <w:rPr>
          <w:rFonts w:asciiTheme="minorEastAsia" w:eastAsiaTheme="minorEastAsia" w:hAnsiTheme="minorEastAsia" w:hint="eastAsia"/>
          <w:bCs/>
          <w:color w:val="000000"/>
          <w:sz w:val="24"/>
          <w:szCs w:val="24"/>
        </w:rPr>
        <w:t>管理人届时发布的相关公告。</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五、基金份额折算期间的基金业务办理</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为保证基金份额折算期间本基金的平稳运作，基金管理人可暂停本基金份额的申购或赎回等相关业务，具体</w:t>
      </w:r>
      <w:r>
        <w:rPr>
          <w:rFonts w:asciiTheme="minorEastAsia" w:eastAsiaTheme="minorEastAsia" w:hAnsiTheme="minorEastAsia" w:hint="eastAsia"/>
          <w:bCs/>
          <w:color w:val="000000"/>
          <w:sz w:val="24"/>
          <w:szCs w:val="24"/>
        </w:rPr>
        <w:t>见基金</w:t>
      </w:r>
      <w:r>
        <w:rPr>
          <w:rFonts w:asciiTheme="minorEastAsia" w:eastAsiaTheme="minorEastAsia" w:hAnsiTheme="minorEastAsia" w:hint="eastAsia"/>
          <w:bCs/>
          <w:color w:val="000000"/>
          <w:sz w:val="24"/>
          <w:szCs w:val="24"/>
        </w:rPr>
        <w:t>管理人届时发布的相关公告。</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六、基金份额折算的公告</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基金管理人应按照《信息披露办法》的规定在规定媒介公告。</w:t>
      </w:r>
    </w:p>
    <w:p w:rsidR="00AA3326">
      <w:pPr>
        <w:widowControl/>
        <w:jc w:val="left"/>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br w:type="page"/>
      </w:r>
    </w:p>
    <w:p w:rsidR="00AA3326">
      <w:pPr>
        <w:pStyle w:val="Heading1"/>
        <w:spacing w:after="0" w:before="0"/>
        <w:jc w:val="center"/>
        <w:rPr>
          <w:rFonts w:asciiTheme="minorEastAsia" w:eastAsiaTheme="minorEastAsia" w:hAnsiTheme="minorEastAsia" w:hint="eastAsia"/>
          <w:sz w:val="30"/>
        </w:rPr>
      </w:pPr>
      <w:bookmarkStart w:id="534" w:name="_Toc207633416"/>
      <w:r>
        <w:rPr>
          <w:rFonts w:asciiTheme="minorEastAsia" w:eastAsiaTheme="minorEastAsia" w:hAnsiTheme="minorEastAsia"/>
          <w:sz w:val="30"/>
        </w:rPr>
        <w:t>第十</w:t>
      </w:r>
      <w:r>
        <w:rPr>
          <w:rFonts w:asciiTheme="minorEastAsia" w:eastAsiaTheme="minorEastAsia" w:hAnsiTheme="minorEastAsia" w:hint="eastAsia"/>
          <w:sz w:val="30"/>
        </w:rPr>
        <w:t>八</w:t>
      </w:r>
      <w:r>
        <w:rPr>
          <w:rFonts w:asciiTheme="minorEastAsia" w:eastAsiaTheme="minorEastAsia" w:hAnsiTheme="minorEastAsia"/>
          <w:sz w:val="30"/>
        </w:rPr>
        <w:t xml:space="preserve">部分  </w:t>
      </w:r>
      <w:bookmarkEnd w:id="514"/>
      <w:bookmarkEnd w:id="515"/>
      <w:r>
        <w:rPr>
          <w:rFonts w:asciiTheme="minorEastAsia" w:eastAsiaTheme="minorEastAsia" w:hAnsiTheme="minorEastAsia" w:hint="eastAsia"/>
          <w:sz w:val="30"/>
        </w:rPr>
        <w:t>基金</w:t>
      </w:r>
      <w:r>
        <w:rPr>
          <w:rFonts w:asciiTheme="minorEastAsia" w:eastAsiaTheme="minorEastAsia" w:hAnsiTheme="minorEastAsia"/>
          <w:sz w:val="30"/>
        </w:rPr>
        <w:t>的会计与审计</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4"/>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一、基金会计政策</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1、基金管理人为本基金的</w:t>
      </w:r>
      <w:r>
        <w:rPr>
          <w:rFonts w:asciiTheme="minorEastAsia" w:eastAsiaTheme="minorEastAsia" w:hAnsiTheme="minorEastAsia" w:hint="eastAsia"/>
          <w:bCs/>
          <w:color w:val="000000"/>
          <w:sz w:val="24"/>
        </w:rPr>
        <w:t>基金</w:t>
      </w:r>
      <w:r>
        <w:rPr>
          <w:rFonts w:asciiTheme="minorEastAsia" w:eastAsiaTheme="minorEastAsia" w:hAnsiTheme="minorEastAsia"/>
          <w:bCs/>
          <w:color w:val="000000"/>
          <w:sz w:val="24"/>
        </w:rPr>
        <w:t>会计责任方；</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2、基金的会计年度为公历年度的1月1日至12月31日；</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3、基金核算以人民币为记账本位币，以人民币元为记账单位；</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4、会计制度执行国家有关会计制度；</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5、本基金独立建账、独立核算；</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6、基金管理人及基金托管人各自保留完整的会计账目、凭证并进行日常的会计核算，按照有关规定编制基金会计报表；</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7、基金托管人每月与基金管理人就基金的会计核算、报表编制等进行核对并以书面方式确认。</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二、基金的年度审计</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1、基金管理人聘请与基金管理人、基金托管人相互独立的</w:t>
      </w:r>
      <w:r>
        <w:rPr>
          <w:rFonts w:asciiTheme="minorEastAsia" w:eastAsiaTheme="minorEastAsia" w:hAnsiTheme="minorEastAsia" w:hint="eastAsia"/>
          <w:bCs/>
          <w:color w:val="000000"/>
          <w:sz w:val="24"/>
        </w:rPr>
        <w:t>符合《中华人民共和国证券法》规定</w:t>
      </w:r>
      <w:r>
        <w:rPr>
          <w:rFonts w:asciiTheme="minorEastAsia" w:eastAsiaTheme="minorEastAsia" w:hAnsiTheme="minorEastAsia"/>
          <w:bCs/>
          <w:color w:val="000000"/>
          <w:sz w:val="24"/>
        </w:rPr>
        <w:t>的会计师事务所及其注册会计师对本基金的年度财务报表进行审计。</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2、会计师事务所更换经办注册会计师，应事先征得基金管理人同意。</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w:t>
      </w:r>
      <w:bookmarkStart w:id="535" w:name="_Hlt4221115"/>
      <w:bookmarkEnd w:id="535"/>
      <w:r>
        <w:rPr>
          <w:rFonts w:asciiTheme="minorEastAsia" w:eastAsiaTheme="minorEastAsia" w:hAnsiTheme="minorEastAsia"/>
          <w:bCs/>
          <w:color w:val="000000"/>
          <w:sz w:val="24"/>
        </w:rPr>
        <w:t>基金管理人认为有充足理由更换会计师事务所，须通报基金托管人。更换会计师事务所需在2日内在</w:t>
      </w:r>
      <w:r>
        <w:rPr>
          <w:rFonts w:asciiTheme="minorEastAsia" w:eastAsiaTheme="minorEastAsia" w:hAnsiTheme="minorEastAsia" w:hint="eastAsia"/>
          <w:bCs/>
          <w:color w:val="000000"/>
          <w:sz w:val="24"/>
        </w:rPr>
        <w:t>规定媒介</w:t>
      </w:r>
      <w:r>
        <w:rPr>
          <w:rFonts w:asciiTheme="minorEastAsia" w:eastAsiaTheme="minorEastAsia" w:hAnsiTheme="minorEastAsia"/>
          <w:bCs/>
          <w:color w:val="000000"/>
          <w:sz w:val="24"/>
        </w:rPr>
        <w:t>公告。</w:t>
      </w: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rPr>
        <w:br w:type="page"/>
      </w:r>
      <w:bookmarkStart w:id="536" w:name="_Toc92662709"/>
      <w:bookmarkStart w:id="537" w:name="_Toc93226151"/>
      <w:bookmarkStart w:id="538" w:name="_Toc31866"/>
      <w:bookmarkStart w:id="539" w:name="_Toc8512"/>
      <w:bookmarkStart w:id="540" w:name="_Toc1173"/>
      <w:bookmarkStart w:id="541" w:name="_Toc21351"/>
      <w:bookmarkStart w:id="542" w:name="_Toc11802"/>
      <w:bookmarkStart w:id="543" w:name="_Toc3056"/>
      <w:bookmarkStart w:id="544" w:name="_Toc11049"/>
      <w:bookmarkStart w:id="545" w:name="_Toc1421"/>
      <w:bookmarkStart w:id="546" w:name="_Toc128310501"/>
      <w:bookmarkStart w:id="547" w:name="_Toc532487743"/>
      <w:bookmarkStart w:id="548" w:name="_Toc193"/>
      <w:bookmarkStart w:id="549" w:name="_Toc534140381"/>
      <w:bookmarkStart w:id="550" w:name="_Toc12028"/>
      <w:bookmarkStart w:id="551" w:name="_Toc141703898"/>
      <w:bookmarkStart w:id="552" w:name="_Toc139991748"/>
      <w:bookmarkStart w:id="553" w:name="_Toc29289"/>
      <w:bookmarkStart w:id="554" w:name="_Toc207633417"/>
      <w:r>
        <w:rPr>
          <w:rFonts w:asciiTheme="minorEastAsia" w:eastAsiaTheme="minorEastAsia" w:hAnsiTheme="minorEastAsia"/>
          <w:sz w:val="30"/>
        </w:rPr>
        <w:t>第十</w:t>
      </w:r>
      <w:r>
        <w:rPr>
          <w:rFonts w:asciiTheme="minorEastAsia" w:eastAsiaTheme="minorEastAsia" w:hAnsiTheme="minorEastAsia" w:hint="eastAsia"/>
          <w:sz w:val="30"/>
        </w:rPr>
        <w:t>九</w:t>
      </w:r>
      <w:r>
        <w:rPr>
          <w:rFonts w:asciiTheme="minorEastAsia" w:eastAsiaTheme="minorEastAsia" w:hAnsiTheme="minorEastAsia"/>
          <w:sz w:val="30"/>
        </w:rPr>
        <w:t xml:space="preserve">部分  </w:t>
      </w:r>
      <w:bookmarkEnd w:id="536"/>
      <w:bookmarkEnd w:id="537"/>
      <w:r>
        <w:rPr>
          <w:rFonts w:asciiTheme="minorEastAsia" w:eastAsiaTheme="minorEastAsia" w:hAnsiTheme="minorEastAsia" w:hint="eastAsia"/>
          <w:sz w:val="30"/>
        </w:rPr>
        <w:t>基金</w:t>
      </w:r>
      <w:r>
        <w:rPr>
          <w:rFonts w:asciiTheme="minorEastAsia" w:eastAsiaTheme="minorEastAsia" w:hAnsiTheme="minorEastAsia"/>
          <w:sz w:val="30"/>
        </w:rPr>
        <w:t>的信息披露</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一、本基金的信息披露应符合《基金法》、《运作办法》、《信息披露办法》、</w:t>
      </w:r>
      <w:r>
        <w:rPr>
          <w:rFonts w:asciiTheme="minorEastAsia" w:eastAsiaTheme="minorEastAsia" w:hAnsiTheme="minorEastAsia" w:hint="eastAsia"/>
          <w:bCs/>
          <w:color w:val="000000"/>
          <w:sz w:val="24"/>
          <w:szCs w:val="24"/>
        </w:rPr>
        <w:t>《流动性风险管理规定》、</w:t>
      </w:r>
      <w:r>
        <w:rPr>
          <w:rFonts w:asciiTheme="minorEastAsia" w:eastAsiaTheme="minorEastAsia" w:hAnsiTheme="minorEastAsia"/>
          <w:bCs/>
          <w:color w:val="000000"/>
          <w:sz w:val="24"/>
          <w:szCs w:val="24"/>
        </w:rPr>
        <w:t>《基金合同》及其他有关规定。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二、信息披露义务人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本基金信息披露义务人包括基金管理人、基金托管人、召集基金份额持有人大会的基金份额持有人等法律法规和中国证监会规定的自然人、法人和</w:t>
      </w:r>
      <w:r>
        <w:rPr>
          <w:rFonts w:asciiTheme="minorEastAsia" w:eastAsiaTheme="minorEastAsia" w:hAnsiTheme="minorEastAsia" w:hint="eastAsia"/>
          <w:bCs/>
          <w:color w:val="000000"/>
          <w:sz w:val="24"/>
          <w:szCs w:val="24"/>
        </w:rPr>
        <w:t>非法人</w:t>
      </w:r>
      <w:r>
        <w:rPr>
          <w:rFonts w:asciiTheme="minorEastAsia" w:eastAsiaTheme="minorEastAsia" w:hAnsiTheme="minorEastAsia"/>
          <w:bCs/>
          <w:color w:val="000000"/>
          <w:sz w:val="24"/>
          <w:szCs w:val="24"/>
        </w:rPr>
        <w:t>组织。</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本基金信息披露义务人</w:t>
      </w:r>
      <w:r>
        <w:rPr>
          <w:rFonts w:asciiTheme="minorEastAsia" w:eastAsiaTheme="minorEastAsia" w:hAnsiTheme="minorEastAsia" w:hint="eastAsia"/>
          <w:bCs/>
          <w:color w:val="000000"/>
          <w:sz w:val="24"/>
          <w:szCs w:val="24"/>
        </w:rPr>
        <w:t>以保护基金份额持有人利益为根本出发点，</w:t>
      </w:r>
      <w:r>
        <w:rPr>
          <w:rFonts w:asciiTheme="minorEastAsia" w:eastAsiaTheme="minorEastAsia" w:hAnsiTheme="minorEastAsia"/>
          <w:bCs/>
          <w:color w:val="000000"/>
          <w:sz w:val="24"/>
          <w:szCs w:val="24"/>
        </w:rPr>
        <w:t>按照法律法规和中国证监会的规定披露</w:t>
      </w:r>
      <w:r>
        <w:rPr>
          <w:rFonts w:asciiTheme="minorEastAsia" w:eastAsiaTheme="minorEastAsia" w:hAnsiTheme="minorEastAsia"/>
          <w:bCs/>
          <w:color w:val="000000"/>
          <w:sz w:val="24"/>
        </w:rPr>
        <w:t>基金</w:t>
      </w:r>
      <w:r>
        <w:rPr>
          <w:rFonts w:asciiTheme="minorEastAsia" w:eastAsiaTheme="minorEastAsia" w:hAnsiTheme="minorEastAsia"/>
          <w:bCs/>
          <w:color w:val="000000"/>
          <w:sz w:val="24"/>
          <w:szCs w:val="24"/>
        </w:rPr>
        <w:t>信息，并保证所披露信息的真实性、准确性</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完整性</w:t>
      </w:r>
      <w:r>
        <w:rPr>
          <w:rFonts w:asciiTheme="minorEastAsia" w:eastAsiaTheme="minorEastAsia" w:hAnsiTheme="minorEastAsia" w:hint="eastAsia"/>
          <w:bCs/>
          <w:color w:val="000000"/>
          <w:sz w:val="24"/>
          <w:szCs w:val="24"/>
        </w:rPr>
        <w:t>、及时性、简明性和易得性</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本基金信息披露义务人应当在中国证监会规定时间内，将应予披露的</w:t>
      </w:r>
      <w:r>
        <w:rPr>
          <w:rFonts w:asciiTheme="minorEastAsia" w:eastAsiaTheme="minorEastAsia" w:hAnsiTheme="minorEastAsia"/>
          <w:bCs/>
          <w:color w:val="000000"/>
          <w:sz w:val="24"/>
        </w:rPr>
        <w:t>基金</w:t>
      </w:r>
      <w:r>
        <w:rPr>
          <w:rFonts w:asciiTheme="minorEastAsia" w:eastAsiaTheme="minorEastAsia" w:hAnsiTheme="minorEastAsia"/>
          <w:bCs/>
          <w:color w:val="000000"/>
          <w:sz w:val="24"/>
          <w:szCs w:val="24"/>
        </w:rPr>
        <w:t>信息通过</w:t>
      </w:r>
      <w:r>
        <w:rPr>
          <w:rFonts w:asciiTheme="minorEastAsia" w:eastAsiaTheme="minorEastAsia" w:hAnsiTheme="minorEastAsia" w:hint="eastAsia"/>
          <w:bCs/>
          <w:color w:val="000000"/>
          <w:sz w:val="24"/>
          <w:szCs w:val="24"/>
        </w:rPr>
        <w:t>符合</w:t>
      </w:r>
      <w:r>
        <w:rPr>
          <w:rFonts w:asciiTheme="minorEastAsia" w:eastAsiaTheme="minorEastAsia" w:hAnsiTheme="minorEastAsia"/>
          <w:bCs/>
          <w:color w:val="000000"/>
          <w:sz w:val="24"/>
          <w:szCs w:val="24"/>
        </w:rPr>
        <w:t>中国证监会</w:t>
      </w:r>
      <w:r>
        <w:rPr>
          <w:rFonts w:asciiTheme="minorEastAsia" w:eastAsiaTheme="minorEastAsia" w:hAnsiTheme="minorEastAsia" w:hint="eastAsia"/>
          <w:bCs/>
          <w:color w:val="000000"/>
          <w:sz w:val="24"/>
          <w:szCs w:val="24"/>
        </w:rPr>
        <w:t>规定条件的全国性报刊（以下简称“规定报刊”）及</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信息披露办法</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规定的互联网网站（以下简称“规定网站”）等</w:t>
      </w:r>
      <w:r>
        <w:rPr>
          <w:rFonts w:asciiTheme="minorEastAsia" w:eastAsiaTheme="minorEastAsia" w:hAnsiTheme="minorEastAsia"/>
          <w:bCs/>
          <w:color w:val="000000"/>
          <w:sz w:val="24"/>
          <w:szCs w:val="24"/>
        </w:rPr>
        <w:t>媒介披露，并保证基金投资者能够按照《基金合同》约定的时间和方式查阅或者复制公开披露的信息资料。</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三、本基金信息披露义务人承诺公开披露的</w:t>
      </w:r>
      <w:r>
        <w:rPr>
          <w:rFonts w:asciiTheme="minorEastAsia" w:eastAsiaTheme="minorEastAsia" w:hAnsiTheme="minorEastAsia"/>
          <w:bCs/>
          <w:color w:val="000000"/>
          <w:sz w:val="24"/>
        </w:rPr>
        <w:t>基金</w:t>
      </w:r>
      <w:r>
        <w:rPr>
          <w:rFonts w:asciiTheme="minorEastAsia" w:eastAsiaTheme="minorEastAsia" w:hAnsiTheme="minorEastAsia"/>
          <w:bCs/>
          <w:color w:val="000000"/>
          <w:sz w:val="24"/>
          <w:szCs w:val="24"/>
        </w:rPr>
        <w:t>信息，不得有下列行为：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1、虚假记载、误导性陈述或者重大遗漏；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2、对证券投资业绩进行预测；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3、违规承诺收益或者承担损失；</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4、诋毁其他基金管理人、基金托管人或者基金销售机构；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5、登载任何自然人、法人</w:t>
      </w:r>
      <w:r>
        <w:rPr>
          <w:rFonts w:asciiTheme="minorEastAsia" w:eastAsiaTheme="minorEastAsia" w:hAnsiTheme="minorEastAsia" w:hint="eastAsia"/>
          <w:bCs/>
          <w:color w:val="000000"/>
          <w:sz w:val="24"/>
          <w:szCs w:val="24"/>
        </w:rPr>
        <w:t>和非法人</w:t>
      </w:r>
      <w:r>
        <w:rPr>
          <w:rFonts w:asciiTheme="minorEastAsia" w:eastAsiaTheme="minorEastAsia" w:hAnsiTheme="minorEastAsia"/>
          <w:bCs/>
          <w:color w:val="000000"/>
          <w:sz w:val="24"/>
          <w:szCs w:val="24"/>
        </w:rPr>
        <w:t>组织的祝贺性、恭维性或推荐性的文字；</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6、中国证监会禁止的其他行为。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四、本基金公开披露的信息应采用中文文本。如同时采用外文文本的，</w:t>
      </w:r>
      <w:r>
        <w:rPr>
          <w:rFonts w:asciiTheme="minorEastAsia" w:eastAsiaTheme="minorEastAsia" w:hAnsiTheme="minorEastAsia"/>
          <w:bCs/>
          <w:color w:val="000000"/>
          <w:sz w:val="24"/>
        </w:rPr>
        <w:t>基金</w:t>
      </w:r>
      <w:r>
        <w:rPr>
          <w:rFonts w:asciiTheme="minorEastAsia" w:eastAsiaTheme="minorEastAsia" w:hAnsiTheme="minorEastAsia"/>
          <w:bCs/>
          <w:color w:val="000000"/>
          <w:sz w:val="24"/>
          <w:szCs w:val="24"/>
        </w:rPr>
        <w:t>信息披露义务人应保证</w:t>
      </w:r>
      <w:r>
        <w:rPr>
          <w:rFonts w:asciiTheme="minorEastAsia" w:eastAsiaTheme="minorEastAsia" w:hAnsiTheme="minorEastAsia" w:hint="eastAsia"/>
          <w:bCs/>
          <w:color w:val="000000"/>
          <w:sz w:val="24"/>
          <w:szCs w:val="24"/>
        </w:rPr>
        <w:t>不同</w:t>
      </w:r>
      <w:r>
        <w:rPr>
          <w:rFonts w:asciiTheme="minorEastAsia" w:eastAsiaTheme="minorEastAsia" w:hAnsiTheme="minorEastAsia"/>
          <w:bCs/>
          <w:color w:val="000000"/>
          <w:sz w:val="24"/>
          <w:szCs w:val="24"/>
        </w:rPr>
        <w:t>文本的内容一致。</w:t>
      </w:r>
      <w:r>
        <w:rPr>
          <w:rFonts w:asciiTheme="minorEastAsia" w:eastAsiaTheme="minorEastAsia" w:hAnsiTheme="minorEastAsia" w:hint="eastAsia"/>
          <w:bCs/>
          <w:color w:val="000000"/>
          <w:sz w:val="24"/>
          <w:szCs w:val="24"/>
        </w:rPr>
        <w:t>不同</w:t>
      </w:r>
      <w:r>
        <w:rPr>
          <w:rFonts w:asciiTheme="minorEastAsia" w:eastAsiaTheme="minorEastAsia" w:hAnsiTheme="minorEastAsia"/>
          <w:bCs/>
          <w:color w:val="000000"/>
          <w:sz w:val="24"/>
          <w:szCs w:val="24"/>
        </w:rPr>
        <w:t>文本</w:t>
      </w:r>
      <w:r>
        <w:rPr>
          <w:rFonts w:asciiTheme="minorEastAsia" w:eastAsiaTheme="minorEastAsia" w:hAnsiTheme="minorEastAsia" w:hint="eastAsia"/>
          <w:bCs/>
          <w:color w:val="000000"/>
          <w:sz w:val="24"/>
          <w:szCs w:val="24"/>
        </w:rPr>
        <w:t>之间</w:t>
      </w:r>
      <w:r>
        <w:rPr>
          <w:rFonts w:asciiTheme="minorEastAsia" w:eastAsiaTheme="minorEastAsia" w:hAnsiTheme="minorEastAsia"/>
          <w:bCs/>
          <w:color w:val="000000"/>
          <w:sz w:val="24"/>
          <w:szCs w:val="24"/>
        </w:rPr>
        <w:t>发生歧义的，以中文文本为准。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本基金公开披露的信息采用阿拉伯数字；除特别说明外，货币单位为人民币元。</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五、公开披露的</w:t>
      </w:r>
      <w:r>
        <w:rPr>
          <w:rFonts w:asciiTheme="minorEastAsia" w:eastAsiaTheme="minorEastAsia" w:hAnsiTheme="minorEastAsia"/>
          <w:bCs/>
          <w:color w:val="000000"/>
          <w:sz w:val="24"/>
        </w:rPr>
        <w:t>基金</w:t>
      </w:r>
      <w:r>
        <w:rPr>
          <w:rFonts w:asciiTheme="minorEastAsia" w:eastAsiaTheme="minorEastAsia" w:hAnsiTheme="minorEastAsia"/>
          <w:bCs/>
          <w:color w:val="000000"/>
          <w:sz w:val="24"/>
          <w:szCs w:val="24"/>
        </w:rPr>
        <w:t>信息</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公开披露的</w:t>
      </w:r>
      <w:r>
        <w:rPr>
          <w:rFonts w:asciiTheme="minorEastAsia" w:eastAsiaTheme="minorEastAsia" w:hAnsiTheme="minorEastAsia"/>
          <w:bCs/>
          <w:color w:val="000000"/>
          <w:sz w:val="24"/>
        </w:rPr>
        <w:t>基金</w:t>
      </w:r>
      <w:r>
        <w:rPr>
          <w:rFonts w:asciiTheme="minorEastAsia" w:eastAsiaTheme="minorEastAsia" w:hAnsiTheme="minorEastAsia"/>
          <w:bCs/>
          <w:color w:val="000000"/>
          <w:sz w:val="24"/>
          <w:szCs w:val="24"/>
        </w:rPr>
        <w:t>信息包括：</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（一）基金招募说明书、《基金合同》、基金托管协议</w:t>
      </w:r>
      <w:r>
        <w:rPr>
          <w:rFonts w:asciiTheme="minorEastAsia" w:eastAsiaTheme="minorEastAsia" w:hAnsiTheme="minorEastAsia" w:hint="eastAsia"/>
          <w:bCs/>
          <w:color w:val="000000"/>
          <w:sz w:val="24"/>
          <w:szCs w:val="24"/>
        </w:rPr>
        <w:t>、基金产品资料概要</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1、《基金合同》是界定《基金合同》当事人的各项权利、义务关系，明确基金份额持有人大会召开的规则及具体程序，说明基金产品的特性等涉及基金投资者重大利益的事项的法律文件。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2、基金招募说明书应当最大限度地披露影响基金投资者决策的全部事项，说明基金申购和赎回安排、基金投资、基金产品特性、风险揭示、信息披露及基金份额持有人服务等内容。《基金合同》生效后，</w:t>
      </w:r>
      <w:r>
        <w:rPr>
          <w:rFonts w:asciiTheme="minorEastAsia" w:eastAsiaTheme="minorEastAsia" w:hAnsiTheme="minorEastAsia" w:hint="eastAsia"/>
          <w:bCs/>
          <w:color w:val="000000"/>
          <w:sz w:val="24"/>
          <w:szCs w:val="24"/>
        </w:rPr>
        <w:t>招募说明书的信息发生重大变更的，基金管理人应当在三个工作日内，更新招募说明书并登载在规定网站上；招募说明书其他信息发生变更的，基金管理人至少每年更新一次。</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终止运作的，基金管理人不再更新招募说明书。</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3、基金托管协议是界定基金托管人和基金管理人在</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保管及基金运作监督等活动中的权利、义务关系的法律文件。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4、基金产品资料概要是招募说明书的摘要文件，用于向投资者提供简明的</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终止运作的，基金管理人不再更新基金产品资料概要。</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基金管理人应及时将基金招募说明书、基金产品资料概要、《基金合同》和基金托管协议登载在规定网站上，并将基金</w:t>
      </w:r>
      <w:bookmarkStart w:id="555" w:name="OLE_LINK63"/>
      <w:bookmarkStart w:id="556" w:name="OLE_LINK64"/>
      <w:r>
        <w:rPr>
          <w:rFonts w:asciiTheme="minorEastAsia" w:eastAsiaTheme="minorEastAsia" w:hAnsiTheme="minorEastAsia" w:hint="eastAsia"/>
          <w:bCs/>
          <w:color w:val="000000"/>
          <w:sz w:val="24"/>
          <w:szCs w:val="24"/>
        </w:rPr>
        <w:t>产品资料概要</w:t>
      </w:r>
      <w:bookmarkEnd w:id="555"/>
      <w:bookmarkEnd w:id="556"/>
      <w:r>
        <w:rPr>
          <w:rFonts w:asciiTheme="minorEastAsia" w:eastAsiaTheme="minorEastAsia" w:hAnsiTheme="minorEastAsia" w:hint="eastAsia"/>
          <w:bCs/>
          <w:color w:val="000000"/>
          <w:sz w:val="24"/>
          <w:szCs w:val="24"/>
        </w:rPr>
        <w:t>登载在基金销售机构网站或营业网点</w:t>
      </w:r>
      <w:r>
        <w:rPr>
          <w:rFonts w:asciiTheme="minorEastAsia" w:eastAsiaTheme="minorEastAsia" w:hAnsiTheme="minorEastAsia"/>
          <w:bCs/>
          <w:color w:val="000000"/>
          <w:sz w:val="24"/>
          <w:szCs w:val="24"/>
        </w:rPr>
        <w:t>；基金托管人应当</w:t>
      </w:r>
      <w:r>
        <w:rPr>
          <w:rFonts w:asciiTheme="minorEastAsia" w:eastAsiaTheme="minorEastAsia" w:hAnsiTheme="minorEastAsia" w:hint="eastAsia"/>
          <w:bCs/>
          <w:color w:val="000000"/>
          <w:sz w:val="24"/>
          <w:szCs w:val="24"/>
        </w:rPr>
        <w:t>同时</w:t>
      </w:r>
      <w:r>
        <w:rPr>
          <w:rFonts w:asciiTheme="minorEastAsia" w:eastAsiaTheme="minorEastAsia" w:hAnsiTheme="minorEastAsia"/>
          <w:bCs/>
          <w:color w:val="000000"/>
          <w:sz w:val="24"/>
          <w:szCs w:val="24"/>
        </w:rPr>
        <w:t>将《基金合同》、基金托管协议登载在网站上。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（二）基金净值</w:t>
      </w:r>
      <w:r>
        <w:rPr>
          <w:rFonts w:asciiTheme="minorEastAsia" w:eastAsiaTheme="minorEastAsia" w:hAnsiTheme="minorEastAsia" w:hint="eastAsia"/>
          <w:bCs/>
          <w:color w:val="000000"/>
          <w:sz w:val="24"/>
          <w:szCs w:val="24"/>
        </w:rPr>
        <w:t>信息</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《基金合同》生效后，在开始办理基金份额申购或者赎回前，基金管理人应当至少每周</w:t>
      </w:r>
      <w:r>
        <w:rPr>
          <w:rFonts w:asciiTheme="minorEastAsia" w:eastAsiaTheme="minorEastAsia" w:hAnsiTheme="minorEastAsia" w:hint="eastAsia"/>
          <w:bCs/>
          <w:color w:val="000000"/>
          <w:sz w:val="24"/>
          <w:szCs w:val="24"/>
        </w:rPr>
        <w:t>在规定网站披露</w:t>
      </w:r>
      <w:r>
        <w:rPr>
          <w:rFonts w:asciiTheme="minorEastAsia" w:eastAsiaTheme="minorEastAsia" w:hAnsiTheme="minorEastAsia"/>
          <w:bCs/>
          <w:color w:val="000000"/>
          <w:sz w:val="24"/>
          <w:szCs w:val="24"/>
        </w:rPr>
        <w:t>一次</w:t>
      </w:r>
      <w:r>
        <w:rPr>
          <w:rFonts w:asciiTheme="minorEastAsia" w:eastAsiaTheme="minorEastAsia" w:hAnsiTheme="minorEastAsia" w:hint="eastAsia"/>
          <w:bCs/>
          <w:color w:val="000000"/>
          <w:sz w:val="24"/>
          <w:szCs w:val="24"/>
        </w:rPr>
        <w:t>各类</w:t>
      </w:r>
      <w:r>
        <w:rPr>
          <w:rFonts w:asciiTheme="minorEastAsia" w:eastAsiaTheme="minorEastAsia" w:hAnsiTheme="minorEastAsia"/>
          <w:bCs/>
          <w:color w:val="000000"/>
          <w:sz w:val="24"/>
          <w:szCs w:val="24"/>
        </w:rPr>
        <w:t>基金份额净值和基金份额</w:t>
      </w:r>
      <w:r>
        <w:rPr>
          <w:rFonts w:asciiTheme="minorEastAsia" w:eastAsiaTheme="minorEastAsia" w:hAnsiTheme="minorEastAsia" w:hint="eastAsia"/>
          <w:bCs/>
          <w:color w:val="000000"/>
          <w:sz w:val="24"/>
          <w:szCs w:val="24"/>
        </w:rPr>
        <w:t>累计</w:t>
      </w:r>
      <w:r>
        <w:rPr>
          <w:rFonts w:asciiTheme="minorEastAsia" w:eastAsiaTheme="minorEastAsia" w:hAnsiTheme="minorEastAsia"/>
          <w:bCs/>
          <w:color w:val="000000"/>
          <w:sz w:val="24"/>
          <w:szCs w:val="24"/>
        </w:rPr>
        <w:t>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在开始办理基金份额申购或者赎回后，基金管理人应当在</w:t>
      </w:r>
      <w:r>
        <w:rPr>
          <w:rFonts w:asciiTheme="minorEastAsia" w:eastAsiaTheme="minorEastAsia" w:hAnsiTheme="minorEastAsia" w:hint="eastAsia"/>
          <w:bCs/>
          <w:color w:val="000000"/>
          <w:sz w:val="24"/>
          <w:szCs w:val="24"/>
        </w:rPr>
        <w:t>不晚于</w:t>
      </w:r>
      <w:r>
        <w:rPr>
          <w:rFonts w:asciiTheme="minorEastAsia" w:eastAsiaTheme="minorEastAsia" w:hAnsiTheme="minorEastAsia"/>
          <w:bCs/>
          <w:color w:val="000000"/>
          <w:sz w:val="24"/>
          <w:szCs w:val="24"/>
        </w:rPr>
        <w:t>每个开放日的次日，通过</w:t>
      </w:r>
      <w:r>
        <w:rPr>
          <w:rFonts w:asciiTheme="minorEastAsia" w:eastAsiaTheme="minorEastAsia" w:hAnsiTheme="minorEastAsia" w:hint="eastAsia"/>
          <w:bCs/>
          <w:color w:val="000000"/>
          <w:sz w:val="24"/>
          <w:szCs w:val="24"/>
        </w:rPr>
        <w:t>规定网站</w:t>
      </w:r>
      <w:r>
        <w:rPr>
          <w:rFonts w:asciiTheme="minorEastAsia" w:eastAsiaTheme="minorEastAsia" w:hAnsiTheme="minorEastAsia"/>
          <w:bCs/>
          <w:color w:val="000000"/>
          <w:sz w:val="24"/>
          <w:szCs w:val="24"/>
        </w:rPr>
        <w:t>、基金销售机构</w:t>
      </w:r>
      <w:r>
        <w:rPr>
          <w:rFonts w:asciiTheme="minorEastAsia" w:eastAsiaTheme="minorEastAsia" w:hAnsiTheme="minorEastAsia" w:hint="eastAsia"/>
          <w:bCs/>
          <w:color w:val="000000"/>
          <w:sz w:val="24"/>
          <w:szCs w:val="24"/>
        </w:rPr>
        <w:t>网站或者</w:t>
      </w:r>
      <w:r>
        <w:rPr>
          <w:rFonts w:asciiTheme="minorEastAsia" w:eastAsiaTheme="minorEastAsia" w:hAnsiTheme="minorEastAsia"/>
          <w:bCs/>
          <w:color w:val="000000"/>
          <w:sz w:val="24"/>
          <w:szCs w:val="24"/>
        </w:rPr>
        <w:t>营业网点披露开放日的</w:t>
      </w:r>
      <w:r>
        <w:rPr>
          <w:rFonts w:asciiTheme="minorEastAsia" w:eastAsiaTheme="minorEastAsia" w:hAnsiTheme="minorEastAsia" w:hint="eastAsia"/>
          <w:bCs/>
          <w:color w:val="000000"/>
          <w:sz w:val="24"/>
          <w:szCs w:val="24"/>
        </w:rPr>
        <w:t>各类</w:t>
      </w:r>
      <w:r>
        <w:rPr>
          <w:rFonts w:asciiTheme="minorEastAsia" w:eastAsiaTheme="minorEastAsia" w:hAnsiTheme="minorEastAsia"/>
          <w:bCs/>
          <w:color w:val="000000"/>
          <w:sz w:val="24"/>
          <w:szCs w:val="24"/>
        </w:rPr>
        <w:t>基金份额净值和基金份额累计净值。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基金管理人应当</w:t>
      </w:r>
      <w:r>
        <w:rPr>
          <w:rFonts w:asciiTheme="minorEastAsia" w:eastAsiaTheme="minorEastAsia" w:hAnsiTheme="minorEastAsia" w:hint="eastAsia"/>
          <w:bCs/>
          <w:color w:val="000000"/>
          <w:sz w:val="24"/>
          <w:szCs w:val="24"/>
        </w:rPr>
        <w:t>在不晚于半年度和年度最后一日的次日，在规定网站披露半年度和年度最后一日的各类</w:t>
      </w:r>
      <w:r>
        <w:rPr>
          <w:rFonts w:asciiTheme="minorEastAsia" w:eastAsiaTheme="minorEastAsia" w:hAnsiTheme="minorEastAsia"/>
          <w:bCs/>
          <w:color w:val="000000"/>
          <w:sz w:val="24"/>
          <w:szCs w:val="24"/>
        </w:rPr>
        <w:t>基金份额净值和基金份额</w:t>
      </w:r>
      <w:r>
        <w:rPr>
          <w:rFonts w:asciiTheme="minorEastAsia" w:eastAsiaTheme="minorEastAsia" w:hAnsiTheme="minorEastAsia" w:hint="eastAsia"/>
          <w:bCs/>
          <w:color w:val="000000"/>
          <w:sz w:val="24"/>
          <w:szCs w:val="24"/>
        </w:rPr>
        <w:t>累计</w:t>
      </w:r>
      <w:r>
        <w:rPr>
          <w:rFonts w:asciiTheme="minorEastAsia" w:eastAsiaTheme="minorEastAsia" w:hAnsiTheme="minorEastAsia"/>
          <w:bCs/>
          <w:color w:val="000000"/>
          <w:sz w:val="24"/>
          <w:szCs w:val="24"/>
        </w:rPr>
        <w:t>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三</w:t>
      </w:r>
      <w:r>
        <w:rPr>
          <w:rFonts w:asciiTheme="minorEastAsia" w:eastAsiaTheme="minorEastAsia" w:hAnsiTheme="minorEastAsia"/>
          <w:bCs/>
          <w:color w:val="000000"/>
          <w:sz w:val="24"/>
          <w:szCs w:val="24"/>
        </w:rPr>
        <w:t>）基金份额申购、赎回价格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基金管理人应当在《基金合同》、招募说明书等信息披露文件上载</w:t>
      </w:r>
      <w:r>
        <w:rPr>
          <w:rFonts w:asciiTheme="minorEastAsia" w:eastAsiaTheme="minorEastAsia" w:hAnsiTheme="minorEastAsia"/>
          <w:bCs/>
          <w:color w:val="000000"/>
          <w:sz w:val="24"/>
          <w:szCs w:val="24"/>
        </w:rPr>
        <w:t>明基金</w:t>
      </w:r>
      <w:r>
        <w:rPr>
          <w:rFonts w:asciiTheme="minorEastAsia" w:eastAsiaTheme="minorEastAsia" w:hAnsiTheme="minorEastAsia"/>
          <w:bCs/>
          <w:color w:val="000000"/>
          <w:sz w:val="24"/>
          <w:szCs w:val="24"/>
        </w:rPr>
        <w:t>份额申购、赎回价格的计算方式及有关申购、赎回费率，并保证投资者能够在基金销售机构网站或营业网点查阅或者复制前述信息资料。</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四</w:t>
      </w:r>
      <w:r>
        <w:rPr>
          <w:rFonts w:asciiTheme="minorEastAsia" w:eastAsiaTheme="minorEastAsia" w:hAnsiTheme="minorEastAsia"/>
          <w:bCs/>
          <w:color w:val="000000"/>
          <w:sz w:val="24"/>
          <w:szCs w:val="24"/>
        </w:rPr>
        <w:t>）基金定期报告，包括基金年度报告、基金中期报告和基金季度报告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基金管理人应当在每年结束之日起</w:t>
      </w:r>
      <w:r>
        <w:rPr>
          <w:rFonts w:asciiTheme="minorEastAsia" w:eastAsiaTheme="minorEastAsia" w:hAnsiTheme="minorEastAsia" w:hint="eastAsia"/>
          <w:bCs/>
          <w:color w:val="000000"/>
          <w:sz w:val="24"/>
          <w:szCs w:val="24"/>
        </w:rPr>
        <w:t>三个月</w:t>
      </w:r>
      <w:r>
        <w:rPr>
          <w:rFonts w:asciiTheme="minorEastAsia" w:eastAsiaTheme="minorEastAsia" w:hAnsiTheme="minorEastAsia"/>
          <w:bCs/>
          <w:color w:val="000000"/>
          <w:sz w:val="24"/>
          <w:szCs w:val="24"/>
        </w:rPr>
        <w:t>内，编制完成基金年度报告，</w:t>
      </w:r>
      <w:r>
        <w:rPr>
          <w:rFonts w:asciiTheme="minorEastAsia" w:eastAsiaTheme="minorEastAsia" w:hAnsiTheme="minorEastAsia" w:hint="eastAsia"/>
          <w:bCs/>
          <w:color w:val="000000"/>
          <w:sz w:val="24"/>
          <w:szCs w:val="24"/>
        </w:rPr>
        <w:t>将年度报告登载在规定网站上，并将年度报告提示性公告登载在规定报刊上</w:t>
      </w:r>
      <w:r>
        <w:rPr>
          <w:rFonts w:asciiTheme="minorEastAsia" w:eastAsiaTheme="minorEastAsia" w:hAnsiTheme="minorEastAsia"/>
          <w:bCs/>
          <w:color w:val="000000"/>
          <w:sz w:val="24"/>
          <w:szCs w:val="24"/>
        </w:rPr>
        <w:t>。基金年度报告中的财务会计报告应当经过</w:t>
      </w:r>
      <w:r>
        <w:rPr>
          <w:rFonts w:asciiTheme="minorEastAsia" w:eastAsiaTheme="minorEastAsia" w:hAnsiTheme="minorEastAsia" w:hint="eastAsia"/>
          <w:bCs/>
          <w:color w:val="000000"/>
          <w:sz w:val="24"/>
          <w:szCs w:val="24"/>
        </w:rPr>
        <w:t>符合《中华人民共和国证券法》规定的会计师事务所</w:t>
      </w:r>
      <w:r>
        <w:rPr>
          <w:rFonts w:asciiTheme="minorEastAsia" w:eastAsiaTheme="minorEastAsia" w:hAnsiTheme="minorEastAsia"/>
          <w:bCs/>
          <w:color w:val="000000"/>
          <w:sz w:val="24"/>
          <w:szCs w:val="24"/>
        </w:rPr>
        <w:t>审计。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基金管理人应当在上半年结束之日起</w:t>
      </w:r>
      <w:r>
        <w:rPr>
          <w:rFonts w:asciiTheme="minorEastAsia" w:eastAsiaTheme="minorEastAsia" w:hAnsiTheme="minorEastAsia" w:hint="eastAsia"/>
          <w:bCs/>
          <w:color w:val="000000"/>
          <w:sz w:val="24"/>
          <w:szCs w:val="24"/>
        </w:rPr>
        <w:t>两个月</w:t>
      </w:r>
      <w:r>
        <w:rPr>
          <w:rFonts w:asciiTheme="minorEastAsia" w:eastAsiaTheme="minorEastAsia" w:hAnsiTheme="minorEastAsia"/>
          <w:bCs/>
          <w:color w:val="000000"/>
          <w:sz w:val="24"/>
          <w:szCs w:val="24"/>
        </w:rPr>
        <w:t>内，编制完成基金中期报告，</w:t>
      </w:r>
      <w:r>
        <w:rPr>
          <w:rFonts w:asciiTheme="minorEastAsia" w:eastAsiaTheme="minorEastAsia" w:hAnsiTheme="minorEastAsia" w:hint="eastAsia"/>
          <w:bCs/>
          <w:color w:val="000000"/>
          <w:sz w:val="24"/>
          <w:szCs w:val="24"/>
        </w:rPr>
        <w:t>将中期报告登载在规定网站上，并将中期报告提示性公告登载在规定报刊上</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基金管理人应当在季度结束之日起15个工作日内，编制完成基金季度报告，</w:t>
      </w:r>
      <w:r>
        <w:rPr>
          <w:rFonts w:asciiTheme="minorEastAsia" w:eastAsiaTheme="minorEastAsia" w:hAnsiTheme="minorEastAsia" w:hint="eastAsia"/>
          <w:bCs/>
          <w:color w:val="000000"/>
          <w:sz w:val="24"/>
          <w:szCs w:val="24"/>
        </w:rPr>
        <w:t>将季度报告登载在规定网站上，</w:t>
      </w:r>
      <w:r>
        <w:rPr>
          <w:rFonts w:asciiTheme="minorEastAsia" w:eastAsiaTheme="minorEastAsia" w:hAnsiTheme="minorEastAsia"/>
          <w:bCs/>
          <w:color w:val="000000"/>
          <w:sz w:val="24"/>
          <w:szCs w:val="24"/>
        </w:rPr>
        <w:t>并将季度报告提示性公告登载在规定报刊上。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如报告期内出现单一投资者持有基金份额达到或超过基金总份额20%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基金管理人应当在基金年度报告和</w:t>
      </w:r>
      <w:r>
        <w:rPr>
          <w:rFonts w:asciiTheme="minorEastAsia" w:eastAsiaTheme="minorEastAsia" w:hAnsiTheme="minorEastAsia" w:hint="eastAsia"/>
          <w:bCs/>
          <w:color w:val="000000"/>
          <w:sz w:val="24"/>
          <w:szCs w:val="24"/>
        </w:rPr>
        <w:t>中期</w:t>
      </w:r>
      <w:r>
        <w:rPr>
          <w:rFonts w:asciiTheme="minorEastAsia" w:eastAsiaTheme="minorEastAsia" w:hAnsiTheme="minorEastAsia"/>
          <w:bCs/>
          <w:color w:val="000000"/>
          <w:sz w:val="24"/>
          <w:szCs w:val="24"/>
        </w:rPr>
        <w:t>报告中披露基金组合资产情况及其流动性风险分析等。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五</w:t>
      </w:r>
      <w:r>
        <w:rPr>
          <w:rFonts w:asciiTheme="minorEastAsia" w:eastAsiaTheme="minorEastAsia" w:hAnsiTheme="minorEastAsia"/>
          <w:bCs/>
          <w:color w:val="000000"/>
          <w:sz w:val="24"/>
          <w:szCs w:val="24"/>
        </w:rPr>
        <w:t>）临时报告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本基金发生重大事件，有关信息披露义务人应当在2日内编制临时报告书，</w:t>
      </w:r>
      <w:r>
        <w:rPr>
          <w:rFonts w:asciiTheme="minorEastAsia" w:eastAsiaTheme="minorEastAsia" w:hAnsiTheme="minorEastAsia" w:hint="eastAsia"/>
          <w:bCs/>
          <w:color w:val="000000"/>
          <w:sz w:val="24"/>
          <w:szCs w:val="24"/>
        </w:rPr>
        <w:t>并登载在规定报刊和规定网站上</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前款所称重大事件，是指可能对基金份额持有人权益或者基金份额的价格产生重大影响的下列事件：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1、基金份额持有人大会的召开及决定的事项；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2、《基金合同》终止</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基金清算；</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3、转换基金运作方式</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基金合并；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4、更换基金管理人、基金托管人</w:t>
      </w:r>
      <w:r>
        <w:rPr>
          <w:rFonts w:asciiTheme="minorEastAsia" w:eastAsiaTheme="minorEastAsia" w:hAnsiTheme="minorEastAsia" w:hint="eastAsia"/>
          <w:bCs/>
          <w:color w:val="000000"/>
          <w:sz w:val="24"/>
          <w:szCs w:val="24"/>
        </w:rPr>
        <w:t>、基金份额登记机构，</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改聘会计师事务所</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5、基金管理人委托基金服务机构代为办理</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的份额登记、核算、估值等事项，基金托管人委托基金服务机构代为办理</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的核算、估值、复核等事项；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6、基金管理人、基金托管人的法定名称、住所发生变更；</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7、基金管理人</w:t>
      </w:r>
      <w:r>
        <w:rPr>
          <w:rFonts w:asciiTheme="minorEastAsia" w:eastAsiaTheme="minorEastAsia" w:hAnsiTheme="minorEastAsia" w:hint="eastAsia"/>
          <w:bCs/>
          <w:color w:val="000000"/>
          <w:sz w:val="24"/>
          <w:szCs w:val="24"/>
        </w:rPr>
        <w:t>变更持有百分之五以上股权的股东、基金管理人的实际控制人变更</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8、基金管理人的高级管理人员、基金经理和基金托管人</w:t>
      </w:r>
      <w:r>
        <w:rPr>
          <w:rFonts w:asciiTheme="minorEastAsia" w:eastAsiaTheme="minorEastAsia" w:hAnsiTheme="minorEastAsia" w:hint="eastAsia"/>
          <w:bCs/>
          <w:color w:val="000000"/>
          <w:sz w:val="24"/>
          <w:szCs w:val="24"/>
        </w:rPr>
        <w:t>专门基金</w:t>
      </w:r>
      <w:r>
        <w:rPr>
          <w:rFonts w:asciiTheme="minorEastAsia" w:eastAsiaTheme="minorEastAsia" w:hAnsiTheme="minorEastAsia"/>
          <w:bCs/>
          <w:color w:val="000000"/>
          <w:sz w:val="24"/>
          <w:szCs w:val="24"/>
        </w:rPr>
        <w:t>托管部门负责人发生变动；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9、基金管理人的董事在</w:t>
      </w:r>
      <w:r>
        <w:rPr>
          <w:rFonts w:asciiTheme="minorEastAsia" w:eastAsiaTheme="minorEastAsia" w:hAnsiTheme="minorEastAsia" w:hint="eastAsia"/>
          <w:bCs/>
          <w:color w:val="000000"/>
          <w:sz w:val="24"/>
          <w:szCs w:val="24"/>
        </w:rPr>
        <w:t>最近12个月内</w:t>
      </w:r>
      <w:r>
        <w:rPr>
          <w:rFonts w:asciiTheme="minorEastAsia" w:eastAsiaTheme="minorEastAsia" w:hAnsiTheme="minorEastAsia"/>
          <w:bCs/>
          <w:color w:val="000000"/>
          <w:sz w:val="24"/>
          <w:szCs w:val="24"/>
        </w:rPr>
        <w:t>变更超过百分之五十</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基金管理人、基金托管人</w:t>
      </w:r>
      <w:r>
        <w:rPr>
          <w:rFonts w:asciiTheme="minorEastAsia" w:eastAsiaTheme="minorEastAsia" w:hAnsiTheme="minorEastAsia" w:hint="eastAsia"/>
          <w:bCs/>
          <w:color w:val="000000"/>
          <w:sz w:val="24"/>
          <w:szCs w:val="24"/>
        </w:rPr>
        <w:t>专门基金</w:t>
      </w:r>
      <w:r>
        <w:rPr>
          <w:rFonts w:asciiTheme="minorEastAsia" w:eastAsiaTheme="minorEastAsia" w:hAnsiTheme="minorEastAsia"/>
          <w:bCs/>
          <w:color w:val="000000"/>
          <w:sz w:val="24"/>
          <w:szCs w:val="24"/>
        </w:rPr>
        <w:t>托管部门的主要业务人员在</w:t>
      </w:r>
      <w:r>
        <w:rPr>
          <w:rFonts w:asciiTheme="minorEastAsia" w:eastAsiaTheme="minorEastAsia" w:hAnsiTheme="minorEastAsia" w:hint="eastAsia"/>
          <w:bCs/>
          <w:color w:val="000000"/>
          <w:sz w:val="24"/>
          <w:szCs w:val="24"/>
        </w:rPr>
        <w:t>最近12个月内</w:t>
      </w:r>
      <w:r>
        <w:rPr>
          <w:rFonts w:asciiTheme="minorEastAsia" w:eastAsiaTheme="minorEastAsia" w:hAnsiTheme="minorEastAsia"/>
          <w:bCs/>
          <w:color w:val="000000"/>
          <w:sz w:val="24"/>
          <w:szCs w:val="24"/>
        </w:rPr>
        <w:t>变动超过百分之三十；</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10、涉及</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、基金管理业务</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基金托管业务的诉讼</w:t>
      </w:r>
      <w:r>
        <w:rPr>
          <w:rFonts w:asciiTheme="minorEastAsia" w:eastAsiaTheme="minorEastAsia" w:hAnsiTheme="minorEastAsia" w:hint="eastAsia"/>
          <w:bCs/>
          <w:color w:val="000000"/>
          <w:sz w:val="24"/>
          <w:szCs w:val="24"/>
        </w:rPr>
        <w:t>或仲裁</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11、</w:t>
      </w:r>
      <w:r>
        <w:rPr>
          <w:rFonts w:asciiTheme="minorEastAsia" w:eastAsiaTheme="minorEastAsia" w:hAnsiTheme="minorEastAsia" w:hint="eastAsia"/>
          <w:bCs/>
          <w:color w:val="000000"/>
          <w:sz w:val="24"/>
          <w:szCs w:val="24"/>
        </w:rPr>
        <w:t>基金管理人或其高级管理人员、</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经理因基金管理业务相关行为受到重大行政处罚、刑事处罚，基金托管人或其专门基金托管部门负责人因基金托管业务相关行为受到重大行政处罚、刑事处罚</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12、</w:t>
      </w:r>
      <w:r>
        <w:rPr>
          <w:rFonts w:asciiTheme="minorEastAsia" w:eastAsiaTheme="minorEastAsia" w:hAnsiTheme="minorEastAsia" w:hint="eastAsia"/>
          <w:bCs/>
          <w:color w:val="000000"/>
          <w:sz w:val="24"/>
          <w:szCs w:val="24"/>
        </w:rPr>
        <w:t>基金管理人运用基金财产买卖基金管理人、基金托管人及其控股股东、实际控制人或者与其有重大利害关系的公司发行的证券或者承销期内承销的证券，或者从事其他</w:t>
      </w:r>
      <w:r>
        <w:rPr>
          <w:rFonts w:asciiTheme="minorEastAsia" w:eastAsiaTheme="minorEastAsia" w:hAnsiTheme="minorEastAsia"/>
          <w:bCs/>
          <w:color w:val="000000"/>
          <w:sz w:val="24"/>
          <w:szCs w:val="24"/>
        </w:rPr>
        <w:t>重大关联交易事项</w:t>
      </w:r>
      <w:r>
        <w:rPr>
          <w:rFonts w:asciiTheme="minorEastAsia" w:eastAsiaTheme="minorEastAsia" w:hAnsiTheme="minorEastAsia" w:hint="eastAsia"/>
          <w:bCs/>
          <w:color w:val="000000"/>
          <w:sz w:val="24"/>
          <w:szCs w:val="24"/>
        </w:rPr>
        <w:t>，但中国证监会另有规定的除外；</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13、基金收益分配事项；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14、管理费、托管费</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销售服务费</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申购费</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赎回费等费用计提标准、计提方式和费率发生变更；</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15、任一类基金份额净值</w:t>
      </w:r>
      <w:r>
        <w:rPr>
          <w:rFonts w:asciiTheme="minorEastAsia" w:eastAsiaTheme="minorEastAsia" w:hAnsiTheme="minorEastAsia" w:hint="eastAsia"/>
          <w:bCs/>
          <w:color w:val="000000"/>
          <w:sz w:val="24"/>
          <w:szCs w:val="24"/>
        </w:rPr>
        <w:t>估值</w:t>
      </w:r>
      <w:r>
        <w:rPr>
          <w:rFonts w:asciiTheme="minorEastAsia" w:eastAsiaTheme="minorEastAsia" w:hAnsiTheme="minorEastAsia"/>
          <w:bCs/>
          <w:color w:val="000000"/>
          <w:sz w:val="24"/>
          <w:szCs w:val="24"/>
        </w:rPr>
        <w:t>错误达该类基金份额净值百分之零点五；</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16、本基金开始办理申购、赎回；</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17、本基金发生巨额赎回并延期</w:t>
      </w:r>
      <w:r>
        <w:rPr>
          <w:rFonts w:asciiTheme="minorEastAsia" w:eastAsiaTheme="minorEastAsia" w:hAnsiTheme="minorEastAsia" w:hint="eastAsia"/>
          <w:bCs/>
          <w:color w:val="000000"/>
          <w:sz w:val="24"/>
          <w:szCs w:val="24"/>
        </w:rPr>
        <w:t>办理</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18、本基金连续发生巨额赎回并暂停接受赎回申请</w:t>
      </w:r>
      <w:r>
        <w:rPr>
          <w:rFonts w:asciiTheme="minorEastAsia" w:eastAsiaTheme="minorEastAsia" w:hAnsiTheme="minorEastAsia" w:hint="eastAsia"/>
          <w:bCs/>
          <w:color w:val="000000"/>
          <w:sz w:val="24"/>
          <w:szCs w:val="24"/>
        </w:rPr>
        <w:t>或延缓支付赎回款项</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19、本基金暂停接受申购、赎回申请</w:t>
      </w:r>
      <w:r>
        <w:rPr>
          <w:rFonts w:asciiTheme="minorEastAsia" w:eastAsiaTheme="minorEastAsia" w:hAnsiTheme="minorEastAsia" w:hint="eastAsia"/>
          <w:bCs/>
          <w:color w:val="000000"/>
          <w:sz w:val="24"/>
          <w:szCs w:val="24"/>
        </w:rPr>
        <w:t>或</w:t>
      </w:r>
      <w:r>
        <w:rPr>
          <w:rFonts w:asciiTheme="minorEastAsia" w:eastAsiaTheme="minorEastAsia" w:hAnsiTheme="minorEastAsia"/>
          <w:bCs/>
          <w:color w:val="000000"/>
          <w:sz w:val="24"/>
          <w:szCs w:val="24"/>
        </w:rPr>
        <w:t>重新接受申购、赎回申请；</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20、发生涉及基金申购、赎回事项调整或潜在影响投资者赎回等重大事项时；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21、基金管理人采用摆动定价机制进行估值</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22、</w:t>
      </w:r>
      <w:r>
        <w:rPr>
          <w:rFonts w:asciiTheme="minorEastAsia" w:eastAsiaTheme="minorEastAsia" w:hAnsiTheme="minorEastAsia" w:hint="eastAsia"/>
          <w:bCs/>
          <w:color w:val="000000"/>
          <w:sz w:val="24"/>
          <w:szCs w:val="24"/>
        </w:rPr>
        <w:t>调整基金份额类别设置；</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23、本基金实施基金份额折算；</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24、本基金连续</w:t>
      </w:r>
      <w:r>
        <w:rPr>
          <w:rFonts w:asciiTheme="minorEastAsia" w:eastAsiaTheme="minorEastAsia" w:hAnsiTheme="minorEastAsia"/>
          <w:bCs/>
          <w:color w:val="000000"/>
          <w:sz w:val="24"/>
          <w:szCs w:val="24"/>
        </w:rPr>
        <w:t>30</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40</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45</w:t>
      </w:r>
      <w:r>
        <w:rPr>
          <w:rFonts w:asciiTheme="minorEastAsia" w:eastAsiaTheme="minorEastAsia" w:hAnsiTheme="minorEastAsia" w:hint="eastAsia"/>
          <w:bCs/>
          <w:color w:val="000000"/>
          <w:sz w:val="24"/>
          <w:szCs w:val="24"/>
        </w:rPr>
        <w:t>个工作日出现基金份额持有人数量不满200人或者基金资产净值低于5000万元情形的；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25</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信息披露义务人认为可能对基金份额持有人权益或者基金份额的价格产生重大影响的其他事项或</w:t>
      </w:r>
      <w:r>
        <w:rPr>
          <w:rFonts w:asciiTheme="minorEastAsia" w:eastAsiaTheme="minorEastAsia" w:hAnsiTheme="minorEastAsia"/>
          <w:bCs/>
          <w:color w:val="000000"/>
          <w:sz w:val="24"/>
          <w:szCs w:val="24"/>
        </w:rPr>
        <w:t>中国证监会规定</w:t>
      </w:r>
      <w:r>
        <w:rPr>
          <w:rFonts w:asciiTheme="minorEastAsia" w:eastAsiaTheme="minorEastAsia" w:hAnsiTheme="minorEastAsia" w:hint="eastAsia"/>
          <w:bCs/>
          <w:color w:val="000000"/>
          <w:sz w:val="24"/>
          <w:szCs w:val="24"/>
        </w:rPr>
        <w:t>和基金合同约定</w:t>
      </w:r>
      <w:r>
        <w:rPr>
          <w:rFonts w:asciiTheme="minorEastAsia" w:eastAsiaTheme="minorEastAsia" w:hAnsiTheme="minorEastAsia"/>
          <w:bCs/>
          <w:color w:val="000000"/>
          <w:sz w:val="24"/>
          <w:szCs w:val="24"/>
        </w:rPr>
        <w:t>的其他事项。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六</w:t>
      </w:r>
      <w:r>
        <w:rPr>
          <w:rFonts w:asciiTheme="minorEastAsia" w:eastAsiaTheme="minorEastAsia" w:hAnsiTheme="minorEastAsia"/>
          <w:bCs/>
          <w:color w:val="000000"/>
          <w:sz w:val="24"/>
          <w:szCs w:val="24"/>
        </w:rPr>
        <w:t>）澄清公告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在《基金合同》存续期限内，任何公共</w:t>
      </w:r>
      <w:r>
        <w:rPr>
          <w:rFonts w:asciiTheme="minorEastAsia" w:eastAsiaTheme="minorEastAsia" w:hAnsiTheme="minorEastAsia" w:hint="eastAsia"/>
          <w:bCs/>
          <w:color w:val="000000"/>
          <w:sz w:val="24"/>
          <w:szCs w:val="24"/>
        </w:rPr>
        <w:t>媒介</w:t>
      </w:r>
      <w:r>
        <w:rPr>
          <w:rFonts w:asciiTheme="minorEastAsia" w:eastAsiaTheme="minorEastAsia" w:hAnsiTheme="minorEastAsia"/>
          <w:bCs/>
          <w:color w:val="000000"/>
          <w:sz w:val="24"/>
          <w:szCs w:val="24"/>
        </w:rPr>
        <w:t>中出现的或者在市场上流传的消息可能对基金份额价格产生误导性影响或者引起较大波动，</w:t>
      </w:r>
      <w:r>
        <w:rPr>
          <w:rFonts w:asciiTheme="minorEastAsia" w:eastAsiaTheme="minorEastAsia" w:hAnsiTheme="minorEastAsia" w:hint="eastAsia"/>
          <w:bCs/>
          <w:color w:val="000000"/>
          <w:sz w:val="24"/>
          <w:szCs w:val="24"/>
        </w:rPr>
        <w:t>以及可能损害基金份额持有人权益</w:t>
      </w:r>
      <w:r>
        <w:rPr>
          <w:rFonts w:asciiTheme="minorEastAsia" w:eastAsiaTheme="minorEastAsia" w:hAnsiTheme="minorEastAsia"/>
          <w:bCs/>
          <w:color w:val="000000"/>
          <w:sz w:val="24"/>
          <w:szCs w:val="24"/>
        </w:rPr>
        <w:t>的，相关信息披露义务人知悉后应当立即对该消息进行公开澄清。</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七</w:t>
      </w:r>
      <w:r>
        <w:rPr>
          <w:rFonts w:asciiTheme="minorEastAsia" w:eastAsiaTheme="minorEastAsia" w:hAnsiTheme="minorEastAsia"/>
          <w:bCs/>
          <w:color w:val="000000"/>
          <w:sz w:val="24"/>
          <w:szCs w:val="24"/>
        </w:rPr>
        <w:t>）基金份额持有人大会决议</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基金份额持有人大会决定的事项，应当依法报</w:t>
      </w:r>
      <w:r>
        <w:rPr>
          <w:rFonts w:asciiTheme="minorEastAsia" w:eastAsiaTheme="minorEastAsia" w:hAnsiTheme="minorEastAsia" w:hint="eastAsia"/>
          <w:bCs/>
          <w:color w:val="000000"/>
          <w:sz w:val="24"/>
          <w:szCs w:val="24"/>
        </w:rPr>
        <w:t>中国证监会</w:t>
      </w:r>
      <w:r>
        <w:rPr>
          <w:rFonts w:asciiTheme="minorEastAsia" w:eastAsiaTheme="minorEastAsia" w:hAnsiTheme="minorEastAsia"/>
          <w:bCs/>
          <w:color w:val="000000"/>
          <w:sz w:val="24"/>
          <w:szCs w:val="24"/>
        </w:rPr>
        <w:t>备案，并予以公告。</w:t>
      </w:r>
    </w:p>
    <w:p w:rsidR="00AA3326">
      <w:pPr>
        <w:spacing w:line="360" w:lineRule="auto"/>
        <w:ind w:firstLine="480" w:firstLineChars="200"/>
        <w:rPr>
          <w:rFonts w:asciiTheme="minorEastAsia" w:eastAsiaTheme="minorEastAsia" w:hAnsiTheme="minorEastAsia" w:hint="eastAsia"/>
          <w:b/>
          <w:bCs/>
          <w:color w:val="000000"/>
          <w:sz w:val="24"/>
          <w:szCs w:val="24"/>
        </w:rPr>
      </w:pPr>
      <w:r>
        <w:rPr>
          <w:rFonts w:asciiTheme="minorEastAsia" w:eastAsiaTheme="minorEastAsia" w:hAnsiTheme="minorEastAsia" w:hint="eastAsia"/>
          <w:b/>
          <w:bCs/>
          <w:color w:val="000000"/>
          <w:sz w:val="24"/>
          <w:szCs w:val="24"/>
        </w:rPr>
        <w:t>（八）实施</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期间的信息披露</w:t>
      </w:r>
    </w:p>
    <w:p w:rsidR="00AA3326">
      <w:pPr>
        <w:spacing w:line="360" w:lineRule="auto"/>
        <w:ind w:firstLine="480" w:firstLineChars="200"/>
        <w:rPr>
          <w:rFonts w:asciiTheme="minorEastAsia" w:eastAsiaTheme="minorEastAsia" w:hAnsiTheme="minorEastAsia" w:hint="eastAsia"/>
          <w:b/>
          <w:bCs/>
          <w:color w:val="000000"/>
          <w:sz w:val="24"/>
          <w:szCs w:val="24"/>
        </w:rPr>
      </w:pPr>
      <w:r>
        <w:rPr>
          <w:rFonts w:asciiTheme="minorEastAsia" w:eastAsiaTheme="minorEastAsia" w:hAnsiTheme="minorEastAsia" w:hint="eastAsia"/>
          <w:b/>
          <w:bCs/>
          <w:color w:val="000000"/>
          <w:sz w:val="24"/>
          <w:szCs w:val="24"/>
        </w:rPr>
        <w:t>本基金实施</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的，相关信息披露义务人应当根据法律法规、基金合同和招募说明书的规定进行信息披露，详见招募说明书的规定。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九</w:t>
      </w:r>
      <w:r>
        <w:rPr>
          <w:rFonts w:asciiTheme="minorEastAsia" w:eastAsiaTheme="minorEastAsia" w:hAnsiTheme="minorEastAsia"/>
          <w:bCs/>
          <w:color w:val="000000"/>
          <w:sz w:val="24"/>
          <w:szCs w:val="24"/>
        </w:rPr>
        <w:t>）投资股指期货</w:t>
      </w:r>
      <w:r>
        <w:rPr>
          <w:rFonts w:asciiTheme="minorEastAsia" w:eastAsiaTheme="minorEastAsia" w:hAnsiTheme="minorEastAsia" w:hint="eastAsia"/>
          <w:bCs/>
          <w:color w:val="000000"/>
          <w:sz w:val="24"/>
          <w:szCs w:val="24"/>
        </w:rPr>
        <w:t>的</w:t>
      </w:r>
      <w:r>
        <w:rPr>
          <w:rFonts w:asciiTheme="minorEastAsia" w:eastAsiaTheme="minorEastAsia" w:hAnsiTheme="minorEastAsia"/>
          <w:bCs/>
          <w:color w:val="000000"/>
          <w:sz w:val="24"/>
          <w:szCs w:val="24"/>
        </w:rPr>
        <w:t>信息披露</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在季度报告、中期报告、年度报告等定期报告和招募说明书等文件中披露</w:t>
      </w:r>
      <w:r>
        <w:rPr>
          <w:rFonts w:asciiTheme="minorEastAsia" w:eastAsiaTheme="minorEastAsia" w:hAnsiTheme="minorEastAsia" w:hint="eastAsia"/>
          <w:color w:val="000000"/>
          <w:sz w:val="24"/>
          <w:szCs w:val="24"/>
        </w:rPr>
        <w:t>本基金</w:t>
      </w:r>
      <w:r>
        <w:rPr>
          <w:rFonts w:asciiTheme="minorEastAsia" w:eastAsiaTheme="minorEastAsia" w:hAnsiTheme="minorEastAsia"/>
          <w:bCs/>
          <w:color w:val="000000"/>
          <w:sz w:val="24"/>
          <w:szCs w:val="24"/>
        </w:rPr>
        <w:t>股指期货交易情况，包括</w:t>
      </w:r>
      <w:r>
        <w:rPr>
          <w:rFonts w:asciiTheme="minorEastAsia" w:eastAsiaTheme="minorEastAsia" w:hAnsiTheme="minorEastAsia" w:hint="eastAsia"/>
          <w:bCs/>
          <w:color w:val="000000"/>
          <w:sz w:val="24"/>
          <w:szCs w:val="24"/>
        </w:rPr>
        <w:t>交易</w:t>
      </w:r>
      <w:r>
        <w:rPr>
          <w:rFonts w:asciiTheme="minorEastAsia" w:eastAsiaTheme="minorEastAsia" w:hAnsiTheme="minorEastAsia"/>
          <w:bCs/>
          <w:color w:val="000000"/>
          <w:sz w:val="24"/>
          <w:szCs w:val="24"/>
        </w:rPr>
        <w:t>政策、持仓情况、损益情况、风险指标等，并充分揭示股指期货交易对基金总体风险的影响以及是否符合既定的投资政策和投资目标等。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（十）投资资产支持证券的信息披露</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color w:val="000000"/>
          <w:sz w:val="24"/>
          <w:szCs w:val="24"/>
        </w:rPr>
        <w:t>基金管理人在基金年度报告及</w:t>
      </w:r>
      <w:r>
        <w:rPr>
          <w:rFonts w:asciiTheme="minorEastAsia" w:eastAsiaTheme="minorEastAsia" w:hAnsiTheme="minorEastAsia" w:hint="eastAsia"/>
          <w:bCs/>
          <w:color w:val="000000"/>
          <w:sz w:val="24"/>
          <w:szCs w:val="24"/>
        </w:rPr>
        <w:t>中期报告</w:t>
      </w:r>
      <w:r>
        <w:rPr>
          <w:rFonts w:asciiTheme="minorEastAsia" w:eastAsiaTheme="minorEastAsia" w:hAnsiTheme="minorEastAsia"/>
          <w:color w:val="000000"/>
          <w:sz w:val="24"/>
          <w:szCs w:val="24"/>
        </w:rPr>
        <w:t>中披露</w:t>
      </w:r>
      <w:r>
        <w:rPr>
          <w:rFonts w:asciiTheme="minorEastAsia" w:eastAsiaTheme="minorEastAsia" w:hAnsiTheme="minorEastAsia" w:hint="eastAsia"/>
          <w:color w:val="000000"/>
          <w:sz w:val="24"/>
          <w:szCs w:val="24"/>
        </w:rPr>
        <w:t>本基金</w:t>
      </w:r>
      <w:r>
        <w:rPr>
          <w:rFonts w:asciiTheme="minorEastAsia" w:eastAsiaTheme="minorEastAsia" w:hAnsiTheme="minorEastAsia"/>
          <w:color w:val="000000"/>
          <w:sz w:val="24"/>
          <w:szCs w:val="24"/>
        </w:rPr>
        <w:t>持有的资产支持证券总额、资产支持证券市值占</w:t>
      </w:r>
      <w:r>
        <w:rPr>
          <w:rFonts w:asciiTheme="minorEastAsia" w:eastAsiaTheme="minorEastAsia" w:hAnsiTheme="minorEastAsia"/>
          <w:bCs/>
          <w:color w:val="000000"/>
          <w:sz w:val="24"/>
          <w:szCs w:val="24"/>
        </w:rPr>
        <w:t>基金</w:t>
      </w:r>
      <w:r>
        <w:rPr>
          <w:rFonts w:asciiTheme="minorEastAsia" w:eastAsiaTheme="minorEastAsia" w:hAnsiTheme="minorEastAsia"/>
          <w:color w:val="000000"/>
          <w:sz w:val="24"/>
          <w:szCs w:val="24"/>
        </w:rPr>
        <w:t>净资产的比例和报告期内所有的资产支持证券明细。基金管理人在基金季度报告中披露</w:t>
      </w:r>
      <w:r>
        <w:rPr>
          <w:rFonts w:asciiTheme="minorEastAsia" w:eastAsiaTheme="minorEastAsia" w:hAnsiTheme="minorEastAsia" w:hint="eastAsia"/>
          <w:color w:val="000000"/>
          <w:sz w:val="24"/>
          <w:szCs w:val="24"/>
        </w:rPr>
        <w:t>本基金</w:t>
      </w:r>
      <w:r>
        <w:rPr>
          <w:rFonts w:asciiTheme="minorEastAsia" w:eastAsiaTheme="minorEastAsia" w:hAnsiTheme="minorEastAsia"/>
          <w:color w:val="000000"/>
          <w:sz w:val="24"/>
          <w:szCs w:val="24"/>
        </w:rPr>
        <w:t>持有的资产支持证券总额、资产支持证券市值占</w:t>
      </w:r>
      <w:r>
        <w:rPr>
          <w:rFonts w:asciiTheme="minorEastAsia" w:eastAsiaTheme="minorEastAsia" w:hAnsiTheme="minorEastAsia"/>
          <w:bCs/>
          <w:color w:val="000000"/>
          <w:sz w:val="24"/>
          <w:szCs w:val="24"/>
        </w:rPr>
        <w:t>基金</w:t>
      </w:r>
      <w:r>
        <w:rPr>
          <w:rFonts w:asciiTheme="minorEastAsia" w:eastAsiaTheme="minorEastAsia" w:hAnsiTheme="minorEastAsia"/>
          <w:color w:val="000000"/>
          <w:sz w:val="24"/>
          <w:szCs w:val="24"/>
        </w:rPr>
        <w:t>净资产的比例和报告期末按市值占</w:t>
      </w:r>
      <w:r>
        <w:rPr>
          <w:rFonts w:asciiTheme="minorEastAsia" w:eastAsiaTheme="minorEastAsia" w:hAnsiTheme="minorEastAsia"/>
          <w:bCs/>
          <w:color w:val="000000"/>
          <w:sz w:val="24"/>
          <w:szCs w:val="24"/>
        </w:rPr>
        <w:t>基金</w:t>
      </w:r>
      <w:r>
        <w:rPr>
          <w:rFonts w:asciiTheme="minorEastAsia" w:eastAsiaTheme="minorEastAsia" w:hAnsiTheme="minorEastAsia"/>
          <w:color w:val="000000"/>
          <w:sz w:val="24"/>
          <w:szCs w:val="24"/>
        </w:rPr>
        <w:t>净资产比例大小排序的前10名资产支持证券明细。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（十</w:t>
      </w:r>
      <w:r>
        <w:rPr>
          <w:rFonts w:asciiTheme="minorEastAsia" w:eastAsiaTheme="minorEastAsia" w:hAnsiTheme="minorEastAsia" w:hint="eastAsia"/>
          <w:bCs/>
          <w:color w:val="000000"/>
          <w:sz w:val="24"/>
          <w:szCs w:val="24"/>
        </w:rPr>
        <w:t>一</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参与融资业务的信息披露</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color w:val="000000"/>
          <w:sz w:val="24"/>
          <w:szCs w:val="24"/>
        </w:rPr>
        <w:t>基金管理人</w:t>
      </w:r>
      <w:r>
        <w:rPr>
          <w:rFonts w:asciiTheme="minorEastAsia" w:eastAsiaTheme="minorEastAsia" w:hAnsiTheme="minorEastAsia" w:hint="eastAsia"/>
          <w:bCs/>
          <w:color w:val="000000"/>
          <w:sz w:val="24"/>
          <w:szCs w:val="24"/>
        </w:rPr>
        <w:t>应当在季度报告、中期报告、年度报告等定期报告和招募说明书等文件中披露</w:t>
      </w:r>
      <w:r>
        <w:rPr>
          <w:rFonts w:asciiTheme="minorEastAsia" w:eastAsiaTheme="minorEastAsia" w:hAnsiTheme="minorEastAsia" w:hint="eastAsia"/>
          <w:color w:val="000000"/>
          <w:sz w:val="24"/>
          <w:szCs w:val="24"/>
        </w:rPr>
        <w:t>本基金</w:t>
      </w:r>
      <w:r>
        <w:rPr>
          <w:rFonts w:asciiTheme="minorEastAsia" w:eastAsiaTheme="minorEastAsia" w:hAnsiTheme="minorEastAsia" w:hint="eastAsia"/>
          <w:bCs/>
          <w:color w:val="000000"/>
          <w:sz w:val="24"/>
          <w:szCs w:val="24"/>
        </w:rPr>
        <w:t>参与融资业务的交易情况，包括投资策略、业务开展情况、</w:t>
      </w:r>
      <w:r>
        <w:rPr>
          <w:rFonts w:asciiTheme="minorEastAsia" w:eastAsiaTheme="minorEastAsia" w:hAnsiTheme="minorEastAsia" w:hint="eastAsia"/>
          <w:bCs/>
          <w:color w:val="000000"/>
          <w:sz w:val="24"/>
          <w:szCs w:val="24"/>
        </w:rPr>
        <w:t>损益情况、风险及其管理情况等。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（十二</w:t>
      </w:r>
      <w:r>
        <w:rPr>
          <w:rFonts w:asciiTheme="minorEastAsia" w:eastAsiaTheme="minorEastAsia" w:hAnsiTheme="minorEastAsia"/>
          <w:bCs/>
          <w:color w:val="000000"/>
          <w:sz w:val="24"/>
          <w:szCs w:val="24"/>
        </w:rPr>
        <w:t>）投资</w:t>
      </w:r>
      <w:r>
        <w:rPr>
          <w:rFonts w:asciiTheme="minorEastAsia" w:eastAsiaTheme="minorEastAsia" w:hAnsiTheme="minorEastAsia" w:hint="eastAsia"/>
          <w:bCs/>
          <w:color w:val="000000"/>
          <w:sz w:val="24"/>
          <w:szCs w:val="24"/>
        </w:rPr>
        <w:t>股票期权的</w:t>
      </w:r>
      <w:r>
        <w:rPr>
          <w:rFonts w:asciiTheme="minorEastAsia" w:eastAsiaTheme="minorEastAsia" w:hAnsiTheme="minorEastAsia"/>
          <w:bCs/>
          <w:color w:val="000000"/>
          <w:sz w:val="24"/>
          <w:szCs w:val="24"/>
        </w:rPr>
        <w:t>信息披露</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在季度报告、中期报告、年度报告等定期报告和招募说明书等文件中披露</w:t>
      </w:r>
      <w:r>
        <w:rPr>
          <w:rFonts w:asciiTheme="minorEastAsia" w:eastAsiaTheme="minorEastAsia" w:hAnsiTheme="minorEastAsia" w:hint="eastAsia"/>
          <w:bCs/>
          <w:color w:val="000000"/>
          <w:sz w:val="24"/>
          <w:szCs w:val="24"/>
        </w:rPr>
        <w:t>本基金股票期权</w:t>
      </w:r>
      <w:r>
        <w:rPr>
          <w:rFonts w:asciiTheme="minorEastAsia" w:eastAsiaTheme="minorEastAsia" w:hAnsiTheme="minorEastAsia"/>
          <w:bCs/>
          <w:color w:val="000000"/>
          <w:sz w:val="24"/>
          <w:szCs w:val="24"/>
        </w:rPr>
        <w:t>交易情况，包括投资政策、持仓情况、损益情况、风险指标等，并充分揭示</w:t>
      </w:r>
      <w:r>
        <w:rPr>
          <w:rFonts w:asciiTheme="minorEastAsia" w:eastAsiaTheme="minorEastAsia" w:hAnsiTheme="minorEastAsia" w:hint="eastAsia"/>
          <w:bCs/>
          <w:color w:val="000000"/>
          <w:sz w:val="24"/>
          <w:szCs w:val="24"/>
        </w:rPr>
        <w:t>股票期权</w:t>
      </w:r>
      <w:r>
        <w:rPr>
          <w:rFonts w:asciiTheme="minorEastAsia" w:eastAsiaTheme="minorEastAsia" w:hAnsiTheme="minorEastAsia"/>
          <w:bCs/>
          <w:color w:val="000000"/>
          <w:sz w:val="24"/>
          <w:szCs w:val="24"/>
        </w:rPr>
        <w:t>交易对基金总体风险的影响以及是否符合既定的投资政策和投资目标等。</w:t>
      </w:r>
    </w:p>
    <w:p w:rsidR="00AA3326">
      <w:pPr>
        <w:spacing w:line="360" w:lineRule="auto"/>
        <w:ind w:firstLine="480" w:firstLineChars="200"/>
        <w:rPr>
          <w:bCs/>
          <w:color w:val="000000"/>
          <w:sz w:val="24"/>
        </w:rPr>
      </w:pPr>
      <w:r>
        <w:rPr>
          <w:rFonts w:asciiTheme="minorEastAsia" w:eastAsiaTheme="minorEastAsia" w:hAnsiTheme="minorEastAsia" w:hint="eastAsia"/>
          <w:bCs/>
          <w:color w:val="000000"/>
          <w:sz w:val="24"/>
          <w:szCs w:val="24"/>
        </w:rPr>
        <w:t>（十三</w:t>
      </w:r>
      <w:r>
        <w:rPr>
          <w:rFonts w:asciiTheme="minorEastAsia" w:eastAsiaTheme="minorEastAsia" w:hAnsiTheme="minorEastAsia"/>
          <w:bCs/>
          <w:color w:val="000000"/>
          <w:sz w:val="24"/>
          <w:szCs w:val="24"/>
        </w:rPr>
        <w:t>）</w:t>
      </w:r>
      <w:r>
        <w:rPr>
          <w:rFonts w:hint="eastAsia"/>
          <w:bCs/>
          <w:color w:val="000000"/>
          <w:sz w:val="24"/>
        </w:rPr>
        <w:t>清算报告</w:t>
      </w:r>
    </w:p>
    <w:p w:rsidR="00AA3326">
      <w:pPr>
        <w:spacing w:line="360" w:lineRule="auto"/>
        <w:ind w:firstLine="480" w:firstLineChars="200"/>
        <w:rPr>
          <w:bCs/>
          <w:color w:val="000000"/>
          <w:sz w:val="24"/>
        </w:rPr>
      </w:pPr>
      <w:r>
        <w:rPr>
          <w:rFonts w:hint="eastAsia"/>
          <w:bCs/>
          <w:color w:val="000000"/>
          <w:sz w:val="24"/>
        </w:rPr>
        <w:t>基金合同终止的，基金管理人应当依法组织基金财产清算小组对基金财产进行清算并</w:t>
      </w:r>
      <w:r>
        <w:rPr>
          <w:rFonts w:hint="eastAsia"/>
          <w:bCs/>
          <w:color w:val="000000"/>
          <w:sz w:val="24"/>
        </w:rPr>
        <w:t>作出</w:t>
      </w:r>
      <w:r>
        <w:rPr>
          <w:rFonts w:hint="eastAsia"/>
          <w:bCs/>
          <w:color w:val="000000"/>
          <w:sz w:val="24"/>
        </w:rPr>
        <w:t>清算报告。基金财产清算小组应当将清算报告登载在规定网站上，并将清算报告提示性公告登载在规定报刊上。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（十四）</w:t>
      </w:r>
      <w:r>
        <w:rPr>
          <w:rFonts w:asciiTheme="minorEastAsia" w:eastAsiaTheme="minorEastAsia" w:hAnsiTheme="minorEastAsia"/>
          <w:bCs/>
          <w:color w:val="000000"/>
          <w:sz w:val="24"/>
          <w:szCs w:val="24"/>
        </w:rPr>
        <w:t>中国证监会规定的其他信息。</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六、信息披露事务管理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基金管理人、基金托管人应当建立健全信息披露管理制度，指定</w:t>
      </w:r>
      <w:r>
        <w:rPr>
          <w:rFonts w:asciiTheme="minorEastAsia" w:eastAsiaTheme="minorEastAsia" w:hAnsiTheme="minorEastAsia" w:hint="eastAsia"/>
          <w:bCs/>
          <w:color w:val="000000"/>
          <w:sz w:val="24"/>
          <w:szCs w:val="24"/>
        </w:rPr>
        <w:t>专门部门及高级管理人员</w:t>
      </w:r>
      <w:r>
        <w:rPr>
          <w:rFonts w:asciiTheme="minorEastAsia" w:eastAsiaTheme="minorEastAsia" w:hAnsiTheme="minorEastAsia"/>
          <w:bCs/>
          <w:color w:val="000000"/>
          <w:sz w:val="24"/>
          <w:szCs w:val="24"/>
        </w:rPr>
        <w:t>负责管理信息披露事务。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基金信息披露义务人公开披露基金信息，应当符合中国证监会相关基金信息披露内容与格式准则</w:t>
      </w:r>
      <w:r>
        <w:rPr>
          <w:rFonts w:asciiTheme="minorEastAsia" w:eastAsiaTheme="minorEastAsia" w:hAnsiTheme="minorEastAsia" w:hint="eastAsia"/>
          <w:bCs/>
          <w:color w:val="000000"/>
          <w:sz w:val="24"/>
          <w:szCs w:val="24"/>
        </w:rPr>
        <w:t>等法规</w:t>
      </w:r>
      <w:r>
        <w:rPr>
          <w:rFonts w:asciiTheme="minorEastAsia" w:eastAsiaTheme="minorEastAsia" w:hAnsiTheme="minorEastAsia"/>
          <w:bCs/>
          <w:color w:val="000000"/>
          <w:sz w:val="24"/>
          <w:szCs w:val="24"/>
        </w:rPr>
        <w:t>的规定。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基金托管人应当按照相关法律法规、中国证监会的规定和《基金合同》的约定，对基金管理人编制的基金资产净值、</w:t>
      </w:r>
      <w:r>
        <w:rPr>
          <w:rFonts w:ascii="宋体" w:hAnsi="宋体" w:hint="eastAsia"/>
          <w:bCs/>
          <w:color w:val="000000"/>
          <w:sz w:val="24"/>
          <w:szCs w:val="24"/>
        </w:rPr>
        <w:t>各类</w:t>
      </w:r>
      <w:r>
        <w:rPr>
          <w:rFonts w:asciiTheme="minorEastAsia" w:eastAsiaTheme="minorEastAsia" w:hAnsiTheme="minorEastAsia"/>
          <w:bCs/>
          <w:color w:val="000000"/>
          <w:sz w:val="24"/>
          <w:szCs w:val="24"/>
        </w:rPr>
        <w:t>基金份额净值、基金份额申购赎回价格、基金定期报告</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更新的招募说明书</w:t>
      </w:r>
      <w:r>
        <w:rPr>
          <w:rFonts w:asciiTheme="minorEastAsia" w:eastAsiaTheme="minorEastAsia" w:hAnsiTheme="minorEastAsia" w:hint="eastAsia"/>
          <w:bCs/>
          <w:color w:val="000000"/>
          <w:sz w:val="24"/>
          <w:szCs w:val="24"/>
        </w:rPr>
        <w:t>、基金产品资料概要</w:t>
      </w:r>
      <w:r>
        <w:rPr>
          <w:rFonts w:asciiTheme="minorEastAsia" w:eastAsiaTheme="minorEastAsia" w:hAnsiTheme="minorEastAsia"/>
          <w:bCs/>
          <w:color w:val="000000"/>
          <w:sz w:val="24"/>
          <w:szCs w:val="24"/>
        </w:rPr>
        <w:t>、基金清算报告等相关基金信息进行复核、审查，并向基金管理人</w:t>
      </w:r>
      <w:r>
        <w:rPr>
          <w:rFonts w:asciiTheme="minorEastAsia" w:eastAsiaTheme="minorEastAsia" w:hAnsiTheme="minorEastAsia" w:hint="eastAsia"/>
          <w:bCs/>
          <w:color w:val="000000"/>
          <w:sz w:val="24"/>
          <w:szCs w:val="24"/>
        </w:rPr>
        <w:t>进行书面或电子确认</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基金管理人、基金托管人应当在规定报刊中选择披露信息的报刊。</w:t>
      </w:r>
      <w:r>
        <w:rPr>
          <w:rFonts w:asciiTheme="minorEastAsia" w:eastAsiaTheme="minorEastAsia" w:hAnsiTheme="minorEastAsia" w:hint="eastAsia"/>
          <w:bCs/>
          <w:color w:val="000000"/>
          <w:sz w:val="24"/>
          <w:szCs w:val="24"/>
        </w:rPr>
        <w:t>基金管理人、基金托管人应当向中国证监会基金电子披露网站报送拟披露的</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szCs w:val="24"/>
        </w:rPr>
        <w:t>信息，并保证相关报送信息的真实、准确、完整、及时。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基金管理人、基金托管人除依法在规定媒介上披露信息外，还可以根据需要在其他公共</w:t>
      </w:r>
      <w:r>
        <w:rPr>
          <w:rFonts w:asciiTheme="minorEastAsia" w:eastAsiaTheme="minorEastAsia" w:hAnsiTheme="minorEastAsia" w:hint="eastAsia"/>
          <w:bCs/>
          <w:color w:val="000000"/>
          <w:sz w:val="24"/>
          <w:szCs w:val="24"/>
        </w:rPr>
        <w:t>媒介</w:t>
      </w:r>
      <w:r>
        <w:rPr>
          <w:rFonts w:asciiTheme="minorEastAsia" w:eastAsiaTheme="minorEastAsia" w:hAnsiTheme="minorEastAsia"/>
          <w:bCs/>
          <w:color w:val="000000"/>
          <w:sz w:val="24"/>
          <w:szCs w:val="24"/>
        </w:rPr>
        <w:t>披露信息，但是其他公共</w:t>
      </w:r>
      <w:r>
        <w:rPr>
          <w:rFonts w:asciiTheme="minorEastAsia" w:eastAsiaTheme="minorEastAsia" w:hAnsiTheme="minorEastAsia" w:hint="eastAsia"/>
          <w:bCs/>
          <w:color w:val="000000"/>
          <w:sz w:val="24"/>
          <w:szCs w:val="24"/>
        </w:rPr>
        <w:t>媒介</w:t>
      </w:r>
      <w:r>
        <w:rPr>
          <w:rFonts w:asciiTheme="minorEastAsia" w:eastAsiaTheme="minorEastAsia" w:hAnsiTheme="minorEastAsia"/>
          <w:bCs/>
          <w:color w:val="000000"/>
          <w:sz w:val="24"/>
          <w:szCs w:val="24"/>
        </w:rPr>
        <w:t>不得早于规定媒介披露信息，并且在不同媒介上披露同一信息的内容应当一致。</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为基金信息披露义务人公开披露的基金信息出具审计报告、法律意见书的专业机构，应当制作工作底稿，并将相关档案至少保存到</w:t>
      </w:r>
      <w:r>
        <w:rPr>
          <w:rFonts w:hint="eastAsia"/>
          <w:bCs/>
          <w:color w:val="000000"/>
          <w:sz w:val="24"/>
        </w:rPr>
        <w:t>不低于法律法规规定的最低期限</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七、信息披露文件的存放与查阅</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依法必须披露的信息发布后，基金管理人、基金托管人应当按照相关法律法规规定将信息置备于各自住所，供社会公众查阅、复制</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八、暂停或延迟信息披露的情形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当出现下述情况时，基金管理人和基金托管人可暂停或延迟披露基金相关信息：</w:t>
      </w:r>
    </w:p>
    <w:p w:rsidR="00AA3326">
      <w:pPr>
        <w:spacing w:line="360" w:lineRule="auto"/>
        <w:ind w:firstLine="480" w:firstLineChars="200"/>
        <w:rPr>
          <w:rFonts w:asciiTheme="minorEastAsia" w:eastAsiaTheme="minorEastAsia" w:hAnsiTheme="minorEastAsia" w:hint="eastAsia"/>
          <w:bCs/>
          <w:color w:val="000000"/>
          <w:sz w:val="24"/>
          <w:szCs w:val="24"/>
        </w:rPr>
      </w:pPr>
      <w:bookmarkStart w:id="557" w:name="_Hlk197517847"/>
      <w:r>
        <w:rPr>
          <w:rFonts w:asciiTheme="minorEastAsia" w:eastAsiaTheme="minorEastAsia" w:hAnsiTheme="minorEastAsia" w:hint="eastAsia"/>
          <w:bCs/>
          <w:color w:val="000000"/>
          <w:sz w:val="24"/>
          <w:szCs w:val="24"/>
        </w:rPr>
        <w:t>1、</w:t>
      </w:r>
      <w:r>
        <w:rPr>
          <w:rFonts w:asciiTheme="minorEastAsia" w:eastAsiaTheme="minorEastAsia" w:hAnsiTheme="minorEastAsia"/>
          <w:bCs/>
          <w:color w:val="000000"/>
          <w:sz w:val="24"/>
          <w:szCs w:val="24"/>
        </w:rPr>
        <w:t>不可抗力</w:t>
      </w:r>
      <w:bookmarkStart w:id="558" w:name="_Hlk34407704"/>
      <w:r>
        <w:rPr>
          <w:rFonts w:ascii="宋体" w:hAnsi="宋体" w:hint="eastAsia"/>
          <w:bCs/>
          <w:color w:val="000000"/>
          <w:sz w:val="24"/>
          <w:szCs w:val="24"/>
        </w:rPr>
        <w:t>或其他情形致使基金管理人、基金托管人无法准确评估基金资产价值时</w:t>
      </w:r>
      <w:bookmarkEnd w:id="558"/>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w:t>
      </w:r>
      <w:r>
        <w:rPr>
          <w:rFonts w:asciiTheme="minorEastAsia" w:eastAsiaTheme="minorEastAsia" w:hAnsiTheme="minorEastAsia"/>
          <w:bCs/>
          <w:color w:val="000000"/>
          <w:sz w:val="24"/>
          <w:szCs w:val="24"/>
        </w:rPr>
        <w:t>基金投资所涉及的证券/期货交易市场遇法定节假日或因其他原因暂停营业时；</w:t>
      </w:r>
    </w:p>
    <w:p w:rsidR="00AA3326">
      <w:pPr>
        <w:spacing w:line="360" w:lineRule="auto"/>
        <w:ind w:firstLine="480" w:firstLineChars="200"/>
        <w:rPr>
          <w:rFonts w:ascii="宋体" w:hAnsi="宋体" w:hint="eastAsia"/>
          <w:bCs/>
          <w:color w:val="000000"/>
          <w:sz w:val="24"/>
          <w:szCs w:val="24"/>
        </w:rPr>
      </w:pPr>
      <w:r>
        <w:rPr>
          <w:rFonts w:asciiTheme="minorEastAsia" w:eastAsiaTheme="minorEastAsia" w:hAnsiTheme="minorEastAsia"/>
          <w:bCs/>
          <w:color w:val="000000"/>
          <w:sz w:val="24"/>
          <w:szCs w:val="24"/>
        </w:rPr>
        <w:t>3、</w:t>
      </w:r>
      <w:bookmarkStart w:id="559" w:name="_Hlk34407712"/>
      <w:r>
        <w:rPr>
          <w:rFonts w:ascii="宋体" w:hAnsi="宋体" w:hint="eastAsia"/>
          <w:bCs/>
          <w:color w:val="000000"/>
          <w:sz w:val="24"/>
          <w:szCs w:val="24"/>
        </w:rPr>
        <w:t>发生暂停</w:t>
      </w:r>
      <w:r>
        <w:rPr>
          <w:rFonts w:asciiTheme="minorEastAsia" w:eastAsiaTheme="minorEastAsia" w:hAnsiTheme="minorEastAsia"/>
          <w:bCs/>
          <w:color w:val="000000"/>
          <w:sz w:val="24"/>
          <w:szCs w:val="24"/>
        </w:rPr>
        <w:t>基金</w:t>
      </w:r>
      <w:r>
        <w:rPr>
          <w:rFonts w:ascii="宋体" w:hAnsi="宋体" w:hint="eastAsia"/>
          <w:bCs/>
          <w:color w:val="000000"/>
          <w:sz w:val="24"/>
          <w:szCs w:val="24"/>
        </w:rPr>
        <w:t>估值的情形时；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宋体" w:hAnsi="宋体" w:hint="eastAsia"/>
          <w:bCs/>
          <w:color w:val="000000"/>
          <w:sz w:val="24"/>
          <w:szCs w:val="24"/>
        </w:rPr>
        <w:t>4</w:t>
      </w:r>
      <w:r>
        <w:rPr>
          <w:rFonts w:ascii="宋体" w:hAnsi="宋体"/>
          <w:bCs/>
          <w:color w:val="000000"/>
          <w:sz w:val="24"/>
          <w:szCs w:val="24"/>
        </w:rPr>
        <w:t>、</w:t>
      </w:r>
      <w:bookmarkEnd w:id="559"/>
      <w:r>
        <w:rPr>
          <w:rFonts w:asciiTheme="minorEastAsia" w:eastAsiaTheme="minorEastAsia" w:hAnsiTheme="minorEastAsia"/>
          <w:bCs/>
          <w:color w:val="000000"/>
          <w:sz w:val="24"/>
          <w:szCs w:val="24"/>
        </w:rPr>
        <w:t>法律法规、《基金合同》或中国证监会规定的其他情况。</w:t>
      </w:r>
    </w:p>
    <w:p w:rsidR="00AA3326">
      <w:pPr>
        <w:spacing w:line="360" w:lineRule="auto"/>
        <w:ind w:firstLine="480" w:firstLineChars="200"/>
        <w:rPr>
          <w:rFonts w:asciiTheme="minorEastAsia" w:eastAsiaTheme="minorEastAsia" w:hAnsiTheme="minorEastAsia" w:hint="eastAsia"/>
          <w:bCs/>
          <w:color w:val="000000"/>
          <w:sz w:val="24"/>
          <w:szCs w:val="24"/>
        </w:rPr>
      </w:pPr>
      <w:bookmarkEnd w:id="557"/>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kern w:val="44"/>
          <w:sz w:val="21"/>
        </w:rPr>
        <w:br w:type="page"/>
      </w:r>
      <w:bookmarkStart w:id="560" w:name="_Toc532487744"/>
      <w:bookmarkStart w:id="561" w:name="_Toc123112247"/>
      <w:bookmarkStart w:id="562" w:name="_Toc27464"/>
      <w:bookmarkStart w:id="563" w:name="_Toc25647"/>
      <w:bookmarkStart w:id="564" w:name="_Toc534140382"/>
      <w:bookmarkStart w:id="565" w:name="_Toc8049"/>
      <w:bookmarkStart w:id="566" w:name="_Toc139991749"/>
      <w:bookmarkStart w:id="567" w:name="_Toc123102466"/>
      <w:bookmarkStart w:id="568" w:name="_Toc6237"/>
      <w:bookmarkStart w:id="569" w:name="_Toc9005"/>
      <w:bookmarkStart w:id="570" w:name="_Toc8059"/>
      <w:bookmarkStart w:id="571" w:name="_Toc7170"/>
      <w:bookmarkStart w:id="572" w:name="_Toc11113"/>
      <w:bookmarkStart w:id="573" w:name="_Toc29891"/>
      <w:bookmarkStart w:id="574" w:name="_Toc22978"/>
      <w:bookmarkStart w:id="575" w:name="_Toc10006"/>
      <w:bookmarkStart w:id="576" w:name="_Toc141703899"/>
      <w:bookmarkStart w:id="577" w:name="_Toc123051465"/>
      <w:bookmarkStart w:id="578" w:name="_Toc98560364"/>
      <w:bookmarkStart w:id="579" w:name="_Toc207633418"/>
      <w:bookmarkStart w:id="580" w:name="_Hlk197686524"/>
      <w:r>
        <w:rPr>
          <w:rFonts w:asciiTheme="minorEastAsia" w:eastAsiaTheme="minorEastAsia" w:hAnsiTheme="minorEastAsia"/>
          <w:sz w:val="30"/>
        </w:rPr>
        <w:t>第</w:t>
      </w:r>
      <w:r>
        <w:rPr>
          <w:rFonts w:asciiTheme="minorEastAsia" w:eastAsiaTheme="minorEastAsia" w:hAnsiTheme="minorEastAsia" w:hint="eastAsia"/>
          <w:sz w:val="30"/>
        </w:rPr>
        <w:t>二十</w:t>
      </w:r>
      <w:r>
        <w:rPr>
          <w:rFonts w:asciiTheme="minorEastAsia" w:eastAsiaTheme="minorEastAsia" w:hAnsiTheme="minorEastAsia"/>
          <w:sz w:val="30"/>
        </w:rPr>
        <w:t xml:space="preserve">部分  </w:t>
      </w:r>
      <w:bookmarkStart w:id="581" w:name="_Hlt88828593"/>
      <w:r>
        <w:rPr>
          <w:rFonts w:asciiTheme="minorEastAsia" w:eastAsiaTheme="minorEastAsia" w:hAnsiTheme="minorEastAsia" w:hint="eastAsia"/>
          <w:sz w:val="30"/>
        </w:rPr>
        <w:t>基金</w:t>
      </w:r>
      <w:r>
        <w:rPr>
          <w:rFonts w:asciiTheme="minorEastAsia" w:eastAsiaTheme="minorEastAsia" w:hAnsiTheme="minorEastAsia"/>
          <w:sz w:val="30"/>
        </w:rPr>
        <w:t>合同</w:t>
      </w:r>
      <w:bookmarkEnd w:id="581"/>
      <w:r>
        <w:rPr>
          <w:rFonts w:asciiTheme="minorEastAsia" w:eastAsiaTheme="minorEastAsia" w:hAnsiTheme="minorEastAsia"/>
          <w:sz w:val="30"/>
        </w:rPr>
        <w:t>的变更、终止与</w:t>
      </w:r>
      <w:r>
        <w:rPr>
          <w:rFonts w:asciiTheme="minorEastAsia" w:eastAsiaTheme="minorEastAsia" w:hAnsiTheme="minorEastAsia" w:hint="eastAsia"/>
          <w:sz w:val="30"/>
        </w:rPr>
        <w:t>基金财产</w:t>
      </w:r>
      <w:r>
        <w:rPr>
          <w:rFonts w:asciiTheme="minorEastAsia" w:eastAsiaTheme="minorEastAsia" w:hAnsiTheme="minorEastAsia"/>
          <w:sz w:val="30"/>
        </w:rPr>
        <w:t>的清算</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bookmarkStart w:id="582" w:name="_Toc79392639"/>
      <w:r>
        <w:rPr>
          <w:rFonts w:asciiTheme="minorEastAsia" w:eastAsiaTheme="minorEastAsia" w:hAnsiTheme="minorEastAsia"/>
          <w:bCs/>
          <w:color w:val="000000"/>
          <w:sz w:val="24"/>
        </w:rPr>
        <w:t>一、《基金合同》的变更</w:t>
      </w:r>
      <w:bookmarkEnd w:id="582"/>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1、变更</w:t>
      </w:r>
      <w:r>
        <w:rPr>
          <w:rFonts w:asciiTheme="minorEastAsia" w:eastAsiaTheme="minorEastAsia" w:hAnsiTheme="minorEastAsia" w:hint="eastAsia"/>
          <w:bCs/>
          <w:color w:val="000000"/>
          <w:sz w:val="24"/>
        </w:rPr>
        <w:t>《</w:t>
      </w:r>
      <w:r>
        <w:rPr>
          <w:rFonts w:asciiTheme="minorEastAsia" w:eastAsiaTheme="minorEastAsia" w:hAnsiTheme="minorEastAsia"/>
          <w:bCs/>
          <w:color w:val="000000"/>
          <w:sz w:val="24"/>
        </w:rPr>
        <w:t>基金合同</w:t>
      </w:r>
      <w:r>
        <w:rPr>
          <w:rFonts w:asciiTheme="minorEastAsia" w:eastAsiaTheme="minorEastAsia" w:hAnsiTheme="minorEastAsia" w:hint="eastAsia"/>
          <w:bCs/>
          <w:color w:val="000000"/>
          <w:sz w:val="24"/>
        </w:rPr>
        <w:t>》涉及</w:t>
      </w:r>
      <w:r>
        <w:rPr>
          <w:rFonts w:asciiTheme="minorEastAsia" w:eastAsiaTheme="minorEastAsia" w:hAnsiTheme="minorEastAsia"/>
          <w:bCs/>
          <w:color w:val="000000"/>
          <w:sz w:val="24"/>
        </w:rPr>
        <w:t>法律法规规定或基金合同约定应经基金份额持有人大会决议通过的事项的，应召</w:t>
      </w:r>
      <w:r>
        <w:rPr>
          <w:rFonts w:asciiTheme="minorEastAsia" w:eastAsiaTheme="minorEastAsia" w:hAnsiTheme="minorEastAsia"/>
          <w:bCs/>
          <w:color w:val="000000"/>
          <w:sz w:val="24"/>
        </w:rPr>
        <w:t>开基金</w:t>
      </w:r>
      <w:r>
        <w:rPr>
          <w:rFonts w:asciiTheme="minorEastAsia" w:eastAsiaTheme="minorEastAsia" w:hAnsiTheme="minorEastAsia"/>
          <w:bCs/>
          <w:color w:val="000000"/>
          <w:sz w:val="24"/>
        </w:rPr>
        <w:t>份额持有人大会决议通过。对于法律法规规定和基金合同约定可不经基金份额持有人大会决议通过的事项，由基金管理人和基金托管人同意后变更并公告。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2、关于《基金合同》变更的基金份额持有人大会决议</w:t>
      </w:r>
      <w:r>
        <w:rPr>
          <w:rFonts w:asciiTheme="minorEastAsia" w:eastAsiaTheme="minorEastAsia" w:hAnsiTheme="minorEastAsia" w:hint="eastAsia"/>
          <w:bCs/>
          <w:color w:val="000000"/>
          <w:sz w:val="24"/>
        </w:rPr>
        <w:t>自</w:t>
      </w:r>
      <w:r>
        <w:rPr>
          <w:rFonts w:asciiTheme="minorEastAsia" w:eastAsiaTheme="minorEastAsia" w:hAnsiTheme="minorEastAsia"/>
          <w:bCs/>
          <w:color w:val="000000"/>
          <w:sz w:val="24"/>
        </w:rPr>
        <w:t>生效后方可执行，</w:t>
      </w:r>
      <w:r>
        <w:rPr>
          <w:rFonts w:asciiTheme="minorEastAsia" w:eastAsiaTheme="minorEastAsia" w:hAnsiTheme="minorEastAsia"/>
          <w:bCs/>
          <w:color w:val="000000"/>
          <w:sz w:val="24"/>
        </w:rPr>
        <w:t>自决议</w:t>
      </w:r>
      <w:r>
        <w:rPr>
          <w:rFonts w:asciiTheme="minorEastAsia" w:eastAsiaTheme="minorEastAsia" w:hAnsiTheme="minorEastAsia"/>
          <w:bCs/>
          <w:color w:val="000000"/>
          <w:sz w:val="24"/>
        </w:rPr>
        <w:t>生效后两日内在规定媒介公告。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二、《基金合同》的终止事由</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有下列情形之一的，</w:t>
      </w:r>
      <w:r>
        <w:rPr>
          <w:rFonts w:asciiTheme="minorEastAsia" w:eastAsiaTheme="minorEastAsia" w:hAnsiTheme="minorEastAsia" w:hint="eastAsia"/>
          <w:bCs/>
          <w:color w:val="000000"/>
          <w:sz w:val="24"/>
        </w:rPr>
        <w:t>经履行相关程序后，</w:t>
      </w:r>
      <w:r>
        <w:rPr>
          <w:rFonts w:asciiTheme="minorEastAsia" w:eastAsiaTheme="minorEastAsia" w:hAnsiTheme="minorEastAsia"/>
          <w:bCs/>
          <w:color w:val="000000"/>
          <w:sz w:val="24"/>
        </w:rPr>
        <w:t>《基金合同》应当终止：</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1、基金份额持有人大会决定终止的；</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2、基金管理人、基金托管人职责终止，在6个月内没有新基金管理人、新基金托管人承接的；</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3、《基金合同》约定的其他情形；</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4、相关法律法规和中国证监会规定的其他情况。</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三、</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的清算</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清算小组：自出现《基金合同》终止事由之日起30个工作日内成立清算小组，基金管理人组织</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清算小组并在中国证监会的监督下进行</w:t>
      </w:r>
      <w:r>
        <w:rPr>
          <w:rFonts w:asciiTheme="minorEastAsia" w:eastAsiaTheme="minorEastAsia" w:hAnsiTheme="minorEastAsia"/>
          <w:bCs/>
          <w:color w:val="000000"/>
          <w:sz w:val="24"/>
          <w:szCs w:val="24"/>
        </w:rPr>
        <w:t>基金</w:t>
      </w:r>
      <w:r>
        <w:rPr>
          <w:rFonts w:asciiTheme="minorEastAsia" w:eastAsiaTheme="minorEastAsia" w:hAnsiTheme="minorEastAsia"/>
          <w:bCs/>
          <w:color w:val="000000"/>
          <w:sz w:val="24"/>
        </w:rPr>
        <w:t>清算。</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清算小组组成：</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清算小组成员由基金管理人、基金托管人、</w:t>
      </w:r>
      <w:r>
        <w:rPr>
          <w:rFonts w:asciiTheme="minorEastAsia" w:eastAsiaTheme="minorEastAsia" w:hAnsiTheme="minorEastAsia" w:hint="eastAsia"/>
          <w:bCs/>
          <w:color w:val="000000"/>
          <w:sz w:val="24"/>
        </w:rPr>
        <w:t>符合《中华人民共和国证券法》规定</w:t>
      </w:r>
      <w:r>
        <w:rPr>
          <w:rFonts w:asciiTheme="minorEastAsia" w:eastAsiaTheme="minorEastAsia" w:hAnsiTheme="minorEastAsia"/>
          <w:bCs/>
          <w:color w:val="000000"/>
          <w:sz w:val="24"/>
        </w:rPr>
        <w:t>的注册会计师、律师以及中国证监会指定的人员组成。</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清算小组可以聘用必要的工作人员。</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清算小组职责：</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清算小组负责</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的保管、清理、估价、变现和分配。</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清算小组可以依法进行必要的民事活动。</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4、</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清算程序：</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（1）《基金合同》终止情形出现时，由</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清算小组统一接管</w:t>
      </w:r>
      <w:r>
        <w:rPr>
          <w:rFonts w:asciiTheme="minorEastAsia" w:eastAsiaTheme="minorEastAsia" w:hAnsiTheme="minorEastAsia"/>
          <w:bCs/>
          <w:color w:val="000000"/>
          <w:sz w:val="24"/>
          <w:szCs w:val="24"/>
        </w:rPr>
        <w:t>基金</w:t>
      </w:r>
      <w:r>
        <w:rPr>
          <w:rFonts w:asciiTheme="minorEastAsia" w:eastAsiaTheme="minorEastAsia" w:hAnsiTheme="minorEastAsia"/>
          <w:bCs/>
          <w:color w:val="000000"/>
          <w:sz w:val="24"/>
        </w:rPr>
        <w:t>；</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（2）对</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和债权债务进行清理和确认；</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（3）对</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进行估值和变现；</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（4）制作清算报告；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（5）聘请会计师事务所对清算报告进行外部审计，聘请律师事务所对清算报告出具法律意见书；</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（6）将清算报告报中国证监会备案并公告</w:t>
      </w:r>
      <w:r>
        <w:rPr>
          <w:rFonts w:asciiTheme="minorEastAsia" w:eastAsiaTheme="minorEastAsia" w:hAnsiTheme="minorEastAsia" w:hint="eastAsia"/>
          <w:bCs/>
          <w:color w:val="000000"/>
          <w:sz w:val="24"/>
        </w:rPr>
        <w:t>；</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（7）对</w:t>
      </w:r>
      <w:r>
        <w:rPr>
          <w:rFonts w:asciiTheme="minorEastAsia" w:eastAsiaTheme="minorEastAsia" w:hAnsiTheme="minorEastAsia"/>
          <w:bCs/>
          <w:color w:val="000000"/>
          <w:sz w:val="24"/>
          <w:szCs w:val="24"/>
        </w:rPr>
        <w:t>基金</w:t>
      </w:r>
      <w:r>
        <w:rPr>
          <w:rFonts w:asciiTheme="minorEastAsia" w:eastAsiaTheme="minorEastAsia" w:hAnsiTheme="minorEastAsia" w:hint="eastAsia"/>
          <w:bCs/>
          <w:color w:val="000000"/>
          <w:sz w:val="24"/>
        </w:rPr>
        <w:t>剩余</w:t>
      </w:r>
      <w:r>
        <w:rPr>
          <w:rFonts w:asciiTheme="minorEastAsia" w:eastAsiaTheme="minorEastAsia" w:hAnsiTheme="minorEastAsia"/>
          <w:bCs/>
          <w:color w:val="000000"/>
          <w:sz w:val="24"/>
        </w:rPr>
        <w:t>财产进行分配</w:t>
      </w:r>
      <w:r>
        <w:rPr>
          <w:rFonts w:asciiTheme="minorEastAsia" w:eastAsiaTheme="minorEastAsia" w:hAnsiTheme="minorEastAsia" w:hint="eastAsia"/>
          <w:bCs/>
          <w:color w:val="000000"/>
          <w:sz w:val="24"/>
        </w:rPr>
        <w:t>。</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5、</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清算的期限为</w:t>
      </w:r>
      <w:r>
        <w:rPr>
          <w:rFonts w:asciiTheme="minorEastAsia" w:eastAsiaTheme="minorEastAsia" w:hAnsiTheme="minorEastAsia" w:hint="eastAsia"/>
          <w:bCs/>
          <w:color w:val="000000"/>
          <w:sz w:val="24"/>
        </w:rPr>
        <w:t>6</w:t>
      </w:r>
      <w:r>
        <w:rPr>
          <w:rFonts w:asciiTheme="minorEastAsia" w:eastAsiaTheme="minorEastAsia" w:hAnsiTheme="minorEastAsia"/>
          <w:bCs/>
          <w:color w:val="000000"/>
          <w:sz w:val="24"/>
        </w:rPr>
        <w:t>个月，但因本基金所持证券的流动性受到限制而不能及时变现的，清算期限可相应顺延。</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四、清算费用</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清算费用是指</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清算小组在进行</w:t>
      </w:r>
      <w:r>
        <w:rPr>
          <w:rFonts w:asciiTheme="minorEastAsia" w:eastAsiaTheme="minorEastAsia" w:hAnsiTheme="minorEastAsia"/>
          <w:bCs/>
          <w:color w:val="000000"/>
          <w:sz w:val="24"/>
          <w:szCs w:val="24"/>
        </w:rPr>
        <w:t>基金</w:t>
      </w:r>
      <w:r>
        <w:rPr>
          <w:rFonts w:asciiTheme="minorEastAsia" w:eastAsiaTheme="minorEastAsia" w:hAnsiTheme="minorEastAsia"/>
          <w:bCs/>
          <w:color w:val="000000"/>
          <w:sz w:val="24"/>
        </w:rPr>
        <w:t>清算过程中发生的所有合理费用，清算费用由</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清算小组优先从</w:t>
      </w:r>
      <w:r>
        <w:rPr>
          <w:rFonts w:asciiTheme="minorEastAsia" w:eastAsiaTheme="minorEastAsia" w:hAnsiTheme="minorEastAsia" w:hint="eastAsia"/>
          <w:bCs/>
          <w:color w:val="000000"/>
          <w:sz w:val="24"/>
        </w:rPr>
        <w:t>基金剩余财产</w:t>
      </w:r>
      <w:r>
        <w:rPr>
          <w:rFonts w:asciiTheme="minorEastAsia" w:eastAsiaTheme="minorEastAsia" w:hAnsiTheme="minorEastAsia"/>
          <w:bCs/>
          <w:color w:val="000000"/>
          <w:sz w:val="24"/>
        </w:rPr>
        <w:t>中支付。</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五、</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清算剩余资产的分配</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依据</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清算的分配方案，将</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清算后的全部剩余资产扣除</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清算费用、交纳所欠税款并清偿</w:t>
      </w:r>
      <w:r>
        <w:rPr>
          <w:rFonts w:asciiTheme="minorEastAsia" w:eastAsiaTheme="minorEastAsia" w:hAnsiTheme="minorEastAsia"/>
          <w:bCs/>
          <w:color w:val="000000"/>
          <w:sz w:val="24"/>
          <w:szCs w:val="24"/>
        </w:rPr>
        <w:t>基金</w:t>
      </w:r>
      <w:r>
        <w:rPr>
          <w:rFonts w:asciiTheme="minorEastAsia" w:eastAsiaTheme="minorEastAsia" w:hAnsiTheme="minorEastAsia"/>
          <w:bCs/>
          <w:color w:val="000000"/>
          <w:sz w:val="24"/>
        </w:rPr>
        <w:t>债务后，按基金份额持有人持有的基金份额比例进行分配。</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六、</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清算的公告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清算过程中的有关重大事项须及时公告；</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清算报告</w:t>
      </w:r>
      <w:r>
        <w:rPr>
          <w:rFonts w:asciiTheme="minorEastAsia" w:eastAsiaTheme="minorEastAsia" w:hAnsiTheme="minorEastAsia"/>
          <w:bCs/>
          <w:color w:val="000000"/>
          <w:sz w:val="24"/>
        </w:rPr>
        <w:t>经</w:t>
      </w:r>
      <w:r>
        <w:rPr>
          <w:rFonts w:asciiTheme="minorEastAsia" w:eastAsiaTheme="minorEastAsia" w:hAnsiTheme="minorEastAsia" w:hint="eastAsia"/>
          <w:bCs/>
          <w:color w:val="000000"/>
          <w:sz w:val="24"/>
        </w:rPr>
        <w:t>符合</w:t>
      </w:r>
      <w:r>
        <w:rPr>
          <w:rFonts w:asciiTheme="minorEastAsia" w:eastAsiaTheme="minorEastAsia" w:hAnsiTheme="minorEastAsia" w:hint="eastAsia"/>
          <w:bCs/>
          <w:color w:val="000000"/>
          <w:sz w:val="24"/>
        </w:rPr>
        <w:t>《中华人民共和国证券法》规定的</w:t>
      </w:r>
      <w:r>
        <w:rPr>
          <w:rFonts w:asciiTheme="minorEastAsia" w:eastAsiaTheme="minorEastAsia" w:hAnsiTheme="minorEastAsia"/>
          <w:bCs/>
          <w:color w:val="000000"/>
          <w:sz w:val="24"/>
        </w:rPr>
        <w:t>会计师事务所审计并由律师事务所出具法律意见书后报中国证监会备案并公告。</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清算公告于</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清算报告报中国证监会备案后5个工作日内由</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清算小组进行公告</w:t>
      </w:r>
      <w:r>
        <w:rPr>
          <w:rFonts w:asciiTheme="minorEastAsia" w:eastAsiaTheme="minorEastAsia" w:hAnsiTheme="minorEastAsia" w:hint="eastAsia"/>
          <w:bCs/>
          <w:color w:val="000000"/>
          <w:sz w:val="24"/>
        </w:rPr>
        <w:t>，基金财产清算小组应当将清算报告登载在规定网站上，并将清算报告提示性公告登载在规定报刊上</w:t>
      </w:r>
      <w:r>
        <w:rPr>
          <w:rFonts w:asciiTheme="minorEastAsia" w:eastAsiaTheme="minorEastAsia" w:hAnsiTheme="minorEastAsia"/>
          <w:bCs/>
          <w:color w:val="000000"/>
          <w:sz w:val="24"/>
        </w:rPr>
        <w:t>。</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七、</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清算账册及文件的保存</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清算账册及有关文件由基金托管人保存不低于法律法规规定的最低期限。</w:t>
      </w:r>
    </w:p>
    <w:p w:rsidR="00AA3326">
      <w:pPr>
        <w:spacing w:line="360" w:lineRule="auto"/>
        <w:ind w:firstLine="480" w:firstLineChars="200"/>
        <w:rPr>
          <w:rFonts w:asciiTheme="minorEastAsia" w:eastAsiaTheme="minorEastAsia" w:hAnsiTheme="minorEastAsia" w:hint="eastAsia"/>
          <w:bCs/>
          <w:color w:val="000000"/>
          <w:sz w:val="24"/>
        </w:rPr>
      </w:pPr>
    </w:p>
    <w:p w:rsidR="00AA3326">
      <w:pPr>
        <w:pStyle w:val="Heading1"/>
        <w:spacing w:after="0" w:before="0"/>
        <w:jc w:val="center"/>
        <w:rPr>
          <w:rFonts w:asciiTheme="minorEastAsia" w:eastAsiaTheme="minorEastAsia" w:hAnsiTheme="minorEastAsia" w:hint="eastAsia"/>
          <w:sz w:val="30"/>
        </w:rPr>
      </w:pPr>
      <w:bookmarkStart w:id="583" w:name="_Toc79392641"/>
      <w:bookmarkStart w:id="584" w:name="_Toc48649720"/>
      <w:bookmarkStart w:id="585" w:name="_Toc123051466"/>
      <w:bookmarkStart w:id="586" w:name="_Toc123102467"/>
      <w:bookmarkStart w:id="587" w:name="_Toc123112248"/>
      <w:bookmarkStart w:id="588" w:name="_Toc98560365"/>
      <w:r>
        <w:rPr>
          <w:rFonts w:asciiTheme="minorEastAsia" w:eastAsiaTheme="minorEastAsia" w:hAnsiTheme="minorEastAsia"/>
          <w:b w:val="0"/>
          <w:bCs/>
        </w:rPr>
        <w:br w:type="page"/>
      </w:r>
      <w:bookmarkStart w:id="589" w:name="_Toc12191"/>
      <w:bookmarkStart w:id="590" w:name="_Toc21240"/>
      <w:bookmarkStart w:id="591" w:name="_Toc30645"/>
      <w:bookmarkStart w:id="592" w:name="_Toc27058"/>
      <w:bookmarkStart w:id="593" w:name="_Toc207633419"/>
      <w:bookmarkStart w:id="594" w:name="_Toc8710"/>
      <w:bookmarkStart w:id="595" w:name="_Toc534140383"/>
      <w:bookmarkStart w:id="596" w:name="_Toc9708"/>
      <w:bookmarkStart w:id="597" w:name="_Toc23022"/>
      <w:bookmarkStart w:id="598" w:name="_Toc7367"/>
      <w:bookmarkStart w:id="599" w:name="_Toc23166"/>
      <w:bookmarkStart w:id="600" w:name="_Toc141703901"/>
      <w:bookmarkStart w:id="601" w:name="_Toc28549"/>
      <w:bookmarkStart w:id="602" w:name="_Toc139991750"/>
      <w:bookmarkStart w:id="603" w:name="_Toc13398"/>
      <w:bookmarkStart w:id="604" w:name="_Toc532487745"/>
      <w:r>
        <w:rPr>
          <w:rFonts w:asciiTheme="minorEastAsia" w:eastAsiaTheme="minorEastAsia" w:hAnsiTheme="minorEastAsia"/>
          <w:sz w:val="30"/>
        </w:rPr>
        <w:t>第二十</w:t>
      </w:r>
      <w:r>
        <w:rPr>
          <w:rFonts w:asciiTheme="minorEastAsia" w:eastAsiaTheme="minorEastAsia" w:hAnsiTheme="minorEastAsia" w:hint="eastAsia"/>
          <w:sz w:val="30"/>
        </w:rPr>
        <w:t>一</w:t>
      </w:r>
      <w:r>
        <w:rPr>
          <w:rFonts w:asciiTheme="minorEastAsia" w:eastAsiaTheme="minorEastAsia" w:hAnsiTheme="minorEastAsia"/>
          <w:sz w:val="30"/>
        </w:rPr>
        <w:t>部分  违约责任</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一、基金管理人、基金托管人在履行各自职责的过程中，违反《基金法》等法律法规的规定或者《基金合同》约定，给</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或者基金份额持有人造成损害的，应当分别对各自的行为依法承担赔偿责任；因共同行为给</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或者基金份额持有人造成损害的，应当承担连带赔偿责任，对损失的赔偿，仅限于直接损失。</w:t>
      </w:r>
      <w:r>
        <w:rPr>
          <w:rFonts w:asciiTheme="minorEastAsia" w:eastAsiaTheme="minorEastAsia" w:hAnsiTheme="minorEastAsia" w:hint="eastAsia"/>
          <w:bCs/>
          <w:color w:val="000000"/>
          <w:sz w:val="24"/>
        </w:rPr>
        <w:t>但</w:t>
      </w:r>
      <w:r>
        <w:rPr>
          <w:rFonts w:asciiTheme="minorEastAsia" w:eastAsiaTheme="minorEastAsia" w:hAnsiTheme="minorEastAsia"/>
          <w:bCs/>
          <w:color w:val="000000"/>
          <w:sz w:val="24"/>
        </w:rPr>
        <w:t>如发生下列情况时，当事人免责：</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1、不可抗力；</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2、基金管理人和/或基金托管人按照当时有效的法律法规或中国证监会的规定作为或不作为而造成的损失等；</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3、基金管理人由于按照《基金合同》规定的投资原则投资或不投资造成的损失等。</w:t>
      </w:r>
    </w:p>
    <w:p w:rsidR="00AA3326">
      <w:pPr>
        <w:spacing w:line="360" w:lineRule="auto"/>
        <w:ind w:firstLine="460" w:firstLineChars="200"/>
        <w:rPr>
          <w:rFonts w:asciiTheme="minorEastAsia" w:eastAsiaTheme="minorEastAsia" w:hAnsiTheme="minorEastAsia" w:hint="eastAsia"/>
          <w:bCs/>
          <w:color w:val="000000"/>
          <w:sz w:val="24"/>
        </w:rPr>
      </w:pPr>
      <w:r>
        <w:rPr>
          <w:rFonts w:asciiTheme="minorEastAsia" w:cs="宋体" w:eastAsiaTheme="minorEastAsia" w:hAnsiTheme="minorEastAsia" w:hint="eastAsia"/>
          <w:color w:val="000000"/>
          <w:kern w:val="0"/>
          <w:sz w:val="23"/>
          <w:szCs w:val="23"/>
        </w:rPr>
        <w:t>二、</w:t>
      </w:r>
      <w:r>
        <w:rPr>
          <w:rFonts w:asciiTheme="minorEastAsia" w:eastAsiaTheme="minorEastAsia" w:hAnsiTheme="minorEastAsia"/>
          <w:bCs/>
          <w:color w:val="000000"/>
          <w:sz w:val="24"/>
        </w:rPr>
        <w:t xml:space="preserve">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 </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三</w:t>
      </w:r>
      <w:r>
        <w:rPr>
          <w:rFonts w:asciiTheme="minorEastAsia" w:eastAsiaTheme="minorEastAsia" w:hAnsiTheme="minorEastAsia"/>
          <w:bCs/>
          <w:color w:val="000000"/>
          <w:sz w:val="24"/>
        </w:rPr>
        <w:t>、由于基金管理人、基金托管人不可控制的因素导致业务出现差错，基金管理人和基金托管人虽然已经采取必要、适当、合理的措施进行检查，但是未能发现错误的，由此造成</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或基金份额持有人损失，基金管理人和基金托管人免除赔偿责任。但是基金管理人和基金托管人应积极采取必要的措施减轻或消除由此造成的影响。</w:t>
      </w:r>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p>
    <w:p w:rsidR="00AA3326">
      <w:pPr>
        <w:pStyle w:val="Heading1"/>
        <w:spacing w:after="0" w:before="0"/>
        <w:jc w:val="center"/>
        <w:rPr>
          <w:rFonts w:asciiTheme="minorEastAsia" w:eastAsiaTheme="minorEastAsia" w:hAnsiTheme="minorEastAsia" w:hint="eastAsia"/>
          <w:sz w:val="30"/>
        </w:rPr>
      </w:pPr>
      <w:r>
        <w:rPr>
          <w:rFonts w:asciiTheme="minorEastAsia" w:eastAsiaTheme="minorEastAsia" w:hAnsiTheme="minorEastAsia"/>
          <w:b w:val="0"/>
          <w:bCs/>
        </w:rPr>
        <w:br w:type="page"/>
      </w:r>
      <w:bookmarkStart w:id="605" w:name="_Toc534140384"/>
      <w:bookmarkStart w:id="606" w:name="_Toc3319"/>
      <w:bookmarkStart w:id="607" w:name="_Toc98560366"/>
      <w:bookmarkStart w:id="608" w:name="_Toc21983"/>
      <w:bookmarkStart w:id="609" w:name="_Toc123051467"/>
      <w:bookmarkStart w:id="610" w:name="_Toc123102468"/>
      <w:bookmarkStart w:id="611" w:name="_Toc141703902"/>
      <w:bookmarkStart w:id="612" w:name="_Toc123112249"/>
      <w:bookmarkStart w:id="613" w:name="_Toc8636"/>
      <w:bookmarkStart w:id="614" w:name="_Toc532487746"/>
      <w:bookmarkStart w:id="615" w:name="_Toc207633420"/>
      <w:bookmarkStart w:id="616" w:name="_Toc7288"/>
      <w:bookmarkStart w:id="617" w:name="_Toc1790"/>
      <w:bookmarkStart w:id="618" w:name="_Toc23999"/>
      <w:bookmarkStart w:id="619" w:name="_Toc6202"/>
      <w:bookmarkStart w:id="620" w:name="_Toc6110"/>
      <w:bookmarkStart w:id="621" w:name="_Toc139991751"/>
      <w:bookmarkStart w:id="622" w:name="_Toc24923"/>
      <w:bookmarkStart w:id="623" w:name="_Toc30350"/>
      <w:bookmarkStart w:id="624" w:name="_Toc25651"/>
      <w:r>
        <w:rPr>
          <w:rFonts w:asciiTheme="minorEastAsia" w:eastAsiaTheme="minorEastAsia" w:hAnsiTheme="minorEastAsia"/>
          <w:sz w:val="30"/>
        </w:rPr>
        <w:t>第二十</w:t>
      </w:r>
      <w:r>
        <w:rPr>
          <w:rFonts w:asciiTheme="minorEastAsia" w:eastAsiaTheme="minorEastAsia" w:hAnsiTheme="minorEastAsia" w:hint="eastAsia"/>
          <w:sz w:val="30"/>
        </w:rPr>
        <w:t>二</w:t>
      </w:r>
      <w:r>
        <w:rPr>
          <w:rFonts w:asciiTheme="minorEastAsia" w:eastAsiaTheme="minorEastAsia" w:hAnsiTheme="minorEastAsia"/>
          <w:sz w:val="30"/>
        </w:rPr>
        <w:t>部分  争议的处理和适用的法律</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bookmarkStart w:id="625" w:name="_Hlk197520121"/>
      <w:r>
        <w:rPr>
          <w:rFonts w:asciiTheme="minorEastAsia" w:eastAsiaTheme="minorEastAsia" w:hAnsiTheme="minorEastAsia" w:hint="eastAsia"/>
          <w:bCs/>
          <w:color w:val="000000"/>
          <w:sz w:val="24"/>
        </w:rPr>
        <w:t>发生纠纷时，基金合同当事人可以通过协商或者调解予以解决。当事人不愿通过协商、调解解决或者协商、调解不成的，任何一方</w:t>
      </w:r>
      <w:r>
        <w:rPr>
          <w:rFonts w:asciiTheme="minorEastAsia" w:eastAsiaTheme="minorEastAsia" w:hAnsiTheme="minorEastAsia"/>
          <w:bCs/>
          <w:color w:val="000000"/>
          <w:sz w:val="24"/>
        </w:rPr>
        <w:t>均有权</w:t>
      </w:r>
      <w:r>
        <w:rPr>
          <w:rFonts w:asciiTheme="minorEastAsia" w:eastAsiaTheme="minorEastAsia" w:hAnsiTheme="minorEastAsia" w:hint="eastAsia"/>
          <w:bCs/>
          <w:color w:val="000000"/>
          <w:sz w:val="24"/>
        </w:rPr>
        <w:t>将</w:t>
      </w:r>
      <w:r>
        <w:rPr>
          <w:rFonts w:asciiTheme="minorEastAsia" w:eastAsiaTheme="minorEastAsia" w:hAnsiTheme="minorEastAsia"/>
          <w:bCs/>
          <w:color w:val="000000"/>
          <w:sz w:val="24"/>
        </w:rPr>
        <w:t>争议</w:t>
      </w:r>
      <w:r>
        <w:rPr>
          <w:rFonts w:asciiTheme="minorEastAsia" w:eastAsiaTheme="minorEastAsia" w:hAnsiTheme="minorEastAsia" w:hint="eastAsia"/>
          <w:bCs/>
          <w:color w:val="000000"/>
          <w:sz w:val="24"/>
        </w:rPr>
        <w:t>提交上海仲裁委员会仲裁</w:t>
      </w:r>
      <w:bookmarkStart w:id="626" w:name="OLE_LINK65"/>
      <w:r>
        <w:rPr>
          <w:rFonts w:asciiTheme="minorEastAsia" w:eastAsiaTheme="minorEastAsia" w:hAnsiTheme="minorEastAsia" w:hint="eastAsia"/>
          <w:bCs/>
          <w:color w:val="000000"/>
          <w:sz w:val="24"/>
        </w:rPr>
        <w:t>，仲裁地点为上海市</w:t>
      </w:r>
      <w:bookmarkEnd w:id="626"/>
      <w:r>
        <w:rPr>
          <w:rFonts w:asciiTheme="minorEastAsia" w:eastAsiaTheme="minorEastAsia" w:hAnsiTheme="minorEastAsia" w:hint="eastAsia"/>
          <w:bCs/>
          <w:color w:val="000000"/>
          <w:sz w:val="24"/>
        </w:rPr>
        <w:t>。仲裁裁决是终局的，对当事人均有约束力。仲裁费用、</w:t>
      </w:r>
      <w:r>
        <w:rPr>
          <w:rFonts w:hint="eastAsia"/>
          <w:bCs/>
          <w:color w:val="000000"/>
          <w:sz w:val="24"/>
        </w:rPr>
        <w:t>律师费用</w:t>
      </w:r>
      <w:r>
        <w:rPr>
          <w:rFonts w:asciiTheme="minorEastAsia" w:eastAsiaTheme="minorEastAsia" w:hAnsiTheme="minorEastAsia" w:hint="eastAsia"/>
          <w:bCs/>
          <w:color w:val="000000"/>
          <w:sz w:val="24"/>
        </w:rPr>
        <w:t>由败诉方承担。</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争议处理期间，基金合同当事人应恪守各自的职责，继续忠实、勤勉、尽责地履行基金合同规定的义务，维护基金份额持有人的合法权益。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《基金合同》受中国法律</w:t>
      </w:r>
      <w:r>
        <w:rPr>
          <w:rFonts w:hint="eastAsia"/>
          <w:bCs/>
          <w:color w:val="000000"/>
          <w:sz w:val="24"/>
        </w:rPr>
        <w:t>（为基金合同之目的，在此不包括香港、澳门特别行政区和台湾地区法律）</w:t>
      </w:r>
      <w:r>
        <w:rPr>
          <w:rFonts w:asciiTheme="minorEastAsia" w:eastAsiaTheme="minorEastAsia" w:hAnsiTheme="minorEastAsia"/>
          <w:bCs/>
          <w:color w:val="000000"/>
          <w:sz w:val="24"/>
        </w:rPr>
        <w:t>管辖。</w:t>
      </w:r>
    </w:p>
    <w:p w:rsidR="00AA3326">
      <w:pPr>
        <w:spacing w:line="360" w:lineRule="auto"/>
        <w:ind w:firstLine="480" w:firstLineChars="200"/>
        <w:rPr>
          <w:rFonts w:asciiTheme="minorEastAsia" w:eastAsiaTheme="minorEastAsia" w:hAnsiTheme="minorEastAsia" w:hint="eastAsia"/>
          <w:bCs/>
          <w:color w:val="000000"/>
          <w:sz w:val="24"/>
        </w:rPr>
      </w:pPr>
      <w:bookmarkEnd w:id="625"/>
    </w:p>
    <w:p w:rsidR="00AA3326">
      <w:pPr>
        <w:widowControl/>
        <w:jc w:val="left"/>
        <w:rPr>
          <w:rFonts w:asciiTheme="minorEastAsia" w:eastAsiaTheme="minorEastAsia" w:hAnsiTheme="minorEastAsia" w:hint="eastAsia"/>
          <w:b/>
          <w:bCs/>
          <w:color w:val="000000"/>
          <w:kern w:val="0"/>
          <w:sz w:val="24"/>
        </w:rPr>
      </w:pPr>
      <w:bookmarkStart w:id="627" w:name="_Toc8454"/>
      <w:bookmarkStart w:id="628" w:name="_Toc123051468"/>
      <w:bookmarkStart w:id="629" w:name="_Toc11618"/>
      <w:bookmarkStart w:id="630" w:name="_Toc123112250"/>
      <w:bookmarkStart w:id="631" w:name="_Toc139991752"/>
      <w:bookmarkStart w:id="632" w:name="_Toc23991"/>
      <w:bookmarkStart w:id="633" w:name="_Toc20350"/>
      <w:bookmarkStart w:id="634" w:name="_Toc141703903"/>
      <w:bookmarkStart w:id="635" w:name="_Toc26461"/>
      <w:bookmarkStart w:id="636" w:name="_Toc29505"/>
      <w:bookmarkStart w:id="637" w:name="_Toc31966"/>
      <w:bookmarkStart w:id="638" w:name="_Toc123102469"/>
      <w:bookmarkStart w:id="639" w:name="_Toc8703"/>
      <w:bookmarkStart w:id="640" w:name="_Toc532487747"/>
      <w:bookmarkStart w:id="641" w:name="_Toc484"/>
      <w:bookmarkStart w:id="642" w:name="_Toc2532"/>
      <w:r>
        <w:rPr>
          <w:rFonts w:asciiTheme="minorEastAsia" w:eastAsiaTheme="minorEastAsia" w:hAnsiTheme="minorEastAsia"/>
          <w:bCs/>
          <w:color w:val="000000"/>
        </w:rPr>
        <w:br w:type="page"/>
      </w:r>
    </w:p>
    <w:p w:rsidR="00AA3326">
      <w:pPr>
        <w:pStyle w:val="Heading1"/>
        <w:spacing w:after="0" w:before="0"/>
        <w:jc w:val="center"/>
        <w:rPr>
          <w:rFonts w:asciiTheme="minorEastAsia" w:eastAsiaTheme="minorEastAsia" w:hAnsiTheme="minorEastAsia" w:hint="eastAsia"/>
          <w:sz w:val="30"/>
        </w:rPr>
      </w:pPr>
      <w:bookmarkStart w:id="643" w:name="_Toc207633421"/>
      <w:bookmarkStart w:id="644" w:name="_Toc534140385"/>
      <w:bookmarkStart w:id="645" w:name="_Toc28690"/>
      <w:r>
        <w:rPr>
          <w:rFonts w:asciiTheme="minorEastAsia" w:eastAsiaTheme="minorEastAsia" w:hAnsiTheme="minorEastAsia"/>
          <w:sz w:val="30"/>
        </w:rPr>
        <w:t>第二十</w:t>
      </w:r>
      <w:r>
        <w:rPr>
          <w:rFonts w:asciiTheme="minorEastAsia" w:eastAsiaTheme="minorEastAsia" w:hAnsiTheme="minorEastAsia" w:hint="eastAsia"/>
          <w:sz w:val="30"/>
        </w:rPr>
        <w:t>三</w:t>
      </w:r>
      <w:r>
        <w:rPr>
          <w:rFonts w:asciiTheme="minorEastAsia" w:eastAsiaTheme="minorEastAsia" w:hAnsiTheme="minorEastAsia"/>
          <w:sz w:val="30"/>
        </w:rPr>
        <w:t xml:space="preserve">部分  </w:t>
      </w:r>
      <w:r>
        <w:rPr>
          <w:rFonts w:asciiTheme="minorEastAsia" w:eastAsiaTheme="minorEastAsia" w:hAnsiTheme="minorEastAsia" w:hint="eastAsia"/>
          <w:sz w:val="30"/>
        </w:rPr>
        <w:t>基金</w:t>
      </w:r>
      <w:r>
        <w:rPr>
          <w:rFonts w:asciiTheme="minorEastAsia" w:eastAsiaTheme="minorEastAsia" w:hAnsiTheme="minorEastAsia"/>
          <w:sz w:val="30"/>
        </w:rPr>
        <w:t>合同的效力</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rsidR="00AA3326">
      <w:pPr>
        <w:spacing w:line="360" w:lineRule="auto"/>
        <w:ind w:firstLine="480" w:firstLineChars="200"/>
        <w:rPr>
          <w:rFonts w:asciiTheme="minorEastAsia" w:eastAsiaTheme="minorEastAsia" w:hAnsiTheme="minorEastAsia" w:hint="eastAsia"/>
          <w:bCs/>
          <w:color w:val="000000"/>
          <w:sz w:val="24"/>
        </w:rPr>
      </w:pP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《基金合同》是约定</w:t>
      </w:r>
      <w:r>
        <w:rPr>
          <w:rFonts w:asciiTheme="minorEastAsia" w:eastAsiaTheme="minorEastAsia" w:hAnsiTheme="minorEastAsia" w:hint="eastAsia"/>
          <w:bCs/>
          <w:color w:val="000000"/>
          <w:sz w:val="24"/>
        </w:rPr>
        <w:t>基金合同当事人</w:t>
      </w:r>
      <w:r>
        <w:rPr>
          <w:rFonts w:asciiTheme="minorEastAsia" w:eastAsiaTheme="minorEastAsia" w:hAnsiTheme="minorEastAsia"/>
          <w:bCs/>
          <w:color w:val="000000"/>
          <w:sz w:val="24"/>
        </w:rPr>
        <w:t>之间权利义务关系的法律文件。</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1、《基金合同》</w:t>
      </w:r>
      <w:r>
        <w:rPr>
          <w:rFonts w:asciiTheme="minorEastAsia" w:eastAsiaTheme="minorEastAsia" w:hAnsiTheme="minorEastAsia" w:hint="eastAsia"/>
          <w:bCs/>
          <w:color w:val="000000"/>
          <w:sz w:val="24"/>
        </w:rPr>
        <w:t>经基金管理人、基金托管人双方加盖公章（或合同专用章）以及双方法定代表人或授权代表签章，并经海通策略优选混合型</w:t>
      </w:r>
      <w:r>
        <w:rPr>
          <w:rFonts w:hint="eastAsia"/>
          <w:bCs/>
          <w:color w:val="000000"/>
          <w:sz w:val="24"/>
        </w:rPr>
        <w:t>集合资产管理计划份额持有人大会表决通过后</w:t>
      </w:r>
      <w:r>
        <w:rPr>
          <w:rFonts w:asciiTheme="minorEastAsia" w:eastAsiaTheme="minorEastAsia" w:hAnsiTheme="minorEastAsia" w:hint="eastAsia"/>
          <w:bCs/>
          <w:color w:val="000000"/>
          <w:sz w:val="24"/>
        </w:rPr>
        <w:t>，自基金管理人公告的生效之日起生效，</w:t>
      </w:r>
      <w:r>
        <w:rPr>
          <w:rFonts w:asciiTheme="minorEastAsia" w:eastAsiaTheme="minorEastAsia" w:hAnsiTheme="minorEastAsia"/>
          <w:bCs/>
          <w:color w:val="000000"/>
          <w:sz w:val="24"/>
        </w:rPr>
        <w:t>原</w:t>
      </w:r>
      <w:r>
        <w:rPr>
          <w:rFonts w:hint="eastAsia"/>
          <w:bCs/>
          <w:color w:val="000000"/>
          <w:sz w:val="24"/>
        </w:rPr>
        <w:t>《海通策略优选混合型集合资产管理计划资产管理合同》</w:t>
      </w:r>
      <w:r>
        <w:rPr>
          <w:rFonts w:asciiTheme="minorEastAsia" w:eastAsiaTheme="minorEastAsia" w:hAnsiTheme="minorEastAsia" w:hint="eastAsia"/>
          <w:bCs/>
          <w:color w:val="000000"/>
          <w:sz w:val="24"/>
        </w:rPr>
        <w:t>同日起失效</w:t>
      </w:r>
      <w:r>
        <w:rPr>
          <w:rFonts w:asciiTheme="minorEastAsia" w:eastAsiaTheme="minorEastAsia" w:hAnsiTheme="minorEastAsia"/>
          <w:bCs/>
          <w:color w:val="000000"/>
          <w:sz w:val="24"/>
        </w:rPr>
        <w:t>。</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2、《基金合同》的有效期自</w:t>
      </w:r>
      <w:r>
        <w:rPr>
          <w:rFonts w:asciiTheme="minorEastAsia" w:eastAsiaTheme="minorEastAsia" w:hAnsiTheme="minorEastAsia" w:hint="eastAsia"/>
          <w:bCs/>
          <w:color w:val="000000"/>
          <w:sz w:val="24"/>
        </w:rPr>
        <w:t>其</w:t>
      </w:r>
      <w:r>
        <w:rPr>
          <w:rFonts w:asciiTheme="minorEastAsia" w:eastAsiaTheme="minorEastAsia" w:hAnsiTheme="minorEastAsia"/>
          <w:bCs/>
          <w:color w:val="000000"/>
          <w:sz w:val="24"/>
        </w:rPr>
        <w:t>生效之日起至</w:t>
      </w:r>
      <w:r>
        <w:rPr>
          <w:rFonts w:asciiTheme="minorEastAsia" w:eastAsiaTheme="minorEastAsia" w:hAnsiTheme="minorEastAsia" w:hint="eastAsia"/>
          <w:bCs/>
          <w:color w:val="000000"/>
          <w:sz w:val="24"/>
        </w:rPr>
        <w:t>基金财产</w:t>
      </w:r>
      <w:r>
        <w:rPr>
          <w:rFonts w:asciiTheme="minorEastAsia" w:eastAsiaTheme="minorEastAsia" w:hAnsiTheme="minorEastAsia"/>
          <w:bCs/>
          <w:color w:val="000000"/>
          <w:sz w:val="24"/>
        </w:rPr>
        <w:t>清算结果报中国证监会</w:t>
      </w:r>
      <w:r>
        <w:rPr>
          <w:rFonts w:asciiTheme="minorEastAsia" w:eastAsiaTheme="minorEastAsia" w:hAnsiTheme="minorEastAsia" w:hint="eastAsia"/>
          <w:bCs/>
          <w:color w:val="000000"/>
          <w:sz w:val="24"/>
        </w:rPr>
        <w:t>备案</w:t>
      </w:r>
      <w:r>
        <w:rPr>
          <w:rFonts w:asciiTheme="minorEastAsia" w:eastAsiaTheme="minorEastAsia" w:hAnsiTheme="minorEastAsia"/>
          <w:bCs/>
          <w:color w:val="000000"/>
          <w:sz w:val="24"/>
        </w:rPr>
        <w:t>并公告之日止。</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3、《基金合同》自生效之日起对包括基金管理人、基金托管人和基金份额持有人在内的《基金合同》各方当事人具有同等的法律约束力。</w:t>
      </w:r>
    </w:p>
    <w:p w:rsidR="00AA3326">
      <w:pPr>
        <w:spacing w:line="360" w:lineRule="auto"/>
        <w:ind w:firstLine="480" w:firstLineChars="200"/>
        <w:rPr>
          <w:rFonts w:asciiTheme="minorEastAsia" w:eastAsiaTheme="minorEastAsia" w:hAnsiTheme="minorEastAsia" w:hint="eastAsia"/>
          <w:bCs/>
          <w:color w:val="000000"/>
          <w:sz w:val="24"/>
        </w:rPr>
      </w:pPr>
      <w:bookmarkStart w:id="646" w:name="OLE_LINK1"/>
      <w:bookmarkStart w:id="647" w:name="OLE_LINK2"/>
      <w:r>
        <w:rPr>
          <w:rFonts w:asciiTheme="minorEastAsia" w:eastAsiaTheme="minorEastAsia" w:hAnsiTheme="minorEastAsia"/>
          <w:bCs/>
          <w:color w:val="000000"/>
          <w:sz w:val="24"/>
        </w:rPr>
        <w:t>4、《基金合同》正本一式</w:t>
      </w:r>
      <w:r>
        <w:rPr>
          <w:rFonts w:asciiTheme="minorEastAsia" w:eastAsiaTheme="minorEastAsia" w:hAnsiTheme="minorEastAsia" w:hint="eastAsia"/>
          <w:bCs/>
          <w:color w:val="000000"/>
          <w:sz w:val="24"/>
        </w:rPr>
        <w:t>二</w:t>
      </w:r>
      <w:r>
        <w:rPr>
          <w:rFonts w:asciiTheme="minorEastAsia" w:eastAsiaTheme="minorEastAsia" w:hAnsiTheme="minorEastAsia"/>
          <w:bCs/>
          <w:color w:val="000000"/>
          <w:sz w:val="24"/>
        </w:rPr>
        <w:t>份，基金管理人、基金托管人各持有</w:t>
      </w:r>
      <w:r>
        <w:rPr>
          <w:rFonts w:asciiTheme="minorEastAsia" w:eastAsiaTheme="minorEastAsia" w:hAnsiTheme="minorEastAsia" w:hint="eastAsia"/>
          <w:bCs/>
          <w:color w:val="000000"/>
          <w:sz w:val="24"/>
        </w:rPr>
        <w:t>一</w:t>
      </w:r>
      <w:r>
        <w:rPr>
          <w:rFonts w:asciiTheme="minorEastAsia" w:eastAsiaTheme="minorEastAsia" w:hAnsiTheme="minorEastAsia"/>
          <w:bCs/>
          <w:color w:val="000000"/>
          <w:sz w:val="24"/>
        </w:rPr>
        <w:t>份，每份具有同等的法律效力。</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5、《基金合同》可印制成册，供投资者在基金管理人、基金托管人、销售机构的办公场所和营业场所查阅。</w:t>
      </w:r>
    </w:p>
    <w:p w:rsidR="00AA3326">
      <w:pPr>
        <w:pStyle w:val="Heading1"/>
        <w:spacing w:after="0" w:before="0"/>
        <w:jc w:val="center"/>
        <w:rPr>
          <w:rFonts w:asciiTheme="minorEastAsia" w:eastAsiaTheme="minorEastAsia" w:hAnsiTheme="minorEastAsia" w:hint="eastAsia"/>
          <w:sz w:val="30"/>
        </w:rPr>
      </w:pPr>
      <w:bookmarkEnd w:id="646"/>
      <w:bookmarkEnd w:id="647"/>
      <w:r>
        <w:rPr>
          <w:rFonts w:asciiTheme="minorEastAsia" w:eastAsiaTheme="minorEastAsia" w:hAnsiTheme="minorEastAsia"/>
          <w:b w:val="0"/>
          <w:bCs/>
        </w:rPr>
        <w:br w:type="page"/>
      </w:r>
      <w:bookmarkStart w:id="648" w:name="_Toc207633422"/>
      <w:bookmarkStart w:id="649" w:name="_Toc21726"/>
      <w:bookmarkStart w:id="650" w:name="_Toc532487748"/>
      <w:bookmarkStart w:id="651" w:name="_Toc9704"/>
      <w:bookmarkStart w:id="652" w:name="_Toc534140386"/>
      <w:bookmarkEnd w:id="580"/>
      <w:r>
        <w:rPr>
          <w:rFonts w:asciiTheme="minorEastAsia" w:eastAsiaTheme="minorEastAsia" w:hAnsiTheme="minorEastAsia" w:hint="eastAsia"/>
          <w:sz w:val="30"/>
        </w:rPr>
        <w:t>第二十四部分  其他事项</w:t>
      </w:r>
      <w:bookmarkEnd w:id="648"/>
      <w:bookmarkEnd w:id="649"/>
      <w:bookmarkEnd w:id="650"/>
      <w:bookmarkEnd w:id="651"/>
      <w:bookmarkEnd w:id="652"/>
    </w:p>
    <w:p w:rsidR="00AA3326">
      <w:pPr>
        <w:spacing w:line="360" w:lineRule="auto"/>
        <w:ind w:firstLine="480" w:firstLineChars="200"/>
        <w:rPr>
          <w:rFonts w:asciiTheme="minorEastAsia" w:eastAsiaTheme="minorEastAsia" w:hAnsiTheme="minorEastAsia" w:hint="eastAsia"/>
          <w:color w:val="000000"/>
          <w:sz w:val="24"/>
        </w:rPr>
      </w:pPr>
    </w:p>
    <w:p w:rsidR="00AA3326">
      <w:pPr>
        <w:spacing w:line="360" w:lineRule="auto"/>
        <w:ind w:firstLine="480" w:firstLineChars="200"/>
        <w:rPr>
          <w:rFonts w:asciiTheme="minorEastAsia" w:eastAsiaTheme="minorEastAsia" w:hAnsiTheme="minorEastAsia" w:hint="eastAsia"/>
          <w:color w:val="000000"/>
          <w:sz w:val="24"/>
        </w:rPr>
      </w:pPr>
      <w:r>
        <w:rPr>
          <w:rFonts w:asciiTheme="minorEastAsia" w:eastAsiaTheme="minorEastAsia" w:hAnsiTheme="minorEastAsia" w:hint="eastAsia"/>
          <w:color w:val="000000"/>
          <w:sz w:val="24"/>
        </w:rPr>
        <w:t>《基金合同》如有未尽事宜，由《基金合同》当事人各方按有关法律法规协商解决。</w:t>
      </w:r>
    </w:p>
    <w:p w:rsidR="00AA3326">
      <w:pPr>
        <w:spacing w:line="360" w:lineRule="auto"/>
        <w:ind w:firstLine="480" w:firstLineChars="200"/>
        <w:rPr>
          <w:rFonts w:asciiTheme="minorEastAsia" w:eastAsiaTheme="minorEastAsia" w:hAnsiTheme="minorEastAsia" w:hint="eastAsia"/>
          <w:color w:val="000000"/>
          <w:sz w:val="24"/>
        </w:rPr>
      </w:pPr>
    </w:p>
    <w:p w:rsidR="00AA3326">
      <w:pPr>
        <w:widowControl/>
        <w:jc w:val="left"/>
        <w:rPr>
          <w:rFonts w:asciiTheme="minorEastAsia" w:eastAsiaTheme="minorEastAsia" w:hAnsiTheme="minorEastAsia" w:hint="eastAsia"/>
          <w:b/>
          <w:color w:val="000000"/>
          <w:kern w:val="0"/>
          <w:sz w:val="24"/>
        </w:rPr>
      </w:pPr>
      <w:bookmarkStart w:id="653" w:name="_Toc12499"/>
      <w:bookmarkStart w:id="654" w:name="_Toc141703905"/>
      <w:bookmarkStart w:id="655" w:name="_Toc1360"/>
      <w:bookmarkStart w:id="656" w:name="_Toc5108"/>
      <w:bookmarkStart w:id="657" w:name="_Toc532487749"/>
      <w:bookmarkStart w:id="658" w:name="_Toc9054"/>
      <w:bookmarkStart w:id="659" w:name="_Toc15664"/>
      <w:bookmarkStart w:id="660" w:name="_Toc32355"/>
      <w:bookmarkStart w:id="661" w:name="_Toc21122"/>
      <w:bookmarkStart w:id="662" w:name="_Toc20098"/>
      <w:bookmarkStart w:id="663" w:name="_Toc7437"/>
      <w:bookmarkStart w:id="664" w:name="_Toc17263"/>
      <w:r>
        <w:rPr>
          <w:rFonts w:asciiTheme="minorEastAsia" w:eastAsiaTheme="minorEastAsia" w:hAnsiTheme="minorEastAsia"/>
          <w:color w:val="000000"/>
        </w:rPr>
        <w:br w:type="page"/>
      </w:r>
    </w:p>
    <w:p w:rsidR="00AA3326">
      <w:pPr>
        <w:pStyle w:val="Heading1"/>
        <w:spacing w:after="0" w:before="0"/>
        <w:jc w:val="center"/>
        <w:rPr>
          <w:rFonts w:asciiTheme="minorEastAsia" w:eastAsiaTheme="minorEastAsia" w:hAnsiTheme="minorEastAsia" w:hint="eastAsia"/>
          <w:sz w:val="30"/>
        </w:rPr>
      </w:pPr>
      <w:bookmarkStart w:id="665" w:name="_Toc534140387"/>
      <w:bookmarkStart w:id="666" w:name="_Toc15045"/>
      <w:bookmarkStart w:id="667" w:name="_Toc207633423"/>
      <w:bookmarkStart w:id="668" w:name="_Hlk200719466"/>
      <w:r>
        <w:rPr>
          <w:rFonts w:asciiTheme="minorEastAsia" w:eastAsiaTheme="minorEastAsia" w:hAnsiTheme="minorEastAsia"/>
          <w:sz w:val="30"/>
        </w:rPr>
        <w:t>第二十</w:t>
      </w:r>
      <w:r>
        <w:rPr>
          <w:rFonts w:asciiTheme="minorEastAsia" w:eastAsiaTheme="minorEastAsia" w:hAnsiTheme="minorEastAsia" w:hint="eastAsia"/>
          <w:sz w:val="30"/>
        </w:rPr>
        <w:t>五</w:t>
      </w:r>
      <w:r>
        <w:rPr>
          <w:rFonts w:asciiTheme="minorEastAsia" w:eastAsiaTheme="minorEastAsia" w:hAnsiTheme="minorEastAsia"/>
          <w:sz w:val="30"/>
        </w:rPr>
        <w:t>部分  基金合同内容摘要</w:t>
      </w:r>
      <w:bookmarkEnd w:id="113"/>
      <w:bookmarkEnd w:id="114"/>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AA3326">
      <w:pPr>
        <w:pStyle w:val="Heading2"/>
        <w:keepLines w:val="0"/>
        <w:tabs>
          <w:tab w:pos="576" w:val="left"/>
        </w:tabs>
        <w:suppressAutoHyphens/>
        <w:spacing w:after="0" w:before="0" w:line="360" w:lineRule="auto"/>
        <w:ind w:firstLine="480" w:firstLineChars="200"/>
        <w:rPr>
          <w:rFonts w:asciiTheme="minorEastAsia" w:cs="Arial" w:eastAsiaTheme="minorEastAsia" w:hAnsiTheme="minorEastAsia" w:hint="eastAsia"/>
          <w:b w:val="0"/>
          <w:bCs/>
          <w:iCs/>
          <w:color w:val="000000"/>
          <w:kern w:val="1"/>
          <w:sz w:val="24"/>
          <w:szCs w:val="24"/>
          <w:lang w:eastAsia="ar-SA"/>
        </w:rPr>
      </w:pPr>
      <w:r>
        <w:rPr>
          <w:rFonts w:asciiTheme="minorEastAsia" w:cs="Arial" w:eastAsiaTheme="minorEastAsia" w:hAnsiTheme="minorEastAsia" w:hint="eastAsia"/>
          <w:b w:val="0"/>
          <w:bCs/>
          <w:iCs/>
          <w:color w:val="000000"/>
          <w:kern w:val="1"/>
          <w:sz w:val="24"/>
          <w:szCs w:val="24"/>
          <w:lang w:eastAsia="ar-SA"/>
        </w:rPr>
        <w:t>一、基金合同当事人及权利义务</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（一）</w:t>
      </w:r>
      <w:r>
        <w:rPr>
          <w:rFonts w:asciiTheme="minorEastAsia" w:cs="宋体" w:eastAsiaTheme="minorEastAsia" w:hAnsiTheme="minorEastAsia" w:hint="eastAsia"/>
          <w:bCs/>
          <w:color w:val="000000"/>
          <w:sz w:val="24"/>
          <w:szCs w:val="24"/>
        </w:rPr>
        <w:tab/>
        <w:t>基金管理人简况</w:t>
      </w:r>
    </w:p>
    <w:p w:rsidR="00AA3326">
      <w:pPr>
        <w:spacing w:line="360" w:lineRule="auto"/>
        <w:ind w:firstLine="480" w:firstLineChars="200"/>
        <w:rPr>
          <w:bCs/>
          <w:color w:val="000000"/>
          <w:sz w:val="24"/>
        </w:rPr>
      </w:pPr>
      <w:r>
        <w:rPr>
          <w:rFonts w:asciiTheme="minorEastAsia" w:eastAsiaTheme="minorEastAsia" w:hAnsiTheme="minorEastAsia"/>
          <w:bCs/>
          <w:color w:val="000000"/>
          <w:sz w:val="24"/>
          <w:szCs w:val="24"/>
        </w:rPr>
        <w:t>名称：</w:t>
      </w:r>
      <w:r>
        <w:rPr>
          <w:rFonts w:ascii="宋体" w:hAnsi="宋体" w:hint="eastAsia"/>
          <w:color w:val="000000"/>
          <w:sz w:val="24"/>
          <w:szCs w:val="24"/>
        </w:rPr>
        <w:t>上海国泰海通证券资产管理有限公司</w:t>
      </w:r>
    </w:p>
    <w:p w:rsidR="00AA3326">
      <w:pPr>
        <w:spacing w:line="360" w:lineRule="auto"/>
        <w:ind w:firstLine="480" w:firstLineChars="200"/>
        <w:rPr>
          <w:bCs/>
          <w:color w:val="000000"/>
          <w:sz w:val="24"/>
        </w:rPr>
      </w:pPr>
      <w:r>
        <w:rPr>
          <w:bCs/>
          <w:color w:val="000000"/>
          <w:sz w:val="24"/>
        </w:rPr>
        <w:t>住所：</w:t>
      </w:r>
      <w:r>
        <w:rPr>
          <w:rFonts w:ascii="宋体" w:hAnsi="宋体" w:hint="eastAsia"/>
          <w:color w:val="000000"/>
          <w:sz w:val="24"/>
          <w:szCs w:val="24"/>
        </w:rPr>
        <w:t>上海市黄浦区中山南路888号8层</w:t>
      </w:r>
    </w:p>
    <w:p w:rsidR="00AA3326">
      <w:pPr>
        <w:spacing w:line="360" w:lineRule="auto"/>
        <w:ind w:firstLine="480" w:firstLineChars="200"/>
        <w:rPr>
          <w:bCs/>
          <w:color w:val="000000"/>
          <w:sz w:val="24"/>
        </w:rPr>
      </w:pPr>
      <w:r>
        <w:rPr>
          <w:rFonts w:hint="eastAsia"/>
          <w:bCs/>
          <w:color w:val="000000"/>
          <w:sz w:val="24"/>
        </w:rPr>
        <w:t>邮政编码：</w:t>
      </w:r>
      <w:r>
        <w:rPr>
          <w:rFonts w:hint="eastAsia"/>
          <w:bCs/>
          <w:color w:val="000000"/>
          <w:sz w:val="24"/>
        </w:rPr>
        <w:t>200011</w:t>
      </w:r>
    </w:p>
    <w:p w:rsidR="00AA3326">
      <w:pPr>
        <w:spacing w:line="360" w:lineRule="auto"/>
        <w:ind w:firstLine="480" w:firstLineChars="200"/>
        <w:rPr>
          <w:bCs/>
          <w:color w:val="000000"/>
          <w:sz w:val="24"/>
        </w:rPr>
      </w:pPr>
      <w:r>
        <w:rPr>
          <w:bCs/>
          <w:color w:val="000000"/>
          <w:sz w:val="24"/>
        </w:rPr>
        <w:t>法定代表人：</w:t>
      </w:r>
      <w:r>
        <w:rPr>
          <w:rFonts w:hint="eastAsia"/>
          <w:bCs/>
          <w:color w:val="000000"/>
          <w:sz w:val="24"/>
        </w:rPr>
        <w:t>陶耿</w:t>
      </w:r>
    </w:p>
    <w:p w:rsidR="00AA3326">
      <w:pPr>
        <w:spacing w:line="360" w:lineRule="auto"/>
        <w:ind w:firstLine="480" w:firstLineChars="200"/>
        <w:rPr>
          <w:bCs/>
          <w:color w:val="000000"/>
          <w:sz w:val="24"/>
        </w:rPr>
      </w:pPr>
      <w:r>
        <w:rPr>
          <w:bCs/>
          <w:color w:val="000000"/>
          <w:sz w:val="24"/>
        </w:rPr>
        <w:t>设立日期：</w:t>
      </w:r>
      <w:r>
        <w:rPr>
          <w:rFonts w:hint="eastAsia"/>
          <w:bCs/>
          <w:color w:val="000000"/>
          <w:sz w:val="24"/>
        </w:rPr>
        <w:t>2010</w:t>
      </w:r>
      <w:r>
        <w:rPr>
          <w:rFonts w:hint="eastAsia"/>
          <w:bCs/>
          <w:color w:val="000000"/>
          <w:sz w:val="24"/>
        </w:rPr>
        <w:t>年</w:t>
      </w:r>
      <w:r>
        <w:rPr>
          <w:rFonts w:hint="eastAsia"/>
          <w:bCs/>
          <w:color w:val="000000"/>
          <w:sz w:val="24"/>
        </w:rPr>
        <w:t>8</w:t>
      </w:r>
      <w:r>
        <w:rPr>
          <w:rFonts w:hint="eastAsia"/>
          <w:bCs/>
          <w:color w:val="000000"/>
          <w:sz w:val="24"/>
        </w:rPr>
        <w:t>月</w:t>
      </w:r>
      <w:r>
        <w:rPr>
          <w:rFonts w:hint="eastAsia"/>
          <w:bCs/>
          <w:color w:val="000000"/>
          <w:sz w:val="24"/>
        </w:rPr>
        <w:t>27</w:t>
      </w:r>
      <w:r>
        <w:rPr>
          <w:rFonts w:hint="eastAsia"/>
          <w:bCs/>
          <w:color w:val="000000"/>
          <w:sz w:val="24"/>
        </w:rPr>
        <w:t>日</w:t>
      </w:r>
    </w:p>
    <w:p w:rsidR="00AA3326">
      <w:pPr>
        <w:spacing w:line="360" w:lineRule="auto"/>
        <w:ind w:firstLine="480" w:firstLineChars="200"/>
        <w:rPr>
          <w:bCs/>
          <w:color w:val="000000"/>
          <w:sz w:val="24"/>
        </w:rPr>
      </w:pPr>
      <w:r>
        <w:rPr>
          <w:bCs/>
          <w:color w:val="000000"/>
          <w:sz w:val="24"/>
        </w:rPr>
        <w:t>批准设立机关及批准设立文号：</w:t>
      </w:r>
      <w:r>
        <w:rPr>
          <w:rFonts w:hint="eastAsia"/>
          <w:bCs/>
          <w:color w:val="000000"/>
          <w:sz w:val="24"/>
        </w:rPr>
        <w:t>中国证券监督管理委员会；证监许可【</w:t>
      </w:r>
      <w:r>
        <w:rPr>
          <w:rFonts w:hint="eastAsia"/>
          <w:bCs/>
          <w:color w:val="000000"/>
          <w:sz w:val="24"/>
        </w:rPr>
        <w:t>2010</w:t>
      </w:r>
      <w:r>
        <w:rPr>
          <w:rFonts w:hint="eastAsia"/>
          <w:bCs/>
          <w:color w:val="000000"/>
          <w:sz w:val="24"/>
        </w:rPr>
        <w:t>】</w:t>
      </w:r>
      <w:r>
        <w:rPr>
          <w:rFonts w:hint="eastAsia"/>
          <w:bCs/>
          <w:color w:val="000000"/>
          <w:sz w:val="24"/>
        </w:rPr>
        <w:t>631</w:t>
      </w:r>
      <w:r>
        <w:rPr>
          <w:rFonts w:hint="eastAsia"/>
          <w:bCs/>
          <w:color w:val="000000"/>
          <w:sz w:val="24"/>
        </w:rPr>
        <w:t>号</w:t>
      </w:r>
    </w:p>
    <w:p w:rsidR="00AA3326">
      <w:pPr>
        <w:spacing w:line="360" w:lineRule="auto"/>
        <w:ind w:firstLine="480" w:firstLineChars="200"/>
        <w:rPr>
          <w:bCs/>
          <w:color w:val="000000"/>
          <w:sz w:val="24"/>
        </w:rPr>
      </w:pPr>
      <w:r>
        <w:rPr>
          <w:bCs/>
          <w:color w:val="000000"/>
          <w:sz w:val="24"/>
        </w:rPr>
        <w:t>组织形式：</w:t>
      </w:r>
      <w:r>
        <w:rPr>
          <w:rFonts w:ascii="宋体" w:hAnsi="宋体" w:hint="eastAsia"/>
          <w:color w:val="000000"/>
          <w:sz w:val="24"/>
          <w:szCs w:val="24"/>
        </w:rPr>
        <w:t>有限责任公司</w:t>
      </w:r>
    </w:p>
    <w:p w:rsidR="00AA3326">
      <w:pPr>
        <w:spacing w:line="360" w:lineRule="auto"/>
        <w:ind w:firstLine="480" w:firstLineChars="200"/>
        <w:rPr>
          <w:bCs/>
          <w:color w:val="000000"/>
          <w:sz w:val="24"/>
        </w:rPr>
      </w:pPr>
      <w:r>
        <w:rPr>
          <w:bCs/>
          <w:color w:val="000000"/>
          <w:sz w:val="24"/>
        </w:rPr>
        <w:t>注册资本：</w:t>
      </w:r>
      <w:r>
        <w:rPr>
          <w:rFonts w:hint="eastAsia"/>
          <w:bCs/>
          <w:color w:val="000000"/>
          <w:sz w:val="24"/>
        </w:rPr>
        <w:t>20</w:t>
      </w:r>
      <w:r>
        <w:rPr>
          <w:rFonts w:hint="eastAsia"/>
          <w:bCs/>
          <w:color w:val="000000"/>
          <w:sz w:val="24"/>
        </w:rPr>
        <w:t>亿元人民币</w:t>
      </w:r>
    </w:p>
    <w:p w:rsidR="00AA3326">
      <w:pPr>
        <w:spacing w:line="360" w:lineRule="auto"/>
        <w:ind w:firstLine="480" w:firstLineChars="200"/>
        <w:rPr>
          <w:bCs/>
          <w:color w:val="000000"/>
          <w:sz w:val="24"/>
        </w:rPr>
      </w:pPr>
      <w:r>
        <w:rPr>
          <w:bCs/>
          <w:color w:val="000000"/>
          <w:sz w:val="24"/>
        </w:rPr>
        <w:t>存续期限：</w:t>
      </w:r>
      <w:r>
        <w:rPr>
          <w:rFonts w:ascii="宋体" w:hAnsi="宋体" w:hint="eastAsia"/>
          <w:color w:val="000000"/>
          <w:sz w:val="24"/>
          <w:szCs w:val="24"/>
        </w:rPr>
        <w:t>持续经营</w:t>
      </w:r>
    </w:p>
    <w:p w:rsidR="00AA3326">
      <w:pPr>
        <w:spacing w:line="360" w:lineRule="auto"/>
        <w:ind w:firstLine="480" w:firstLineChars="200"/>
        <w:rPr>
          <w:rFonts w:asciiTheme="minorEastAsia" w:eastAsiaTheme="minorEastAsia" w:hAnsiTheme="minorEastAsia" w:hint="eastAsia"/>
          <w:bCs/>
          <w:color w:val="000000"/>
          <w:sz w:val="24"/>
          <w:szCs w:val="24"/>
        </w:rPr>
      </w:pPr>
      <w:r>
        <w:rPr>
          <w:bCs/>
          <w:color w:val="000000"/>
          <w:sz w:val="24"/>
        </w:rPr>
        <w:t>联系电话：</w:t>
      </w:r>
      <w:r>
        <w:rPr>
          <w:rFonts w:hint="eastAsia"/>
          <w:bCs/>
          <w:color w:val="000000"/>
          <w:sz w:val="24"/>
        </w:rPr>
        <w:t>021-38676999</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w:t>
      </w:r>
      <w:r>
        <w:rPr>
          <w:rFonts w:asciiTheme="minorEastAsia" w:cs="宋体" w:eastAsiaTheme="minorEastAsia" w:hAnsiTheme="minorEastAsia"/>
          <w:bCs/>
          <w:color w:val="000000"/>
          <w:sz w:val="24"/>
          <w:szCs w:val="24"/>
        </w:rPr>
        <w:t>二</w:t>
      </w:r>
      <w:r>
        <w:rPr>
          <w:rFonts w:asciiTheme="minorEastAsia" w:cs="宋体" w:eastAsiaTheme="minorEastAsia" w:hAnsiTheme="minorEastAsia" w:hint="eastAsia"/>
          <w:bCs/>
          <w:color w:val="000000"/>
          <w:sz w:val="24"/>
          <w:szCs w:val="24"/>
        </w:rPr>
        <w:t>）</w:t>
      </w:r>
      <w:r>
        <w:rPr>
          <w:rFonts w:asciiTheme="minorEastAsia" w:cs="宋体" w:eastAsiaTheme="minorEastAsia" w:hAnsiTheme="minorEastAsia" w:hint="eastAsia"/>
          <w:bCs/>
          <w:color w:val="000000"/>
          <w:sz w:val="24"/>
          <w:szCs w:val="24"/>
        </w:rPr>
        <w:tab/>
        <w:t>基金管理人的权利与义务</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1、根据《基金法》、《运作办法》及其他有关规定，基金管理人的权利包括但不限于：</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（1）自《基金合同》生效之日起，根据法律法规和《基金合同》独立运用并管理基金财产；</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（2）依照《基金合同》收取基金管理费以及法律法规规定或中国证监会批准的其他费用；</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（3）销售基金份额；</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（4）按照规定召集基金份额持有人大会；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（5）依据《基金合同》及有关法律规定监督基金托管人，如认为基金托管人违反了《基金合同》及国家有关法律规定，应呈报中国证监会和其他监管部门，并采取必要措施保护基金投资者的利益；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（6）在基金托管人更换时，提名新的基金托管人；</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 xml:space="preserve">（7）选择、更换基金销售机构，对基金销售机构的相关行为进行监督和处理； </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 xml:space="preserve">（8）担任或委托其他符合条件的机构担任基金登记机构办理基金登记业务并获得《基金合同》规定的费用； </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（9）依据《基金合同》及有关法律规定决定基金收益的分配方案；</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 xml:space="preserve">（10）在《基金合同》约定的范围内，拒绝或暂停受理申购与赎回申请； </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（11）依照法律法规为基金的利益对被投资公司行使股东权利，为基金的利益行使因基金财产投资于证券所产生的权利；</w:t>
      </w:r>
      <w:r>
        <w:rPr>
          <w:rFonts w:asciiTheme="minorEastAsia" w:cs="宋体" w:eastAsiaTheme="minorEastAsia" w:hAnsiTheme="minorEastAsia" w:hint="eastAsia"/>
          <w:bCs/>
          <w:color w:val="000000"/>
          <w:sz w:val="24"/>
          <w:szCs w:val="24"/>
        </w:rPr>
        <w:tab/>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（12）在法律法规允许的前提下，为基金的利益依法为基金进行融资；</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（13）以基金管理人的名义，代表基金份额持有人的利益行使诉讼权利或者实施其他法律行为；</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（14）选择、更换律师事务所、会计师事务所、证券经纪商、期货经纪机构或其他为基金提供服务的外部机构；</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（15）在符合有关法律、法规的前提下，制订和调整有关基金申购、赎回、转换和</w:t>
      </w:r>
      <w:r>
        <w:rPr>
          <w:rFonts w:asciiTheme="minorEastAsia" w:cs="宋体" w:eastAsiaTheme="minorEastAsia" w:hAnsiTheme="minorEastAsia" w:hint="eastAsia"/>
          <w:bCs/>
          <w:color w:val="000000"/>
          <w:sz w:val="24"/>
          <w:szCs w:val="24"/>
        </w:rPr>
        <w:t>非交易</w:t>
      </w:r>
      <w:r>
        <w:rPr>
          <w:rFonts w:asciiTheme="minorEastAsia" w:cs="宋体" w:eastAsiaTheme="minorEastAsia" w:hAnsiTheme="minorEastAsia" w:hint="eastAsia"/>
          <w:bCs/>
          <w:color w:val="000000"/>
          <w:sz w:val="24"/>
          <w:szCs w:val="24"/>
        </w:rPr>
        <w:t>过户的业务规则；</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（16）法律法规及中国证监会规定的和《基金合同》约定的其他权利。</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2、根据《基金法》、《运作办法》及其他有关规定，基金管理人的义务包括但不限于：</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（1）办理或者委托经中国证监会认定的其他机构代为办理基金份额的申购、赎回和登记事宜；</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（2）办理基金备案手续；</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（3）自《基金合同》生效之日起，以诚实信用、谨慎勤勉的原则管理和运用基金财产；</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（4）配备足够的具有专业资格的人员进行基金投资分析、决策，以专业化的经营方式管理和运作基金财产；</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（5）建立健全内部风险控制、监察与稽核、财务管理及人事管理等制度，保证所管理的基金财产和基金管理人的财产相互独立，对所管理的不同基金分别管理，分别记账，进行证券投资；</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（6）除依据《基金法》、《基金合同》及其他有关规定外，不得利用基金财产为自己及任何第三人谋取利益，不得委托第三人运作基金财产；</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（7）依法接受基金托管人的监督；</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（8）采取适当合理的措施使计算基金份额申购、赎回和注销价格的方法符合《基金合同》等法律文件的规定，按有关规定计算并公告基金净值信息，确定基金份额申购、赎回的价格；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（9）进行基金会计核算并编制基金财务会计报告；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（10）编制季度报告、中期报告和年度报告；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（11）严格按照《基金法》、《基金合同》及其他有关规定，履行信息披露及报告义务；</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12）保守基金商业秘密，不泄露基金投资计划、投资意向等。除《基金法》、《基金合同》及其他有关规定另有规定外，在基金信息公开披露前应予保密，不向他人泄露，因向审计、法律等外部专业顾问提供的情况除外；</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（13）按《基金合同》的约定确定基金收益分配方案，及时向基金份额持有人分配基金收益；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（14）按规定受理申购与赎回申请，及时、足额支付赎回款项；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（15）依据《基金法》、《基金合同》及其他有关规定召集基金份额持有人大会或配合基金托管人、基金份额持有人依法召集基金份额持有人大会；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（16）按规定保存基金资产管理业务活动的会计账册、报表、记录和其他相关资料不低于法律法规规定的最低期限；</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17）确保需要向基金投资者提供的各项文件或资料在规定时间发出，并且保证投资者能够按照《基金合同》规定的时间和方式，随时查阅到与基金有关的公开资料，并在支付合理成本的条件下得到有关资料的复印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（18）组织并参加基金财产清算小组，参与基金财产的保管、清理、估价、变现和分配；</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（19）面临解散、依法被撤销或者被依法宣告破产时，及时报告中国证监会并通知基金托管人；</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（20）因违反《基金合同》导致基金财产的损失或损害基金份额持有人合法权益时，应当承担赔偿责任，其赔偿责任不因其退任而免除；</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（21）监督基金托管人按法律法规和《基金合同》规定履行自己的义务，基金托管人违反《基金合同》造成基金财产损失时，基金管理人应为基金份额持有人利益向基金托管人追偿；</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（22）当基金管理人将其义务委托第三方处理时，应当对第三方处理有关基金事务的行为承担责任；</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（23）以基金管理人名义，代表基金份额持有人利益行使诉讼权利或实施其他法律行为；</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（24）执行生效的基金份额持有人大会的决议；</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（25）建立并保存基金份额持有人名册；</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（26）法律法规及中国证监会规定的和《基金合同》约定的其他义务。</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w:t>
      </w:r>
      <w:r>
        <w:rPr>
          <w:rFonts w:asciiTheme="minorEastAsia" w:cs="宋体" w:eastAsiaTheme="minorEastAsia" w:hAnsiTheme="minorEastAsia"/>
          <w:bCs/>
          <w:color w:val="000000"/>
          <w:sz w:val="24"/>
          <w:szCs w:val="24"/>
        </w:rPr>
        <w:t>三</w:t>
      </w:r>
      <w:r>
        <w:rPr>
          <w:rFonts w:asciiTheme="minorEastAsia" w:cs="宋体" w:eastAsiaTheme="minorEastAsia" w:hAnsiTheme="minorEastAsia" w:hint="eastAsia"/>
          <w:bCs/>
          <w:color w:val="000000"/>
          <w:sz w:val="24"/>
          <w:szCs w:val="24"/>
        </w:rPr>
        <w:t>）</w:t>
      </w:r>
      <w:r>
        <w:rPr>
          <w:rFonts w:asciiTheme="minorEastAsia" w:cs="宋体" w:eastAsiaTheme="minorEastAsia" w:hAnsiTheme="minorEastAsia" w:hint="eastAsia"/>
          <w:bCs/>
          <w:color w:val="000000"/>
          <w:sz w:val="24"/>
          <w:szCs w:val="24"/>
        </w:rPr>
        <w:tab/>
        <w:t>基金托管人简况</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名称：中国民生银行股份有限公司</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住所：北京市西城区复兴门内大街2号</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办公地址：北京市西城区复兴门内大街2号</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法定代表人：高迎欣</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成立时间：1996年2月7日</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批准设立机关和设立文号：中国人民银行银复[1996]14号</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基金托管业务批准文号：证</w:t>
      </w:r>
      <w:r>
        <w:rPr>
          <w:rFonts w:asciiTheme="minorEastAsia" w:cs="宋体" w:eastAsiaTheme="minorEastAsia" w:hAnsiTheme="minorEastAsia" w:hint="eastAsia"/>
          <w:bCs/>
          <w:color w:val="000000"/>
          <w:sz w:val="24"/>
          <w:szCs w:val="24"/>
        </w:rPr>
        <w:t>监基金字</w:t>
      </w:r>
      <w:r>
        <w:rPr>
          <w:rFonts w:asciiTheme="minorEastAsia" w:cs="宋体" w:eastAsiaTheme="minorEastAsia" w:hAnsiTheme="minorEastAsia" w:hint="eastAsia"/>
          <w:bCs/>
          <w:color w:val="000000"/>
          <w:sz w:val="24"/>
          <w:szCs w:val="24"/>
        </w:rPr>
        <w:t>［2004］101号</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组织形式：其他股份有限公司（上市）</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注册资本：43,782,418,502元人民币</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存续期间：1996年02月07日至长期</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（四）基金托管人的权利与义务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1、根据《基金法》、《运作办法》及其他有关规定，基金托管人的权利包括但不限于：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（1）自《基金合同》生效之日起，依法</w:t>
      </w:r>
      <w:r>
        <w:rPr>
          <w:rFonts w:asciiTheme="minorEastAsia" w:eastAsiaTheme="minorEastAsia" w:hAnsiTheme="minorEastAsia"/>
          <w:bCs/>
          <w:color w:val="000000"/>
          <w:sz w:val="24"/>
          <w:szCs w:val="24"/>
        </w:rPr>
        <w:t>律法规</w:t>
      </w:r>
      <w:r>
        <w:rPr>
          <w:rFonts w:asciiTheme="minorEastAsia" w:eastAsiaTheme="minorEastAsia" w:hAnsiTheme="minorEastAsia"/>
          <w:bCs/>
          <w:color w:val="000000"/>
          <w:sz w:val="24"/>
          <w:szCs w:val="24"/>
        </w:rPr>
        <w:t>和《基金合同》的规定安全保管</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（2）依《基金合同》约定获得</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托管费以及法律法规规定或监管部门批准的其他费用；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（3）监督基金管理人对本基金的投资运作，如发现基金管理人有违反《基金合同》及国家法律法规行为，对</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、其他当事人的利益造成重大损失的情形，应呈报中国证监会，并采取必要措施保护投资者的利益；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（4）根据相关市场规则，为</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开设</w:t>
      </w:r>
      <w:r>
        <w:rPr>
          <w:rFonts w:asciiTheme="minorEastAsia" w:eastAsiaTheme="minorEastAsia" w:hAnsiTheme="minorEastAsia" w:hint="eastAsia"/>
          <w:bCs/>
          <w:color w:val="000000"/>
          <w:sz w:val="24"/>
          <w:szCs w:val="24"/>
        </w:rPr>
        <w:t>资金账户、</w:t>
      </w:r>
      <w:r>
        <w:rPr>
          <w:rFonts w:asciiTheme="minorEastAsia" w:eastAsiaTheme="minorEastAsia" w:hAnsiTheme="minorEastAsia"/>
          <w:bCs/>
          <w:color w:val="000000"/>
          <w:sz w:val="24"/>
          <w:szCs w:val="24"/>
        </w:rPr>
        <w:t>证券</w:t>
      </w:r>
      <w:r>
        <w:rPr>
          <w:rFonts w:asciiTheme="minorEastAsia" w:eastAsiaTheme="minorEastAsia" w:hAnsiTheme="minorEastAsia" w:hint="eastAsia"/>
          <w:bCs/>
          <w:color w:val="000000"/>
          <w:sz w:val="24"/>
          <w:szCs w:val="24"/>
        </w:rPr>
        <w:t>账户等投资所需账户</w:t>
      </w:r>
      <w:r>
        <w:rPr>
          <w:rFonts w:asciiTheme="minorEastAsia" w:eastAsiaTheme="minorEastAsia" w:hAnsiTheme="minorEastAsia"/>
          <w:bCs/>
          <w:color w:val="000000"/>
          <w:sz w:val="24"/>
          <w:szCs w:val="24"/>
        </w:rPr>
        <w:t>、</w:t>
      </w:r>
      <w:r>
        <w:rPr>
          <w:rFonts w:asciiTheme="minorEastAsia" w:eastAsiaTheme="minorEastAsia" w:hAnsiTheme="minorEastAsia"/>
          <w:bCs/>
          <w:color w:val="000000"/>
          <w:sz w:val="24"/>
          <w:szCs w:val="24"/>
        </w:rPr>
        <w:t>为</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办理证券</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期货交易资金清算</w:t>
      </w:r>
      <w:r>
        <w:rPr>
          <w:rFonts w:asciiTheme="minorEastAsia" w:eastAsiaTheme="minorEastAsia" w:hAnsiTheme="minorEastAsia" w:hint="eastAsia"/>
          <w:bCs/>
          <w:color w:val="000000"/>
          <w:sz w:val="24"/>
          <w:szCs w:val="24"/>
        </w:rPr>
        <w:t>；</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（5）提议召开或召集基金份额持有人大会；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（6）在基金管理人更换时，提名新的基金管理人；</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（7）</w:t>
      </w:r>
      <w:r>
        <w:rPr>
          <w:rFonts w:asciiTheme="minorEastAsia" w:eastAsiaTheme="minorEastAsia" w:hAnsiTheme="minorEastAsia" w:hint="eastAsia"/>
          <w:bCs/>
          <w:color w:val="000000"/>
          <w:sz w:val="24"/>
          <w:szCs w:val="24"/>
        </w:rPr>
        <w:t>法律法规及中国证监会规定的和《基金合同》约定的其他</w:t>
      </w:r>
      <w:r>
        <w:rPr>
          <w:rFonts w:asciiTheme="minorEastAsia" w:eastAsiaTheme="minorEastAsia" w:hAnsiTheme="minorEastAsia"/>
          <w:bCs/>
          <w:color w:val="000000"/>
          <w:sz w:val="24"/>
          <w:szCs w:val="24"/>
        </w:rPr>
        <w:t>权利。</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2、根据《基金法》、《运作办法》及其他有关规定，基金托管人的义务包括但不限于：</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（1）以诚实信用、勤勉尽责的原则持有并安全保管基金财产；</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（2）设立专门的基金托管部门，具有符合要求的营业场所，配备足够的、合格的熟悉基金托管业务的专职人员，负责基金财产托管事宜；</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（4）除依据《基金法》、《基金合同》及其他有关规定外，不得利用基金财产为自己及任何第三人谋取利益，不得委托第三人托管基金财产；</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（5）保管由基金管理人代表基金签订的与基金有关的重大合同及有关凭证；</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（6）按规定开设基金财产的资金账户和证券账户等投资所需账户，按照《基金合同》的约定，根据基金管理人的投资指令或登记结算机构业务规则，及时办理清算、交割事宜；</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（7）保守基金商业秘密，除《基金法》、《基金合同》及其他有关规定另有规定外，在基金信息公开披露前予以保密，不得向他人泄露，因向审计、法律等外部专业顾问提供的情况除外；</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（8）复核、审查基金管理人计算的基金资产净值、各类基金份额净值、基金份额申购、赎回价格；</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（9）办理与基金托管业务活动有关的信息披露事项；</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10）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（11）保存基金托管业务活动的记录、账册、报表和其他相关资料不低于法律法规规定的最低期限；</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（12）建立并保存基金份额持有人名册；</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（13）按规定制作相关账册并与基金管理人核对；</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（14）依据基金管理人的指令或有关规定向基金份额持有人支付基金收益和赎回款项；</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（15）依据《基金法》、《基金合同》及其他有关规定，召集基金份额持有人大会或配合基金管理人、基金份额持有人依法召集基金份额持有人大会；</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（16）按照法律法规和《基金合同》、托管协议的规定监督基金管理人的投资运作；</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（17）参加基金财产清算小组，参与基金财产的保管、清理、估价、变现和分配；</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（18）面临解散、依法被撤销或者被依法宣告破产时，及时报告中国证监会和银行业监督管理机构，并通知基金管理人；</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（19）因违反《基金合同》导致基金财产损失时，应承担赔偿责任，其赔偿责任不因其退任而免除；</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（20）按规定监督基金管理人按法律法规和《基金合同》规定履行自己的义务，基金管理人因违反《基金合同》造成基金财产损失时，应为基金份额持有人利益向基金管理人追偿；</w:t>
      </w:r>
    </w:p>
    <w:p w:rsidR="00AA3326">
      <w:pPr>
        <w:spacing w:line="360" w:lineRule="auto"/>
        <w:ind w:firstLine="480" w:firstLineChars="20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（21）执行生效的基金份额持有人大会的决议；</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（22）法律法规及中国证监会规定的和《基金合同》约定的其他义务。</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w:t>
      </w:r>
      <w:r>
        <w:rPr>
          <w:rFonts w:asciiTheme="minorEastAsia" w:cs="宋体" w:eastAsiaTheme="minorEastAsia" w:hAnsiTheme="minorEastAsia"/>
          <w:bCs/>
          <w:color w:val="000000"/>
          <w:sz w:val="24"/>
          <w:szCs w:val="24"/>
        </w:rPr>
        <w:t>五</w:t>
      </w:r>
      <w:r>
        <w:rPr>
          <w:rFonts w:asciiTheme="minorEastAsia" w:cs="宋体" w:eastAsiaTheme="minorEastAsia" w:hAnsiTheme="minorEastAsia" w:hint="eastAsia"/>
          <w:bCs/>
          <w:color w:val="000000"/>
          <w:sz w:val="24"/>
          <w:szCs w:val="24"/>
        </w:rPr>
        <w:t>）基金份额持有人的权利与义务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投资者持有本</w:t>
      </w:r>
      <w:r>
        <w:rPr>
          <w:rFonts w:asciiTheme="minorEastAsia" w:eastAsiaTheme="minorEastAsia" w:hAnsiTheme="minorEastAsia" w:hint="eastAsia"/>
          <w:bCs/>
          <w:color w:val="000000"/>
          <w:sz w:val="24"/>
          <w:szCs w:val="24"/>
        </w:rPr>
        <w:t>基金基金</w:t>
      </w:r>
      <w:r>
        <w:rPr>
          <w:rFonts w:asciiTheme="minorEastAsia" w:eastAsiaTheme="minorEastAsia" w:hAnsiTheme="minorEastAsia" w:hint="eastAsia"/>
          <w:bCs/>
          <w:color w:val="000000"/>
          <w:sz w:val="24"/>
          <w:szCs w:val="24"/>
        </w:rPr>
        <w:t>份额的行为即视为对《基金合同》的承认和接受，投资者</w:t>
      </w:r>
      <w:r>
        <w:rPr>
          <w:rFonts w:asciiTheme="minorEastAsia" w:eastAsiaTheme="minorEastAsia" w:hAnsiTheme="minorEastAsia" w:hint="eastAsia"/>
          <w:bCs/>
          <w:color w:val="000000"/>
          <w:sz w:val="24"/>
          <w:szCs w:val="24"/>
        </w:rPr>
        <w:t>自依据</w:t>
      </w:r>
      <w:r>
        <w:rPr>
          <w:rFonts w:asciiTheme="minorEastAsia" w:eastAsiaTheme="minorEastAsia" w:hAnsiTheme="minorEastAsia" w:hint="eastAsia"/>
          <w:bCs/>
          <w:color w:val="000000"/>
          <w:sz w:val="24"/>
          <w:szCs w:val="24"/>
        </w:rPr>
        <w:t>《基金合同》取得基金份额，即成为本</w:t>
      </w:r>
      <w:r>
        <w:rPr>
          <w:rFonts w:asciiTheme="minorEastAsia" w:eastAsiaTheme="minorEastAsia" w:hAnsiTheme="minorEastAsia" w:hint="eastAsia"/>
          <w:bCs/>
          <w:color w:val="000000"/>
          <w:sz w:val="24"/>
          <w:szCs w:val="24"/>
        </w:rPr>
        <w:t>基金基金</w:t>
      </w:r>
      <w:r>
        <w:rPr>
          <w:rFonts w:asciiTheme="minorEastAsia" w:eastAsiaTheme="minorEastAsia" w:hAnsiTheme="minorEastAsia" w:hint="eastAsia"/>
          <w:bCs/>
          <w:color w:val="000000"/>
          <w:sz w:val="24"/>
          <w:szCs w:val="24"/>
        </w:rPr>
        <w:t>份额持有人和《基金合同》的当事人，直至其不再持有本基金的基金份额。基金份额持有人作为《基金合同》当事人并不以在《基金合同》上书面签章或签字为必要条件。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同一类别每份基金份额具有同等的合法权益。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1、根据《基金法》、《运作办法》及其他有关规定，基金份额持有人的权利包括但不限于：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（1）分享基金财产收益；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（2）参与分配清算后的剩余基金财产；</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（3）依法转让或者申请赎回其持有的基金份额；</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（4）按照规定要求召开基金份额持有人大会或者召集基金份额持有人大会；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（5）出席或者委派代表出席基金份额持有人大会，对基金份额持有人大会审议事项行使表决权；</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（6）查阅或者复制公开披露的基金信息资料；</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（7）监督基金管理人的投资运作；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（8）对基金管理人、基金托管人、基金服务机构损害其合法权益的行为依法提起诉讼或仲裁；</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（9）法律法规及中国证监会规定的和《基金合同》约定的其他权利。</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2、根据《基金法》、《运作办法》及其他有关规定，基金份额持有人的义务包括但不限于：</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（1）认真阅读并遵守《基金合同》、招募说明书等信息披露文件；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（2）了解所投资基金产品，了解自身风险承受能力，自主判断基金的投资价值，自主做出投资决策，自行承担投资风险；</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（3）关注基金信息披露，及时行使权利和履行义务；</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（4）交纳基金申购款项及法律法规和《基金合同》所规定的费用；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（5）在其持有的基金份额范围内，承担基金亏损或者《基金合同》终止的有限责任；</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（6）不从事任何有损基金及其他《基金合同》当事人合法权益的活动；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（7）执行生效的基金份额持有人大会的决议；</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（8）返还在基金交易过程中因任何原因获得的不当得利；</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（9）法律法规及中国证监会规定的和《基金合同》约定的其他义务。</w:t>
      </w:r>
    </w:p>
    <w:p w:rsidR="00AA3326">
      <w:pPr>
        <w:pStyle w:val="Heading2"/>
        <w:keepLines w:val="0"/>
        <w:tabs>
          <w:tab w:pos="576" w:val="left"/>
        </w:tabs>
        <w:suppressAutoHyphens/>
        <w:spacing w:after="0" w:before="0" w:line="360" w:lineRule="auto"/>
        <w:ind w:firstLine="480" w:firstLineChars="200"/>
        <w:rPr>
          <w:rFonts w:asciiTheme="minorEastAsia" w:cs="Arial" w:eastAsiaTheme="minorEastAsia" w:hAnsiTheme="minorEastAsia" w:hint="eastAsia"/>
          <w:b w:val="0"/>
          <w:bCs/>
          <w:iCs/>
          <w:color w:val="000000"/>
          <w:kern w:val="1"/>
          <w:sz w:val="24"/>
          <w:szCs w:val="24"/>
          <w:lang w:eastAsia="ar-SA"/>
        </w:rPr>
      </w:pPr>
      <w:r>
        <w:rPr>
          <w:rFonts w:asciiTheme="minorEastAsia" w:cs="Arial" w:eastAsiaTheme="minorEastAsia" w:hAnsiTheme="minorEastAsia" w:hint="eastAsia"/>
          <w:b w:val="0"/>
          <w:bCs/>
          <w:iCs/>
          <w:color w:val="000000"/>
          <w:kern w:val="1"/>
          <w:sz w:val="24"/>
          <w:szCs w:val="24"/>
          <w:lang w:eastAsia="ar-SA"/>
        </w:rPr>
        <w:t>二、基金份额持有人大会召集、议事及表决的程序和规则</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份额持有人大会由基金份额持有人组成，基金份额持有人的合法授权代表有权代表基金份额持有人出席会议并表决。基金份额持有人持有的每一基金份额拥有平等的投票权。若将来法律法规对基金份额持有人大会另有规定的，以届时有效的法律法规为准。</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w:t>
      </w:r>
      <w:r>
        <w:rPr>
          <w:rFonts w:asciiTheme="minorEastAsia" w:eastAsiaTheme="minorEastAsia" w:hAnsiTheme="minorEastAsia" w:hint="eastAsia"/>
          <w:bCs/>
          <w:color w:val="000000"/>
          <w:sz w:val="24"/>
          <w:szCs w:val="24"/>
        </w:rPr>
        <w:t>基金基金</w:t>
      </w:r>
      <w:r>
        <w:rPr>
          <w:rFonts w:asciiTheme="minorEastAsia" w:eastAsiaTheme="minorEastAsia" w:hAnsiTheme="minorEastAsia" w:hint="eastAsia"/>
          <w:bCs/>
          <w:color w:val="000000"/>
          <w:sz w:val="24"/>
          <w:szCs w:val="24"/>
        </w:rPr>
        <w:t>份额持有人大会暂不设日常机构。在本基金存续期内，根据本基金的运作需要，基金份额持有人大会可以设立日常机构，日常机构的设立与运作应当根据相关法律法规和中国证监会的规定进行。</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（一）召开事由</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1、当出现或需要决定下列事由之一的，应当召开基金份额持有人大会，但法律法规、中国证监会另有规定或基金合同另有约定的除外：</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（1）终止《基金合同》；</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（2）更换基金管理人；</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（3）更换基金托管人；</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（4）转换基金运作方式；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（5）调整基金管理人、基金托管人的报酬标准或提高销售服务费率；</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（6）变更基金类别；</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（7）本基金与其他基金的合并；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（8）变更基金投资目标、范围或策略；</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（9）变更基金份额持有人大会程序；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（10）基金管理人或基金托管人要求召开基金份额持有人大会；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（11）单独或合计持有本基金总份额10%以上（含10%）基金份额的基金份额持有人（以基金管理人收到提议当日的基金份额计算，下同）就同一事项书面要求召开基金份额持有人大会；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（12）对基金合同当事人权利和义务产生重大影响的其他事项；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（13）法律法规、《基金合同》或中国证监会规定的其他应当召开基金份额持有人大会的事项。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在法律法规规定和《基金合同》约定的范围内且对基金份额持有人利益无实质性不利影响的前提下，以下情况可由基金管理人和基金托管人协商，并按照监管部门要求履行适当程序后修改，不需召开基金份额持有人大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（1）法律法规要求增加的基金费用的收取；</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（2）在法律法规和《基金合同》规定的范围内调整本基金的申购费率、调低赎回费率、销售服务费或变更收费方式；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w:t>
      </w:r>
      <w:r>
        <w:rPr>
          <w:rFonts w:asciiTheme="minorEastAsia" w:cs="宋体" w:eastAsiaTheme="minorEastAsia" w:hAnsiTheme="minorEastAsia" w:hint="eastAsia"/>
          <w:bCs/>
          <w:color w:val="000000"/>
          <w:sz w:val="24"/>
          <w:szCs w:val="24"/>
        </w:rPr>
        <w:t>因相应</w:t>
      </w:r>
      <w:r>
        <w:rPr>
          <w:rFonts w:asciiTheme="minorEastAsia" w:cs="宋体" w:eastAsiaTheme="minorEastAsia" w:hAnsiTheme="minorEastAsia" w:hint="eastAsia"/>
          <w:bCs/>
          <w:color w:val="000000"/>
          <w:sz w:val="24"/>
          <w:szCs w:val="24"/>
        </w:rPr>
        <w:t>的法律法规发生变动而应当对《基金合同》进行修改；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（4）对《基金合同》的修改对基金份额持有人利益无实质性不利影响或修改不涉及《基金合同》当事人权利义务关系发生重大变化；</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（5）基金推出新业务或服务；</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（6）调整本基金份额类别的设置及对基金份额分类办法、规则进行调整；</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（7）基金管理人、登记机构、销售机构调整有关基金申购、赎回、转换、</w:t>
      </w:r>
      <w:r>
        <w:rPr>
          <w:rFonts w:asciiTheme="minorEastAsia" w:cs="宋体" w:eastAsiaTheme="minorEastAsia" w:hAnsiTheme="minorEastAsia" w:hint="eastAsia"/>
          <w:bCs/>
          <w:color w:val="000000"/>
          <w:sz w:val="24"/>
          <w:szCs w:val="24"/>
        </w:rPr>
        <w:t>非交易</w:t>
      </w:r>
      <w:r>
        <w:rPr>
          <w:rFonts w:asciiTheme="minorEastAsia" w:cs="宋体" w:eastAsiaTheme="minorEastAsia" w:hAnsiTheme="minorEastAsia" w:hint="eastAsia"/>
          <w:bCs/>
          <w:color w:val="000000"/>
          <w:sz w:val="24"/>
          <w:szCs w:val="24"/>
        </w:rPr>
        <w:t>过户、转托管等业务的规则；</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（8）按照法律法规和《基金合同》规定不需召开基金份额持有人大会的其他情形。</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（二）会议召集人及召集方式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1、除法律法规规定或《基金合同》另有约定外，基金份额持有人大会由基金管理人召集。</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2、基金管理人未按规定召集或不能召集时，由基金托管人召集。</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基金托管人认为有必要召开基金份额持有人大会的，应当向基金管理人提出书面提议。基金管理人应当自收到书面提议之日起10日内决定是否召集，并书面告知基金托管人。基金管理人决定召集的，应当自出具书面决定之日起60日内召开；基金管理人决定不召集，基金托管人仍认为有必要召开的，应当由基金托管人自行召集，并自出具书面决定之日起60日内召开并告知基金管理人，基金管理人应当配合。</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代表基金份额10%以上（含10%）的基金份额持有人就同一事项书面要求召开基金份额持有人大会，应当向基金管理人提出书面提议。基金管理人应当自收到书面提议之日起10日内决定是否召集，并书面告知提出提议的基金份额持有人代表和基金托管人。基金管理人决定召集的，应当自出具书面决定之日起60日内召开；基金管理人决定不召集，代表基金份额10%以上（含10%）的基金份额持有人仍认为有必要召开的，应当向基金托管人提出书面提议。基金托管人应当自收到书面提议之日起10日内决定是否召集，并书面告知提出提议的基金份额持有人代表和基金管理人；基金托管人决定召集的，应当自出具书面决定之日起60日内召开。并告知基金管理人，基金管理人应当配合。</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5、代表基金份额10%以上（含10%）的基金份额持有人就同一事项要求召开基金份额持有人大会，而基金管理人、基金托管人都不召集的，单独或合计代表</w:t>
      </w:r>
      <w:r>
        <w:rPr>
          <w:rFonts w:asciiTheme="minorEastAsia" w:cs="宋体" w:eastAsiaTheme="minorEastAsia" w:hAnsiTheme="minorEastAsia" w:hint="eastAsia"/>
          <w:bCs/>
          <w:color w:val="000000"/>
          <w:sz w:val="24"/>
          <w:szCs w:val="24"/>
        </w:rPr>
        <w:t>基金份额10%以上（含10%）的基金份额持有人有权自行召集，并至少提前30日报中国证监会备案。基金份额持有人依法自行召集基金份额持有人大会的，基金管理人、基金托管人应当配合，不得阻碍、干扰。</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6、基金份额持有人会议的召集人负责选择确定开会时间、地点、方式和权益登记日。</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（三）召开基金份额持有人大会的通知时间、通知内容、通知方式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1、召开基金份额持有人大会，召集人应于会议召开前30日，在规定媒介公告。基金份额持有人大会通知应至少载明以下内容：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（1）会议召开的时间、地点和会议形式；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（2）会议</w:t>
      </w:r>
      <w:r>
        <w:rPr>
          <w:rFonts w:asciiTheme="minorEastAsia" w:cs="宋体" w:eastAsiaTheme="minorEastAsia" w:hAnsiTheme="minorEastAsia" w:hint="eastAsia"/>
          <w:bCs/>
          <w:color w:val="000000"/>
          <w:sz w:val="24"/>
          <w:szCs w:val="24"/>
        </w:rPr>
        <w:t>拟审议</w:t>
      </w:r>
      <w:r>
        <w:rPr>
          <w:rFonts w:asciiTheme="minorEastAsia" w:cs="宋体" w:eastAsiaTheme="minorEastAsia" w:hAnsiTheme="minorEastAsia" w:hint="eastAsia"/>
          <w:bCs/>
          <w:color w:val="000000"/>
          <w:sz w:val="24"/>
          <w:szCs w:val="24"/>
        </w:rPr>
        <w:t>的事项、议事程序和表决方式；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（3）有权出席基金份额持有人大会的基金份额持有人的权益登记日；</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（4）授权委托证明的内容要求（包括但不限于代理人身份，代理权限和代理有效期限等）、送达时间和地点;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（5）会务常设联系人姓名及联系电话；</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（6）出席会议者必须准备的文件和必须履行的手续；</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（7）召集人需要通知的其他事项。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2、采取通讯开会方式并进行表决的情况下，由会议召集人决定在会议通知中说明本次基金份额持有人大会所采取的具体通讯方式、委托的公证机关及其联系方式和联系人、表决意见寄交的截止时间和收取方式。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r>
        <w:rPr>
          <w:rFonts w:asciiTheme="minorEastAsia" w:cs="宋体" w:eastAsiaTheme="minorEastAsia" w:hAnsiTheme="minorEastAsia" w:hint="eastAsia"/>
          <w:bCs/>
          <w:color w:val="000000"/>
          <w:sz w:val="24"/>
          <w:szCs w:val="24"/>
        </w:rPr>
        <w:t>拒不派</w:t>
      </w:r>
      <w:r>
        <w:rPr>
          <w:rFonts w:asciiTheme="minorEastAsia" w:cs="宋体" w:eastAsiaTheme="minorEastAsia" w:hAnsiTheme="minorEastAsia" w:hint="eastAsia"/>
          <w:bCs/>
          <w:color w:val="000000"/>
          <w:sz w:val="24"/>
          <w:szCs w:val="24"/>
        </w:rPr>
        <w:t>代表对表决意见的计票进行监督的，不影响表决意见的计票效力。</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（四）基金份额持有人出席会议的方式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基金份额持有人大会可通过现场开会方式、通讯开会方式或法律法规、监管机构允许的其他方式召开，会议的召开方式由会议召集人确定。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1、现场开会。由基金份额持有人本人出席或以代理投票授权委托证明委派</w:t>
      </w:r>
      <w:r>
        <w:rPr>
          <w:rFonts w:asciiTheme="minorEastAsia" w:cs="宋体" w:eastAsiaTheme="minorEastAsia" w:hAnsiTheme="minorEastAsia" w:hint="eastAsia"/>
          <w:bCs/>
          <w:color w:val="000000"/>
          <w:sz w:val="24"/>
          <w:szCs w:val="24"/>
        </w:rPr>
        <w:t>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经核对，汇总到会者出示的在权益登记日持有基金份额的凭证显示，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在同时符合以下条件时，通讯开会的方式视为有效：</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（1）会议召集人按《基金合同》约定公布会议通知后，在2个工作日内连续公布相关提示性公告；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本人直接出具表决意见或授权他人代表出具表决意见的，基金份额持有人所持有的基金份额不小于在权益登记日基金总份额的二分之一（含二分之一）；若本人直接出具表决意见或授权他人代表出具表决意见基金份额持有人所持有的基金份额小于在权益登记日基金总份额的二分之一，召集人可以在原公告</w:t>
      </w:r>
      <w:r>
        <w:rPr>
          <w:rFonts w:asciiTheme="minorEastAsia" w:cs="宋体" w:eastAsiaTheme="minorEastAsia" w:hAnsiTheme="minorEastAsia" w:hint="eastAsia"/>
          <w:bCs/>
          <w:color w:val="000000"/>
          <w:sz w:val="24"/>
          <w:szCs w:val="24"/>
        </w:rPr>
        <w:t>的基金份额持有人大会召开时间的3个月以后、6个月以内，就原定审议事项重新召集基金份额持有人大会。重新召集的基金份额持有人大会应当有代表三分之一以上（含三分之一）基金份额的持有人直接出具表决意见或授权他人代表出具表决意见；</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上述第（3）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机构记录相符。</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在不与法律法规冲突的前提下，基金份额持有人大会亦可采用网络、电话、短信等其他非现场方式或者以现场方式与非现场方式相结合的方式召开，会议程序比照现场开会和通讯开会的程序进行。基金份额持有人可以采用书面、网络、电话、短信或其他方式进行表决，具体方式由会议召集人确定并在会议通知中列明。</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在不与法律法规冲突的前提下，基金份额持有人可采用其他书面或非书面方式授权他人代为出席基金份额持有人大会并行使表决权，授权方式可以采用书面、网络、电话、短信或其他方式，具体方式在会议通知中列明。</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（五）议事内容与程序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1、议事内容及提案权</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基金份额持有人大会的召集人发出召集会议的通知后，对原有提案的修改应当在基金份额持有人大会召开前及时公告。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基金份额持有人大会不得对未事先公告的议事内容进行表决。</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2、议事程序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（1）现场开会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在现场开会的方式下，首先由大会主持人按照下列第（七）条规定程序确定和公布监票人，然后由大会主持人宣读提案，经讨论后进行表决，并形成大会决</w:t>
      </w:r>
      <w:r>
        <w:rPr>
          <w:rFonts w:asciiTheme="minorEastAsia" w:cs="宋体" w:eastAsiaTheme="minorEastAsia" w:hAnsiTheme="minorEastAsia" w:hint="eastAsia"/>
          <w:bCs/>
          <w:color w:val="000000"/>
          <w:sz w:val="24"/>
          <w:szCs w:val="24"/>
        </w:rPr>
        <w:t>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50%以上（含50%）选举产生一名基金份额持有人作为该次基金份额持有人大会的主持人。基金管理人和基金托管人拒不出席或主持基金份额持有人大会，不影响基金份额持有人大会</w:t>
      </w:r>
      <w:r>
        <w:rPr>
          <w:rFonts w:asciiTheme="minorEastAsia" w:cs="宋体" w:eastAsiaTheme="minorEastAsia" w:hAnsiTheme="minorEastAsia" w:hint="eastAsia"/>
          <w:bCs/>
          <w:color w:val="000000"/>
          <w:sz w:val="24"/>
          <w:szCs w:val="24"/>
        </w:rPr>
        <w:t>作出</w:t>
      </w:r>
      <w:r>
        <w:rPr>
          <w:rFonts w:asciiTheme="minorEastAsia" w:cs="宋体" w:eastAsiaTheme="minorEastAsia" w:hAnsiTheme="minorEastAsia" w:hint="eastAsia"/>
          <w:bCs/>
          <w:color w:val="000000"/>
          <w:sz w:val="24"/>
          <w:szCs w:val="24"/>
        </w:rPr>
        <w:t>的决议的效力。</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会议召集人应当制作出席会议人员的签名册。签名</w:t>
      </w:r>
      <w:r>
        <w:rPr>
          <w:rFonts w:asciiTheme="minorEastAsia" w:cs="宋体" w:eastAsiaTheme="minorEastAsia" w:hAnsiTheme="minorEastAsia" w:hint="eastAsia"/>
          <w:bCs/>
          <w:color w:val="000000"/>
          <w:sz w:val="24"/>
          <w:szCs w:val="24"/>
        </w:rPr>
        <w:t>册</w:t>
      </w:r>
      <w:r>
        <w:rPr>
          <w:rFonts w:asciiTheme="minorEastAsia" w:cs="宋体" w:eastAsiaTheme="minorEastAsia" w:hAnsiTheme="minorEastAsia" w:hint="eastAsia"/>
          <w:bCs/>
          <w:color w:val="000000"/>
          <w:sz w:val="24"/>
          <w:szCs w:val="24"/>
        </w:rPr>
        <w:t>载明参加会议人员姓名（或单位名称）、身份证明文件号码、持有或代表有表决权的基金份额、委托人姓名（或单位名称）和联系方式等事项。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（2）通讯开会</w:t>
      </w:r>
    </w:p>
    <w:p w:rsidR="00AA3326">
      <w:pPr>
        <w:spacing w:line="360" w:lineRule="auto"/>
        <w:ind w:firstLine="480"/>
        <w:rPr>
          <w:rFonts w:asciiTheme="minorEastAsia"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在通讯开会的情况下，首先由召集人提前30日公布提案，在所通知的表决截止日期后2个工作日内在公证机关监督下由召集人统计全部有效表决，在公证机关监督下形成决议。</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（六）表决</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基金份额持有人所持每份基金份额有一票表决权。</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基金份额持有人大会决议分为一般决议和特别决议：</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一般决议，一般决议须经参加大会的基金份额持有人或其代理人所持表决权的二分之一以上（含二分之一）通过方为有效；除下列第2项所规定的须以特别决议通过事项以外的其他事项均以一般决议的方式通过。</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2、特别决议，特别决议应当经参加大会的基金份额持有人或其代理人所持表决权的三分之二以上（含三分之二）通过方可</w:t>
      </w:r>
      <w:r>
        <w:rPr>
          <w:rFonts w:asciiTheme="minorEastAsia" w:eastAsiaTheme="minorEastAsia" w:hAnsiTheme="minorEastAsia" w:hint="eastAsia"/>
          <w:bCs/>
          <w:color w:val="000000"/>
          <w:sz w:val="24"/>
          <w:szCs w:val="24"/>
        </w:rPr>
        <w:t>作出</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除法律法规或基金合同另有约定外</w:t>
      </w:r>
      <w:r>
        <w:rPr>
          <w:rFonts w:asciiTheme="minorEastAsia" w:eastAsiaTheme="minorEastAsia" w:hAnsiTheme="minorEastAsia" w:hint="eastAsia"/>
          <w:bCs/>
          <w:color w:val="000000"/>
          <w:sz w:val="24"/>
          <w:szCs w:val="24"/>
        </w:rPr>
        <w:t>，转换基金运作方式、更换基金管理人或者基金托管人、终止《基金合同》、本基金与其他基金合并以特别决议通过方为有效。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基金份额持有人大会采取记名方式进行投票表决。</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基金份额持有人大会的各项提案或同一项提案内并列的各项议题应当分开</w:t>
      </w:r>
      <w:r>
        <w:rPr>
          <w:rFonts w:asciiTheme="minorEastAsia" w:eastAsiaTheme="minorEastAsia" w:hAnsiTheme="minorEastAsia" w:hint="eastAsia"/>
          <w:bCs/>
          <w:color w:val="000000"/>
          <w:sz w:val="24"/>
          <w:szCs w:val="24"/>
        </w:rPr>
        <w:t>审议、逐项表决。</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（七）计票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1、现场开会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r>
        <w:rPr>
          <w:rFonts w:asciiTheme="minorEastAsia" w:eastAsiaTheme="minorEastAsia" w:hAnsiTheme="minorEastAsia" w:hint="eastAsia"/>
          <w:bCs/>
          <w:color w:val="000000"/>
          <w:sz w:val="24"/>
          <w:szCs w:val="24"/>
        </w:rPr>
        <w:t>或大会</w:t>
      </w:r>
      <w:r>
        <w:rPr>
          <w:rFonts w:asciiTheme="minorEastAsia" w:eastAsiaTheme="minorEastAsia" w:hAnsiTheme="minorEastAsia" w:hint="eastAsia"/>
          <w:bCs/>
          <w:color w:val="000000"/>
          <w:sz w:val="24"/>
          <w:szCs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（2）监票人应当在基金份额持有人表决后立即进行清点并由大会主持人当场公布计票结果。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（3）如果会议主持人或基金份额持有人或代理人对于提交的表决结果有怀疑，可以在宣布表决结果后立即对所投票</w:t>
      </w:r>
      <w:r>
        <w:rPr>
          <w:rFonts w:asciiTheme="minorEastAsia" w:eastAsiaTheme="minorEastAsia" w:hAnsiTheme="minorEastAsia" w:hint="eastAsia"/>
          <w:bCs/>
          <w:color w:val="000000"/>
          <w:sz w:val="24"/>
          <w:szCs w:val="24"/>
        </w:rPr>
        <w:t>数要求</w:t>
      </w:r>
      <w:r>
        <w:rPr>
          <w:rFonts w:asciiTheme="minorEastAsia" w:eastAsiaTheme="minorEastAsia" w:hAnsiTheme="minorEastAsia" w:hint="eastAsia"/>
          <w:bCs/>
          <w:color w:val="000000"/>
          <w:sz w:val="24"/>
          <w:szCs w:val="24"/>
        </w:rPr>
        <w:t>进行重新清点。监票人应当进行重新清点，重新清点以一次为限。重新清点后，大会主持人应当当场公布重新清点结果。</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（4）计票过程应由公证机关予以公证，基金管理人或基金托管人拒不出席大会的，不影响计票的效力。</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2、通讯开会</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r>
        <w:rPr>
          <w:rFonts w:asciiTheme="minorEastAsia" w:eastAsiaTheme="minorEastAsia" w:hAnsiTheme="minorEastAsia" w:hint="eastAsia"/>
          <w:bCs/>
          <w:color w:val="000000"/>
          <w:sz w:val="24"/>
          <w:szCs w:val="24"/>
        </w:rPr>
        <w:t>人拒派</w:t>
      </w:r>
      <w:r>
        <w:rPr>
          <w:rFonts w:asciiTheme="minorEastAsia" w:eastAsiaTheme="minorEastAsia" w:hAnsiTheme="minorEastAsia" w:hint="eastAsia"/>
          <w:bCs/>
          <w:color w:val="000000"/>
          <w:sz w:val="24"/>
          <w:szCs w:val="24"/>
        </w:rPr>
        <w:t>代表对表决意见的计票进行监督的，不影响计票和表决结果。</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（八）生效与公告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基金份额持有人大会的决议，召集人应当自通过之日起5日内报中国证监会备案。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基金份额持有人大会的决议自表决通过之日起生效。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基金份额持有人大会决议自生效之日起2日内在规定媒介上公告。如果采用通讯方式进行表决，在公告基金份额持有人大会决议时，必须将公证书全文、公</w:t>
      </w:r>
      <w:r>
        <w:rPr>
          <w:rFonts w:asciiTheme="minorEastAsia" w:eastAsiaTheme="minorEastAsia" w:hAnsiTheme="minorEastAsia" w:hint="eastAsia"/>
          <w:bCs/>
          <w:color w:val="000000"/>
          <w:sz w:val="24"/>
          <w:szCs w:val="24"/>
        </w:rPr>
        <w:t>证机构、公证员姓名等一同公告。</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基金管理人、基金托管人和基金份额持有人应当执行生效的基金份额持有人大会的决议。生效的基金份额持有人大会决议对全体基金份额持有人、基金管理人、基金托管人均有约束力。</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（九</w:t>
      </w:r>
      <w:r>
        <w:rPr>
          <w:rFonts w:asciiTheme="minorEastAsia" w:cs="宋体" w:eastAsiaTheme="minorEastAsia" w:hAnsiTheme="minorEastAsia"/>
          <w:bCs/>
          <w:color w:val="000000"/>
          <w:sz w:val="24"/>
          <w:szCs w:val="24"/>
        </w:rPr>
        <w:t>）</w:t>
      </w:r>
      <w:r>
        <w:rPr>
          <w:rFonts w:asciiTheme="minorEastAsia" w:eastAsiaTheme="minorEastAsia" w:hAnsiTheme="minorEastAsia" w:hint="eastAsia"/>
          <w:bCs/>
          <w:color w:val="000000"/>
          <w:sz w:val="24"/>
          <w:szCs w:val="24"/>
        </w:rPr>
        <w:t>本部</w:t>
      </w:r>
      <w:r>
        <w:rPr>
          <w:rFonts w:asciiTheme="minorEastAsia" w:eastAsiaTheme="minorEastAsia" w:hAnsiTheme="minorEastAsia" w:hint="eastAsia"/>
          <w:bCs/>
          <w:color w:val="000000"/>
          <w:sz w:val="24"/>
          <w:szCs w:val="24"/>
        </w:rPr>
        <w:t>分关于</w:t>
      </w:r>
      <w:r>
        <w:rPr>
          <w:rFonts w:asciiTheme="minorEastAsia" w:eastAsiaTheme="minorEastAsia" w:hAnsiTheme="minorEastAsia" w:hint="eastAsia"/>
          <w:bCs/>
          <w:color w:val="000000"/>
          <w:sz w:val="24"/>
          <w:szCs w:val="24"/>
        </w:rPr>
        <w:t>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bCs/>
          <w:color w:val="000000"/>
          <w:sz w:val="24"/>
          <w:szCs w:val="24"/>
        </w:rPr>
        <w:t>（</w:t>
      </w:r>
      <w:r>
        <w:rPr>
          <w:rFonts w:asciiTheme="minorEastAsia" w:cs="宋体" w:eastAsiaTheme="minorEastAsia" w:hAnsiTheme="minorEastAsia" w:hint="eastAsia"/>
          <w:bCs/>
          <w:color w:val="000000"/>
          <w:sz w:val="24"/>
          <w:szCs w:val="24"/>
        </w:rPr>
        <w:t>十</w:t>
      </w:r>
      <w:r>
        <w:rPr>
          <w:rFonts w:asciiTheme="minorEastAsia" w:cs="宋体" w:eastAsiaTheme="minorEastAsia" w:hAnsiTheme="minorEastAsia"/>
          <w:bCs/>
          <w:color w:val="000000"/>
          <w:sz w:val="24"/>
          <w:szCs w:val="24"/>
        </w:rPr>
        <w:t>）</w:t>
      </w:r>
      <w:r>
        <w:rPr>
          <w:rFonts w:asciiTheme="minorEastAsia" w:cs="宋体" w:eastAsiaTheme="minorEastAsia" w:hAnsiTheme="minorEastAsia" w:hint="eastAsia"/>
          <w:bCs/>
          <w:color w:val="000000"/>
          <w:sz w:val="24"/>
          <w:szCs w:val="24"/>
        </w:rPr>
        <w:t>实施</w:t>
      </w:r>
      <w:r>
        <w:rPr>
          <w:rFonts w:asciiTheme="minorEastAsia" w:cs="宋体" w:eastAsiaTheme="minorEastAsia" w:hAnsiTheme="minorEastAsia" w:hint="eastAsia"/>
          <w:bCs/>
          <w:color w:val="000000"/>
          <w:sz w:val="24"/>
          <w:szCs w:val="24"/>
        </w:rPr>
        <w:t>侧袋机制</w:t>
      </w:r>
      <w:r>
        <w:rPr>
          <w:rFonts w:asciiTheme="minorEastAsia" w:cs="宋体" w:eastAsiaTheme="minorEastAsia" w:hAnsiTheme="minorEastAsia" w:hint="eastAsia"/>
          <w:bCs/>
          <w:color w:val="000000"/>
          <w:sz w:val="24"/>
          <w:szCs w:val="24"/>
        </w:rPr>
        <w:t>期间基金份额持有人大会的特殊约定</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若本基金</w:t>
      </w:r>
      <w:r>
        <w:rPr>
          <w:rFonts w:asciiTheme="minorEastAsia" w:eastAsiaTheme="minorEastAsia" w:hAnsiTheme="minorEastAsia" w:hint="eastAsia"/>
          <w:b/>
          <w:bCs/>
          <w:color w:val="000000"/>
          <w:sz w:val="24"/>
        </w:rPr>
        <w:t>实施侧袋机制</w:t>
      </w:r>
      <w:r>
        <w:rPr>
          <w:rFonts w:asciiTheme="minorEastAsia" w:eastAsiaTheme="minorEastAsia" w:hAnsiTheme="minorEastAsia" w:hint="eastAsia"/>
          <w:b/>
          <w:bCs/>
          <w:color w:val="000000"/>
          <w:sz w:val="24"/>
        </w:rPr>
        <w:t>，</w:t>
      </w:r>
      <w:r>
        <w:rPr>
          <w:rFonts w:asciiTheme="minorEastAsia" w:eastAsiaTheme="minorEastAsia" w:hAnsiTheme="minorEastAsia" w:hint="eastAsia"/>
          <w:b/>
          <w:bCs/>
          <w:color w:val="000000"/>
          <w:sz w:val="24"/>
        </w:rPr>
        <w:t>则相关</w:t>
      </w:r>
      <w:r>
        <w:rPr>
          <w:rFonts w:asciiTheme="minorEastAsia" w:eastAsiaTheme="minorEastAsia" w:hAnsiTheme="minorEastAsia" w:hint="eastAsia"/>
          <w:b/>
          <w:bCs/>
          <w:color w:val="000000"/>
          <w:sz w:val="24"/>
        </w:rPr>
        <w:t>基金份额或表决权的比例</w:t>
      </w:r>
      <w:r>
        <w:rPr>
          <w:rFonts w:asciiTheme="minorEastAsia" w:eastAsiaTheme="minorEastAsia" w:hAnsiTheme="minorEastAsia" w:hint="eastAsia"/>
          <w:b/>
          <w:bCs/>
          <w:color w:val="000000"/>
          <w:sz w:val="24"/>
        </w:rPr>
        <w:t>指主袋份额</w:t>
      </w:r>
      <w:r>
        <w:rPr>
          <w:rFonts w:asciiTheme="minorEastAsia" w:eastAsiaTheme="minorEastAsia" w:hAnsiTheme="minorEastAsia" w:hint="eastAsia"/>
          <w:b/>
          <w:bCs/>
          <w:color w:val="000000"/>
          <w:sz w:val="24"/>
        </w:rPr>
        <w:t>持有</w:t>
      </w:r>
      <w:r>
        <w:rPr>
          <w:rFonts w:asciiTheme="minorEastAsia" w:eastAsiaTheme="minorEastAsia" w:hAnsiTheme="minorEastAsia" w:hint="eastAsia"/>
          <w:b/>
          <w:bCs/>
          <w:color w:val="000000"/>
          <w:sz w:val="24"/>
        </w:rPr>
        <w:t>人和侧袋份额</w:t>
      </w:r>
      <w:r>
        <w:rPr>
          <w:rFonts w:asciiTheme="minorEastAsia" w:eastAsiaTheme="minorEastAsia" w:hAnsiTheme="minorEastAsia" w:hint="eastAsia"/>
          <w:b/>
          <w:bCs/>
          <w:color w:val="000000"/>
          <w:sz w:val="24"/>
        </w:rPr>
        <w:t>持有人分别持有或代表的基金份额或表决权符合该等比例，但</w:t>
      </w:r>
      <w:r>
        <w:rPr>
          <w:rFonts w:asciiTheme="minorEastAsia" w:eastAsiaTheme="minorEastAsia" w:hAnsiTheme="minorEastAsia" w:hint="eastAsia"/>
          <w:b/>
          <w:bCs/>
          <w:color w:val="000000"/>
          <w:sz w:val="24"/>
        </w:rPr>
        <w:t>若相关</w:t>
      </w:r>
      <w:r>
        <w:rPr>
          <w:rFonts w:asciiTheme="minorEastAsia" w:eastAsiaTheme="minorEastAsia" w:hAnsiTheme="minorEastAsia" w:hint="eastAsia"/>
          <w:b/>
          <w:bCs/>
          <w:color w:val="000000"/>
          <w:sz w:val="24"/>
        </w:rPr>
        <w:t>基金份额持有人大会召集和审议事项不</w:t>
      </w:r>
      <w:r>
        <w:rPr>
          <w:rFonts w:asciiTheme="minorEastAsia" w:eastAsiaTheme="minorEastAsia" w:hAnsiTheme="minorEastAsia" w:hint="eastAsia"/>
          <w:b/>
          <w:bCs/>
          <w:color w:val="000000"/>
          <w:sz w:val="24"/>
        </w:rPr>
        <w:t>涉及侧袋账户</w:t>
      </w:r>
      <w:r>
        <w:rPr>
          <w:rFonts w:asciiTheme="minorEastAsia" w:eastAsiaTheme="minorEastAsia" w:hAnsiTheme="minorEastAsia" w:hint="eastAsia"/>
          <w:b/>
          <w:bCs/>
          <w:color w:val="000000"/>
          <w:sz w:val="24"/>
        </w:rPr>
        <w:t>的，则仅</w:t>
      </w:r>
      <w:r>
        <w:rPr>
          <w:rFonts w:asciiTheme="minorEastAsia" w:eastAsiaTheme="minorEastAsia" w:hAnsiTheme="minorEastAsia" w:hint="eastAsia"/>
          <w:b/>
          <w:bCs/>
          <w:color w:val="000000"/>
          <w:sz w:val="24"/>
        </w:rPr>
        <w:t>指主袋份额</w:t>
      </w:r>
      <w:r>
        <w:rPr>
          <w:rFonts w:asciiTheme="minorEastAsia" w:eastAsiaTheme="minorEastAsia" w:hAnsiTheme="minorEastAsia" w:hint="eastAsia"/>
          <w:b/>
          <w:bCs/>
          <w:color w:val="000000"/>
          <w:sz w:val="24"/>
        </w:rPr>
        <w:t>持有人持有或代表的基金份额或表决权符合该等比例：</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1、基金份额持有人行使提议权、召集权、提名权所需单独或合计代表相关基金份额10%以上（含10%）；</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2、现场开会的到会者在权益登记日代表的基金份额不少于本基金在权益登记</w:t>
      </w:r>
      <w:r>
        <w:rPr>
          <w:rFonts w:asciiTheme="minorEastAsia" w:eastAsiaTheme="minorEastAsia" w:hAnsiTheme="minorEastAsia" w:hint="eastAsia"/>
          <w:b/>
          <w:bCs/>
          <w:color w:val="000000"/>
          <w:sz w:val="24"/>
        </w:rPr>
        <w:t>日相关</w:t>
      </w:r>
      <w:r>
        <w:rPr>
          <w:rFonts w:asciiTheme="minorEastAsia" w:eastAsiaTheme="minorEastAsia" w:hAnsiTheme="minorEastAsia" w:hint="eastAsia"/>
          <w:b/>
          <w:bCs/>
          <w:color w:val="000000"/>
          <w:sz w:val="24"/>
        </w:rPr>
        <w:t>基金份额的二分之一（含二分之一）；</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3、通讯开会的直接出具表决意见或授权他人代表出具表决意见的基金份额持有人所持有的基金份额不小于在权益登记</w:t>
      </w:r>
      <w:r>
        <w:rPr>
          <w:rFonts w:asciiTheme="minorEastAsia" w:eastAsiaTheme="minorEastAsia" w:hAnsiTheme="minorEastAsia" w:hint="eastAsia"/>
          <w:b/>
          <w:bCs/>
          <w:color w:val="000000"/>
          <w:sz w:val="24"/>
        </w:rPr>
        <w:t>日相关</w:t>
      </w:r>
      <w:r>
        <w:rPr>
          <w:rFonts w:asciiTheme="minorEastAsia" w:eastAsiaTheme="minorEastAsia" w:hAnsiTheme="minorEastAsia" w:hint="eastAsia"/>
          <w:b/>
          <w:bCs/>
          <w:color w:val="000000"/>
          <w:sz w:val="24"/>
        </w:rPr>
        <w:t>基金份额的二分之一（含二分之一）；</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4、在参与基金份额持有人大会投票的基金份额持有人所持有的基金份额小于在权益登记</w:t>
      </w:r>
      <w:r>
        <w:rPr>
          <w:rFonts w:asciiTheme="minorEastAsia" w:eastAsiaTheme="minorEastAsia" w:hAnsiTheme="minorEastAsia" w:hint="eastAsia"/>
          <w:b/>
          <w:bCs/>
          <w:color w:val="000000"/>
          <w:sz w:val="24"/>
        </w:rPr>
        <w:t>日相关</w:t>
      </w:r>
      <w:r>
        <w:rPr>
          <w:rFonts w:asciiTheme="minorEastAsia" w:eastAsiaTheme="minorEastAsia" w:hAnsiTheme="minorEastAsia" w:hint="eastAsia"/>
          <w:b/>
          <w:bCs/>
          <w:color w:val="000000"/>
          <w:sz w:val="24"/>
        </w:rPr>
        <w:t>基金份额的二分之一、召集人在原公告的基金份额持有人大会召开时间的3个月以后、6个月以内就原定审议事项重新召集的基金份额持有人大会应当有代表三分之一以上（含三分之一）相关基金份额的持有人参与或授权他人参与基金份额持有人大会投票；</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5、如果基金管理人授权代表和基金托管人授权代表均未能主持大会，现场开会由出席大会的相关基金份额持有人和代理人所持表决权的50%以上（含50%）选举产生一名基金份额持有人作为该次基金份额持有人大会的主持人；</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6、一般决议须经参加大会的相关基金份额持有人或其代理人所持表决权的</w:t>
      </w:r>
      <w:r>
        <w:rPr>
          <w:rFonts w:asciiTheme="minorEastAsia" w:eastAsiaTheme="minorEastAsia" w:hAnsiTheme="minorEastAsia" w:hint="eastAsia"/>
          <w:b/>
          <w:bCs/>
          <w:color w:val="000000"/>
          <w:sz w:val="24"/>
        </w:rPr>
        <w:t>二分之一以上（含二分之一）通过；</w:t>
      </w:r>
    </w:p>
    <w:p w:rsidR="00AA3326">
      <w:pPr>
        <w:spacing w:line="360" w:lineRule="auto"/>
        <w:ind w:firstLine="480" w:firstLineChars="200"/>
        <w:rPr>
          <w:rFonts w:asciiTheme="minorEastAsia" w:eastAsiaTheme="minorEastAsia" w:hAnsiTheme="minorEastAsia" w:hint="eastAsia"/>
          <w:b/>
          <w:bCs/>
          <w:color w:val="000000"/>
          <w:sz w:val="24"/>
        </w:rPr>
      </w:pPr>
      <w:r>
        <w:rPr>
          <w:rFonts w:asciiTheme="minorEastAsia" w:eastAsiaTheme="minorEastAsia" w:hAnsiTheme="minorEastAsia" w:hint="eastAsia"/>
          <w:b/>
          <w:bCs/>
          <w:color w:val="000000"/>
          <w:sz w:val="24"/>
        </w:rPr>
        <w:t>7、特别决议应当经参加大会的相关基金份额持有人或其代理人所持表决权的三分之二以上（含三分之二）通过。</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
          <w:bCs/>
          <w:color w:val="000000"/>
          <w:sz w:val="24"/>
        </w:rPr>
        <w:t>侧袋机制</w:t>
      </w:r>
      <w:r>
        <w:rPr>
          <w:rFonts w:asciiTheme="minorEastAsia" w:eastAsiaTheme="minorEastAsia" w:hAnsiTheme="minorEastAsia" w:hint="eastAsia"/>
          <w:b/>
          <w:bCs/>
          <w:color w:val="000000"/>
          <w:sz w:val="24"/>
        </w:rPr>
        <w:t>实施期间，基金份额持有人大会审议事项</w:t>
      </w:r>
      <w:r>
        <w:rPr>
          <w:rFonts w:asciiTheme="minorEastAsia" w:eastAsiaTheme="minorEastAsia" w:hAnsiTheme="minorEastAsia" w:hint="eastAsia"/>
          <w:b/>
          <w:bCs/>
          <w:color w:val="000000"/>
          <w:sz w:val="24"/>
        </w:rPr>
        <w:t>涉及主袋账户</w:t>
      </w:r>
      <w:r>
        <w:rPr>
          <w:rFonts w:asciiTheme="minorEastAsia" w:eastAsiaTheme="minorEastAsia" w:hAnsiTheme="minorEastAsia" w:hint="eastAsia"/>
          <w:b/>
          <w:bCs/>
          <w:color w:val="000000"/>
          <w:sz w:val="24"/>
        </w:rPr>
        <w:t>和</w:t>
      </w:r>
      <w:r>
        <w:rPr>
          <w:rFonts w:asciiTheme="minorEastAsia" w:eastAsiaTheme="minorEastAsia" w:hAnsiTheme="minorEastAsia" w:hint="eastAsia"/>
          <w:b/>
          <w:bCs/>
          <w:color w:val="000000"/>
          <w:sz w:val="24"/>
        </w:rPr>
        <w:t>侧袋</w:t>
      </w:r>
      <w:r>
        <w:rPr>
          <w:rFonts w:asciiTheme="minorEastAsia" w:eastAsiaTheme="minorEastAsia" w:hAnsiTheme="minorEastAsia" w:hint="eastAsia"/>
          <w:b/>
          <w:bCs/>
          <w:color w:val="000000"/>
          <w:sz w:val="24"/>
        </w:rPr>
        <w:t>账户的，应分别</w:t>
      </w:r>
      <w:r>
        <w:rPr>
          <w:rFonts w:asciiTheme="minorEastAsia" w:eastAsiaTheme="minorEastAsia" w:hAnsiTheme="minorEastAsia" w:hint="eastAsia"/>
          <w:b/>
          <w:bCs/>
          <w:color w:val="000000"/>
          <w:sz w:val="24"/>
        </w:rPr>
        <w:t>由主袋账户</w:t>
      </w:r>
      <w:r>
        <w:rPr>
          <w:rFonts w:asciiTheme="minorEastAsia" w:eastAsiaTheme="minorEastAsia" w:hAnsiTheme="minorEastAsia" w:hint="eastAsia"/>
          <w:b/>
          <w:bCs/>
          <w:color w:val="000000"/>
          <w:sz w:val="24"/>
        </w:rPr>
        <w:t>、</w:t>
      </w:r>
      <w:r>
        <w:rPr>
          <w:rFonts w:asciiTheme="minorEastAsia" w:eastAsiaTheme="minorEastAsia" w:hAnsiTheme="minorEastAsia" w:hint="eastAsia"/>
          <w:b/>
          <w:bCs/>
          <w:color w:val="000000"/>
          <w:sz w:val="24"/>
        </w:rPr>
        <w:t>侧袋账户</w:t>
      </w:r>
      <w:r>
        <w:rPr>
          <w:rFonts w:asciiTheme="minorEastAsia" w:eastAsiaTheme="minorEastAsia" w:hAnsiTheme="minorEastAsia" w:hint="eastAsia"/>
          <w:b/>
          <w:bCs/>
          <w:color w:val="000000"/>
          <w:sz w:val="24"/>
        </w:rPr>
        <w:t>的基金份额持有人进行表决，同</w:t>
      </w:r>
      <w:r>
        <w:rPr>
          <w:rFonts w:asciiTheme="minorEastAsia" w:eastAsiaTheme="minorEastAsia" w:hAnsiTheme="minorEastAsia" w:hint="eastAsia"/>
          <w:b/>
          <w:bCs/>
          <w:color w:val="000000"/>
          <w:sz w:val="24"/>
        </w:rPr>
        <w:t>一主侧袋账户</w:t>
      </w:r>
      <w:r>
        <w:rPr>
          <w:rFonts w:asciiTheme="minorEastAsia" w:eastAsiaTheme="minorEastAsia" w:hAnsiTheme="minorEastAsia" w:hint="eastAsia"/>
          <w:b/>
          <w:bCs/>
          <w:color w:val="000000"/>
          <w:sz w:val="24"/>
        </w:rPr>
        <w:t>内的每份基金份额具有平等的表决权。表决事项未</w:t>
      </w:r>
      <w:r>
        <w:rPr>
          <w:rFonts w:asciiTheme="minorEastAsia" w:eastAsiaTheme="minorEastAsia" w:hAnsiTheme="minorEastAsia" w:hint="eastAsia"/>
          <w:b/>
          <w:bCs/>
          <w:color w:val="000000"/>
          <w:sz w:val="24"/>
        </w:rPr>
        <w:t>涉及侧袋账户</w:t>
      </w:r>
      <w:r>
        <w:rPr>
          <w:rFonts w:asciiTheme="minorEastAsia" w:eastAsiaTheme="minorEastAsia" w:hAnsiTheme="minorEastAsia" w:hint="eastAsia"/>
          <w:b/>
          <w:bCs/>
          <w:color w:val="000000"/>
          <w:sz w:val="24"/>
        </w:rPr>
        <w:t>的，</w:t>
      </w:r>
      <w:r>
        <w:rPr>
          <w:rFonts w:asciiTheme="minorEastAsia" w:eastAsiaTheme="minorEastAsia" w:hAnsiTheme="minorEastAsia" w:hint="eastAsia"/>
          <w:b/>
          <w:bCs/>
          <w:color w:val="000000"/>
          <w:sz w:val="24"/>
        </w:rPr>
        <w:t>侧袋账户</w:t>
      </w:r>
      <w:r>
        <w:rPr>
          <w:rFonts w:asciiTheme="minorEastAsia" w:eastAsiaTheme="minorEastAsia" w:hAnsiTheme="minorEastAsia" w:hint="eastAsia"/>
          <w:b/>
          <w:bCs/>
          <w:color w:val="000000"/>
          <w:sz w:val="24"/>
        </w:rPr>
        <w:t>份额无表决权。</w:t>
      </w:r>
    </w:p>
    <w:p w:rsidR="00AA3326">
      <w:pPr>
        <w:pStyle w:val="Heading2"/>
        <w:keepLines w:val="0"/>
        <w:tabs>
          <w:tab w:pos="576" w:val="left"/>
        </w:tabs>
        <w:suppressAutoHyphens/>
        <w:spacing w:after="0" w:before="0" w:line="360" w:lineRule="auto"/>
        <w:ind w:firstLine="480" w:firstLineChars="200"/>
        <w:rPr>
          <w:rFonts w:asciiTheme="minorEastAsia" w:cs="Arial" w:eastAsiaTheme="minorEastAsia" w:hAnsiTheme="minorEastAsia" w:hint="eastAsia"/>
          <w:b w:val="0"/>
          <w:bCs/>
          <w:iCs/>
          <w:color w:val="000000"/>
          <w:kern w:val="1"/>
          <w:sz w:val="24"/>
          <w:szCs w:val="24"/>
          <w:lang w:eastAsia="ar-SA"/>
        </w:rPr>
      </w:pPr>
      <w:r>
        <w:rPr>
          <w:rFonts w:asciiTheme="minorEastAsia" w:cs="Arial" w:eastAsiaTheme="minorEastAsia" w:hAnsiTheme="minorEastAsia" w:hint="eastAsia"/>
          <w:b w:val="0"/>
          <w:bCs/>
          <w:iCs/>
          <w:color w:val="000000"/>
          <w:kern w:val="1"/>
          <w:sz w:val="24"/>
          <w:szCs w:val="24"/>
          <w:lang w:eastAsia="ar-SA"/>
        </w:rPr>
        <w:t>三、</w:t>
      </w:r>
      <w:r>
        <w:rPr>
          <w:rFonts w:asciiTheme="minorEastAsia" w:cs="Arial" w:eastAsiaTheme="minorEastAsia" w:hAnsiTheme="minorEastAsia" w:hint="eastAsia"/>
          <w:b w:val="0"/>
          <w:bCs/>
          <w:iCs/>
          <w:color w:val="000000"/>
          <w:kern w:val="1"/>
          <w:sz w:val="24"/>
          <w:szCs w:val="24"/>
        </w:rPr>
        <w:t>基金</w:t>
      </w:r>
      <w:r>
        <w:rPr>
          <w:rFonts w:asciiTheme="minorEastAsia" w:cs="Arial" w:eastAsiaTheme="minorEastAsia" w:hAnsiTheme="minorEastAsia"/>
          <w:b w:val="0"/>
          <w:bCs/>
          <w:iCs/>
          <w:color w:val="000000"/>
          <w:kern w:val="1"/>
          <w:sz w:val="24"/>
          <w:szCs w:val="24"/>
          <w:lang w:eastAsia="ar-SA"/>
        </w:rPr>
        <w:t>收益分配原则</w:t>
      </w:r>
      <w:r>
        <w:rPr>
          <w:rFonts w:asciiTheme="minorEastAsia" w:cs="Arial" w:eastAsiaTheme="minorEastAsia" w:hAnsiTheme="minorEastAsia" w:hint="eastAsia"/>
          <w:b w:val="0"/>
          <w:bCs/>
          <w:iCs/>
          <w:color w:val="000000"/>
          <w:kern w:val="1"/>
          <w:sz w:val="24"/>
          <w:szCs w:val="24"/>
          <w:lang w:eastAsia="ar-SA"/>
        </w:rPr>
        <w:t>、</w:t>
      </w:r>
      <w:r>
        <w:rPr>
          <w:rFonts w:asciiTheme="minorEastAsia" w:cs="Arial" w:eastAsiaTheme="minorEastAsia" w:hAnsiTheme="minorEastAsia"/>
          <w:b w:val="0"/>
          <w:bCs/>
          <w:iCs/>
          <w:color w:val="000000"/>
          <w:kern w:val="1"/>
          <w:sz w:val="24"/>
          <w:szCs w:val="24"/>
          <w:lang w:eastAsia="ar-SA"/>
        </w:rPr>
        <w:t>执行方式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（一）基金</w:t>
      </w:r>
      <w:r>
        <w:rPr>
          <w:rFonts w:asciiTheme="minorEastAsia" w:cs="宋体" w:eastAsiaTheme="minorEastAsia" w:hAnsiTheme="minorEastAsia"/>
          <w:bCs/>
          <w:color w:val="000000"/>
          <w:sz w:val="24"/>
          <w:szCs w:val="24"/>
        </w:rPr>
        <w:t>收益分配原则</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1、在符合有关基金收益分配条件的前提下，具体分红方案</w:t>
      </w:r>
      <w:r>
        <w:rPr>
          <w:rFonts w:asciiTheme="minorEastAsia" w:eastAsiaTheme="minorEastAsia" w:hAnsiTheme="minorEastAsia" w:hint="eastAsia"/>
          <w:bCs/>
          <w:color w:val="000000"/>
          <w:sz w:val="24"/>
          <w:szCs w:val="24"/>
        </w:rPr>
        <w:t>见基金</w:t>
      </w:r>
      <w:r>
        <w:rPr>
          <w:rFonts w:asciiTheme="minorEastAsia" w:eastAsiaTheme="minorEastAsia" w:hAnsiTheme="minorEastAsia" w:hint="eastAsia"/>
          <w:bCs/>
          <w:color w:val="000000"/>
          <w:sz w:val="24"/>
          <w:szCs w:val="24"/>
        </w:rPr>
        <w:t>管理人根据基金运作情况届时不定期发布的相关分红公告，若《基金合同》生效不满3个月可不进行收益分配；</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本基金收益分配方式分两种：现金分红与红利再投资，投资者可选择现金红利或将现金红利自动转为该类基金份额进行再投资；若投资者不选择，本基金默认的收益分配方式是现金分红；因红利再投资转换的份额类别，与基金份额持有人在收益分配基准日持有的份额同属一个类别；如基金份额持有人持有多个类别份额的，则根据不同类别收益分配方案分别计算该类别红利再投资份额；</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3、基金收益分配后各类基金份额净值不能低于面值；即基金收益分配基准日的各类基金份额净值减去每单位该类基金份额收益分配金额后不能低于面值；</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4、由于本基金A类基金份额、C类基金份额的费用收取方式存在不同，各类别基金份额对应的可分配收益将有所不同，本基金同一份额类别的每一份基金份额享有同等分配权；</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5、法律法规或监管机关另有规定的，从其规定。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（二）</w:t>
      </w:r>
      <w:r>
        <w:rPr>
          <w:rFonts w:asciiTheme="minorEastAsia" w:cs="宋体" w:eastAsiaTheme="minorEastAsia" w:hAnsiTheme="minorEastAsia"/>
          <w:bCs/>
          <w:color w:val="000000"/>
          <w:sz w:val="24"/>
          <w:szCs w:val="24"/>
        </w:rPr>
        <w:t>收益分配方案</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基金收益分配方案中应载明截止收益分配基准日的可供分配利润、基金收益分配对象、分配时间、分配数额及比例、分配方式等内容。</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（三</w:t>
      </w:r>
      <w:r>
        <w:rPr>
          <w:rFonts w:asciiTheme="minorEastAsia" w:cs="宋体" w:eastAsiaTheme="minorEastAsia" w:hAnsiTheme="minorEastAsia"/>
          <w:bCs/>
          <w:color w:val="000000"/>
          <w:sz w:val="24"/>
          <w:szCs w:val="24"/>
        </w:rPr>
        <w:t>）收益分配方案的确定、公告与实施</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本基金收益分配方案由基金管理人拟定，并由基金托管人复核，在2日内在规定媒介公告。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（四</w:t>
      </w:r>
      <w:r>
        <w:rPr>
          <w:rFonts w:asciiTheme="minorEastAsia" w:cs="宋体" w:eastAsiaTheme="minorEastAsia" w:hAnsiTheme="minorEastAsia"/>
          <w:bCs/>
          <w:color w:val="000000"/>
          <w:sz w:val="24"/>
          <w:szCs w:val="24"/>
        </w:rPr>
        <w:t>）</w:t>
      </w:r>
      <w:r>
        <w:rPr>
          <w:rFonts w:asciiTheme="minorEastAsia" w:cs="宋体" w:eastAsiaTheme="minorEastAsia" w:hAnsiTheme="minorEastAsia" w:hint="eastAsia"/>
          <w:bCs/>
          <w:color w:val="000000"/>
          <w:sz w:val="24"/>
          <w:szCs w:val="24"/>
        </w:rPr>
        <w:t>基金</w:t>
      </w:r>
      <w:r>
        <w:rPr>
          <w:rFonts w:asciiTheme="minorEastAsia" w:cs="宋体" w:eastAsiaTheme="minorEastAsia" w:hAnsiTheme="minorEastAsia"/>
          <w:bCs/>
          <w:color w:val="000000"/>
          <w:sz w:val="24"/>
          <w:szCs w:val="24"/>
        </w:rPr>
        <w:t>收益分配中发生的费用</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收益分配时所发生的银行转账或其他手续费用由投资者自行承担。当投资者的现金红利小于一定金额，不足以支付银行转账或其他手续费用时，登记机构可将基金份额持有人的现金红利自动转为该类基金份额。红利再投资的计算方法，依照《业务规则》执行。</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bCs/>
          <w:color w:val="000000"/>
          <w:sz w:val="24"/>
          <w:szCs w:val="24"/>
        </w:rPr>
        <w:t>（</w:t>
      </w:r>
      <w:r>
        <w:rPr>
          <w:rFonts w:asciiTheme="minorEastAsia" w:cs="宋体" w:eastAsiaTheme="minorEastAsia" w:hAnsiTheme="minorEastAsia" w:hint="eastAsia"/>
          <w:bCs/>
          <w:color w:val="000000"/>
          <w:sz w:val="24"/>
          <w:szCs w:val="24"/>
        </w:rPr>
        <w:t>五</w:t>
      </w:r>
      <w:r>
        <w:rPr>
          <w:rFonts w:asciiTheme="minorEastAsia" w:cs="宋体" w:eastAsiaTheme="minorEastAsia" w:hAnsiTheme="minorEastAsia"/>
          <w:bCs/>
          <w:color w:val="000000"/>
          <w:sz w:val="24"/>
          <w:szCs w:val="24"/>
        </w:rPr>
        <w:t>）</w:t>
      </w:r>
      <w:r>
        <w:rPr>
          <w:rFonts w:asciiTheme="minorEastAsia" w:cs="宋体" w:eastAsiaTheme="minorEastAsia" w:hAnsiTheme="minorEastAsia" w:hint="eastAsia"/>
          <w:bCs/>
          <w:color w:val="000000"/>
          <w:sz w:val="24"/>
          <w:szCs w:val="24"/>
        </w:rPr>
        <w:t>实施</w:t>
      </w:r>
      <w:r>
        <w:rPr>
          <w:rFonts w:asciiTheme="minorEastAsia" w:cs="宋体" w:eastAsiaTheme="minorEastAsia" w:hAnsiTheme="minorEastAsia" w:hint="eastAsia"/>
          <w:bCs/>
          <w:color w:val="000000"/>
          <w:sz w:val="24"/>
          <w:szCs w:val="24"/>
        </w:rPr>
        <w:t>侧袋机制</w:t>
      </w:r>
      <w:r>
        <w:rPr>
          <w:rFonts w:asciiTheme="minorEastAsia" w:cs="宋体" w:eastAsiaTheme="minorEastAsia" w:hAnsiTheme="minorEastAsia" w:hint="eastAsia"/>
          <w:bCs/>
          <w:color w:val="000000"/>
          <w:sz w:val="24"/>
          <w:szCs w:val="24"/>
        </w:rPr>
        <w:t>期间的收益分配</w:t>
      </w:r>
    </w:p>
    <w:p w:rsidR="00AA3326">
      <w:pPr>
        <w:spacing w:line="360" w:lineRule="auto"/>
        <w:ind w:firstLine="540" w:firstLineChars="225"/>
        <w:rPr>
          <w:rFonts w:asciiTheme="minorEastAsia" w:eastAsiaTheme="minorEastAsia" w:hAnsiTheme="minorEastAsia" w:hint="eastAsia"/>
          <w:bCs/>
          <w:color w:val="000000"/>
          <w:sz w:val="24"/>
          <w:szCs w:val="24"/>
        </w:rPr>
      </w:pPr>
      <w:r>
        <w:rPr>
          <w:rFonts w:asciiTheme="minorEastAsia" w:eastAsiaTheme="minorEastAsia" w:hAnsiTheme="minorEastAsia" w:hint="eastAsia"/>
          <w:b/>
          <w:bCs/>
          <w:color w:val="000000"/>
          <w:sz w:val="24"/>
          <w:szCs w:val="24"/>
        </w:rPr>
        <w:t>本基金实施</w:t>
      </w:r>
      <w:r>
        <w:rPr>
          <w:rFonts w:asciiTheme="minorEastAsia" w:eastAsiaTheme="minorEastAsia" w:hAnsiTheme="minorEastAsia" w:hint="eastAsia"/>
          <w:b/>
          <w:bCs/>
          <w:color w:val="000000"/>
          <w:sz w:val="24"/>
          <w:szCs w:val="24"/>
        </w:rPr>
        <w:t>侧袋机制</w:t>
      </w:r>
      <w:r>
        <w:rPr>
          <w:rFonts w:asciiTheme="minorEastAsia" w:eastAsiaTheme="minorEastAsia" w:hAnsiTheme="minorEastAsia" w:hint="eastAsia"/>
          <w:b/>
          <w:bCs/>
          <w:color w:val="000000"/>
          <w:sz w:val="24"/>
          <w:szCs w:val="24"/>
        </w:rPr>
        <w:t>的，</w:t>
      </w:r>
      <w:r>
        <w:rPr>
          <w:rFonts w:asciiTheme="minorEastAsia" w:eastAsiaTheme="minorEastAsia" w:hAnsiTheme="minorEastAsia" w:hint="eastAsia"/>
          <w:b/>
          <w:bCs/>
          <w:color w:val="000000"/>
          <w:sz w:val="24"/>
          <w:szCs w:val="24"/>
        </w:rPr>
        <w:t>侧袋账户</w:t>
      </w:r>
      <w:r>
        <w:rPr>
          <w:rFonts w:asciiTheme="minorEastAsia" w:eastAsiaTheme="minorEastAsia" w:hAnsiTheme="minorEastAsia" w:hint="eastAsia"/>
          <w:b/>
          <w:bCs/>
          <w:color w:val="000000"/>
          <w:sz w:val="24"/>
          <w:szCs w:val="24"/>
        </w:rPr>
        <w:t>不进行收益分配，详见招募说明书的规定。</w:t>
      </w:r>
    </w:p>
    <w:p w:rsidR="00AA3326">
      <w:pPr>
        <w:pStyle w:val="Heading2"/>
        <w:keepLines w:val="0"/>
        <w:tabs>
          <w:tab w:pos="576" w:val="left"/>
        </w:tabs>
        <w:suppressAutoHyphens/>
        <w:spacing w:after="0" w:before="0" w:line="360" w:lineRule="auto"/>
        <w:ind w:firstLine="480" w:firstLineChars="200"/>
        <w:rPr>
          <w:rFonts w:asciiTheme="minorEastAsia" w:cs="Arial" w:eastAsiaTheme="minorEastAsia" w:hAnsiTheme="minorEastAsia" w:hint="eastAsia"/>
          <w:b w:val="0"/>
          <w:bCs/>
          <w:iCs/>
          <w:color w:val="000000"/>
          <w:kern w:val="1"/>
          <w:sz w:val="24"/>
          <w:szCs w:val="24"/>
          <w:lang w:eastAsia="ar-SA"/>
        </w:rPr>
      </w:pPr>
      <w:r>
        <w:rPr>
          <w:rFonts w:asciiTheme="minorEastAsia" w:cs="Arial" w:eastAsiaTheme="minorEastAsia" w:hAnsiTheme="minorEastAsia" w:hint="eastAsia"/>
          <w:b w:val="0"/>
          <w:bCs/>
          <w:iCs/>
          <w:color w:val="000000"/>
          <w:kern w:val="1"/>
          <w:sz w:val="24"/>
          <w:szCs w:val="24"/>
          <w:lang w:eastAsia="ar-SA"/>
        </w:rPr>
        <w:t>四</w:t>
      </w:r>
      <w:r>
        <w:rPr>
          <w:rFonts w:asciiTheme="minorEastAsia" w:cs="Arial" w:eastAsiaTheme="minorEastAsia" w:hAnsiTheme="minorEastAsia"/>
          <w:b w:val="0"/>
          <w:bCs/>
          <w:iCs/>
          <w:color w:val="000000"/>
          <w:kern w:val="1"/>
          <w:sz w:val="24"/>
          <w:szCs w:val="24"/>
          <w:lang w:eastAsia="ar-SA"/>
        </w:rPr>
        <w:t>、</w:t>
      </w:r>
      <w:r>
        <w:rPr>
          <w:rFonts w:asciiTheme="minorEastAsia" w:cs="Arial" w:eastAsiaTheme="minorEastAsia" w:hAnsiTheme="minorEastAsia" w:hint="eastAsia"/>
          <w:b w:val="0"/>
          <w:bCs/>
          <w:iCs/>
          <w:color w:val="000000"/>
          <w:kern w:val="1"/>
          <w:sz w:val="24"/>
          <w:szCs w:val="24"/>
        </w:rPr>
        <w:t>基金</w:t>
      </w:r>
      <w:r>
        <w:rPr>
          <w:rFonts w:asciiTheme="minorEastAsia" w:cs="Arial" w:eastAsiaTheme="minorEastAsia" w:hAnsiTheme="minorEastAsia"/>
          <w:b w:val="0"/>
          <w:bCs/>
          <w:iCs/>
          <w:color w:val="000000"/>
          <w:kern w:val="1"/>
          <w:sz w:val="24"/>
          <w:szCs w:val="24"/>
          <w:lang w:eastAsia="ar-SA"/>
        </w:rPr>
        <w:t>费用计提方法、计提标准和支付方式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（一）基金</w:t>
      </w:r>
      <w:r>
        <w:rPr>
          <w:rFonts w:asciiTheme="minorEastAsia" w:cs="宋体" w:eastAsiaTheme="minorEastAsia" w:hAnsiTheme="minorEastAsia"/>
          <w:bCs/>
          <w:color w:val="000000"/>
          <w:sz w:val="24"/>
          <w:szCs w:val="24"/>
        </w:rPr>
        <w:t>费用的种类</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1、基金管理人的管理费；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2、基金托管人的托管费；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3、销售服务费；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4、《基金合同》生效后与基金相关的信息披露费用；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5、《基金合同》生效后与基金相关的会计师费、律师费、诉讼费和仲裁费；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6、基金份额持有人大会费用；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7、基金的证券、期货交易费用；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8、基金的银行汇划费用；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9、基金的开户费用、账户维护费用；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10、按照国家有关规定和《基金合同》约定，可以在基金财产中列支的其他费用。</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（二）基金</w:t>
      </w:r>
      <w:r>
        <w:rPr>
          <w:rFonts w:asciiTheme="minorEastAsia" w:cs="宋体" w:eastAsiaTheme="minorEastAsia" w:hAnsiTheme="minorEastAsia"/>
          <w:bCs/>
          <w:color w:val="000000"/>
          <w:sz w:val="24"/>
          <w:szCs w:val="24"/>
        </w:rPr>
        <w:t>费用计提方法、计提标准和支付方式</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 xml:space="preserve">1、基金管理人的管理费 </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本基金的管理费按前一日基金资产净值的</w:t>
      </w: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%年费率计提。管理费的计算方法如下：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H＝E×</w:t>
      </w:r>
      <w:r>
        <w:rPr>
          <w:rFonts w:asciiTheme="minorEastAsia" w:eastAsiaTheme="minorEastAsia" w:hAnsiTheme="minorEastAsia"/>
          <w:bCs/>
          <w:color w:val="000000"/>
          <w:sz w:val="24"/>
          <w:szCs w:val="24"/>
        </w:rPr>
        <w:t>1</w:t>
      </w:r>
      <w:r>
        <w:rPr>
          <w:rFonts w:asciiTheme="minorEastAsia" w:eastAsiaTheme="minorEastAsia" w:hAnsiTheme="minorEastAsia" w:hint="eastAsia"/>
          <w:bCs/>
          <w:color w:val="000000"/>
          <w:sz w:val="24"/>
          <w:szCs w:val="24"/>
        </w:rPr>
        <w:t>%÷当年天数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H为每日应计提的基金管理费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E为前一日的基金资产净值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基金管理费每日计算，逐日累计至每月月末，按月支付，由基金托管人根据</w:t>
      </w:r>
      <w:r>
        <w:rPr>
          <w:rFonts w:asciiTheme="minorEastAsia" w:eastAsiaTheme="minorEastAsia" w:hAnsiTheme="minorEastAsia" w:hint="eastAsia"/>
          <w:bCs/>
          <w:color w:val="000000"/>
          <w:sz w:val="24"/>
          <w:szCs w:val="24"/>
        </w:rPr>
        <w:t>与基金管理人核对一致的财务数据，自动在月初第3个工作日按照指定的账户路径进行资金支付，基金管理人无需再出具资金划拨指令。若遇法定节假日、休息日等，支付日期顺延。费用自动扣划后，基金管理人应进行核对，如发现数据不符，及时联系基金托管人协商解决。</w:t>
      </w:r>
    </w:p>
    <w:p w:rsidR="00AA3326">
      <w:pPr>
        <w:spacing w:line="360" w:lineRule="auto"/>
        <w:ind w:firstLine="48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2、基金托管人的托管费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本基金的托管费按前一日基金资产净值的0.</w:t>
      </w: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%的年费率计提。托管费的计算方法如下：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H＝E×0.</w:t>
      </w:r>
      <w:r>
        <w:rPr>
          <w:rFonts w:asciiTheme="minorEastAsia" w:eastAsiaTheme="minorEastAsia" w:hAnsiTheme="minorEastAsia"/>
          <w:bCs/>
          <w:color w:val="000000"/>
          <w:sz w:val="24"/>
          <w:szCs w:val="24"/>
        </w:rPr>
        <w:t>2</w:t>
      </w:r>
      <w:r>
        <w:rPr>
          <w:rFonts w:asciiTheme="minorEastAsia" w:eastAsiaTheme="minorEastAsia" w:hAnsiTheme="minorEastAsia" w:hint="eastAsia"/>
          <w:bCs/>
          <w:color w:val="000000"/>
          <w:sz w:val="24"/>
          <w:szCs w:val="24"/>
        </w:rPr>
        <w:t>%÷当年天数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H为每日应计提的基金托管费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E为前一日的基金资产净值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托管费每日计算，逐日累计至每月月末，按月支付，由基金托管人根据与基金管理人核对一致的财务数据，自动在月初第3个工作日按照指定的账户路径进行资金支付，基金管理人无需再出具资金划拨指令。若遇法定节假日、休息日等，支付日期顺延。费用自动扣划后，基金管理人应进行核对，如发现数据不符，及时联系基金托管人协商解决。</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w:t>
      </w:r>
      <w:r>
        <w:rPr>
          <w:rFonts w:asciiTheme="minorEastAsia" w:eastAsiaTheme="minorEastAsia" w:hAnsiTheme="minorEastAsia"/>
          <w:bCs/>
          <w:color w:val="000000"/>
          <w:sz w:val="24"/>
          <w:szCs w:val="24"/>
        </w:rPr>
        <w:t>、</w:t>
      </w:r>
      <w:r>
        <w:rPr>
          <w:rFonts w:asciiTheme="minorEastAsia" w:eastAsiaTheme="minorEastAsia" w:hAnsiTheme="minorEastAsia" w:hint="eastAsia"/>
          <w:bCs/>
          <w:color w:val="000000"/>
          <w:sz w:val="24"/>
          <w:szCs w:val="24"/>
        </w:rPr>
        <w:t>销售服务费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本基金A类基金份额不收取销售服务费，C类基金份额的销售服务费年费率为0.4%。</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C类基金份额的销售服务费按前一日C类基金份额资产净值的0.4%年费率计提，计算方法如下：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H＝E×年销售服务费率÷当年天数</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H 为C 类基金份额每日应计提的销售服务费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E 为C 类基金份额前一日基金资产净值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销售服务费每日计算，逐日累计至每月月末，按月支付，由基金托管人根据与基金管理人核对一致的财务数据，自动在月初第3个工作日按照指定的账户路径进行资金支付，基金管理人无需再出具资金划拨指令。若遇法定节假日、休息日等，支付日期顺延。费用自动扣划后，基金管理人应进行核对，如发现数据不符，及时联系基金托管人协商解决。销售服务费由基金管理人按照相关合同规定支付给基金销售机构，或一次性支付给基金管理人并由基金管理人代付给各基金</w:t>
      </w:r>
      <w:r>
        <w:rPr>
          <w:rFonts w:asciiTheme="minorEastAsia" w:eastAsiaTheme="minorEastAsia" w:hAnsiTheme="minorEastAsia" w:hint="eastAsia"/>
          <w:bCs/>
          <w:color w:val="000000"/>
          <w:sz w:val="24"/>
          <w:szCs w:val="24"/>
        </w:rPr>
        <w:t>销售机构。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销售服务费主要用于支付销售机构佣金、以及基金管理人的基金行销广告费、促销活动费、基金份额持有人服务费等。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4</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上述“</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一</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费用的种类</w:t>
      </w:r>
      <w:r>
        <w:rPr>
          <w:rFonts w:asciiTheme="minorEastAsia" w:eastAsiaTheme="minorEastAsia" w:hAnsiTheme="minorEastAsia" w:hint="eastAsia"/>
          <w:bCs/>
          <w:color w:val="000000"/>
          <w:sz w:val="24"/>
          <w:szCs w:val="24"/>
        </w:rPr>
        <w:t>”</w:t>
      </w:r>
      <w:r>
        <w:rPr>
          <w:rFonts w:asciiTheme="minorEastAsia" w:eastAsiaTheme="minorEastAsia" w:hAnsiTheme="minorEastAsia"/>
          <w:bCs/>
          <w:color w:val="000000"/>
          <w:sz w:val="24"/>
          <w:szCs w:val="24"/>
        </w:rPr>
        <w:t>中第4－10项费用，根据有关法规及相应协议规定，按费用实际支出金额列入当期费用，由基金托管人从</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中支付</w:t>
      </w:r>
      <w:r>
        <w:rPr>
          <w:rFonts w:asciiTheme="minorEastAsia" w:eastAsiaTheme="minorEastAsia" w:hAnsiTheme="minorEastAsia" w:hint="eastAsia"/>
          <w:bCs/>
          <w:color w:val="000000"/>
          <w:sz w:val="24"/>
          <w:szCs w:val="24"/>
        </w:rPr>
        <w:t>。</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（三）</w:t>
      </w:r>
      <w:r>
        <w:rPr>
          <w:rFonts w:asciiTheme="minorEastAsia" w:cs="宋体" w:eastAsiaTheme="minorEastAsia" w:hAnsiTheme="minorEastAsia"/>
          <w:bCs/>
          <w:color w:val="000000"/>
          <w:sz w:val="24"/>
          <w:szCs w:val="24"/>
        </w:rPr>
        <w:t>不列入</w:t>
      </w:r>
      <w:r>
        <w:rPr>
          <w:rFonts w:asciiTheme="minorEastAsia" w:cs="宋体" w:eastAsiaTheme="minorEastAsia" w:hAnsiTheme="minorEastAsia" w:hint="eastAsia"/>
          <w:bCs/>
          <w:color w:val="000000"/>
          <w:sz w:val="24"/>
          <w:szCs w:val="24"/>
        </w:rPr>
        <w:t>基金</w:t>
      </w:r>
      <w:r>
        <w:rPr>
          <w:rFonts w:asciiTheme="minorEastAsia" w:cs="宋体" w:eastAsiaTheme="minorEastAsia" w:hAnsiTheme="minorEastAsia"/>
          <w:bCs/>
          <w:color w:val="000000"/>
          <w:sz w:val="24"/>
          <w:szCs w:val="24"/>
        </w:rPr>
        <w:t>费用的项目</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下列费用不列入</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1、基金管理人和基金托管人因未履行或未完全履行义务导致的费用支出或</w:t>
      </w:r>
      <w:r>
        <w:rPr>
          <w:rFonts w:asciiTheme="minorEastAsia" w:eastAsiaTheme="minorEastAsia" w:hAnsiTheme="minorEastAsia" w:hint="eastAsia"/>
          <w:bCs/>
          <w:color w:val="000000"/>
          <w:sz w:val="24"/>
          <w:szCs w:val="24"/>
        </w:rPr>
        <w:t>基金财产</w:t>
      </w:r>
      <w:r>
        <w:rPr>
          <w:rFonts w:asciiTheme="minorEastAsia" w:eastAsiaTheme="minorEastAsia" w:hAnsiTheme="minorEastAsia"/>
          <w:bCs/>
          <w:color w:val="000000"/>
          <w:sz w:val="24"/>
          <w:szCs w:val="24"/>
        </w:rPr>
        <w:t>的损失；</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2、基金管理人和基金托管人处理与</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运作无关的事项发生的费用；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3、</w:t>
      </w:r>
      <w:r>
        <w:rPr>
          <w:rFonts w:asciiTheme="minorEastAsia" w:eastAsiaTheme="minorEastAsia" w:hAnsiTheme="minorEastAsia" w:hint="eastAsia"/>
          <w:bCs/>
          <w:color w:val="000000"/>
          <w:sz w:val="24"/>
          <w:szCs w:val="24"/>
        </w:rPr>
        <w:t>《基金合同》生效前的相关费用，按当时有效的</w:t>
      </w:r>
      <w:r>
        <w:rPr>
          <w:rFonts w:asciiTheme="minorEastAsia" w:eastAsiaTheme="minorEastAsia" w:hAnsiTheme="minorEastAsia" w:hint="eastAsia"/>
          <w:bCs/>
          <w:color w:val="000000"/>
          <w:sz w:val="24"/>
        </w:rPr>
        <w:t>《</w:t>
      </w:r>
      <w:r>
        <w:rPr>
          <w:rFonts w:ascii="宋体" w:hAnsi="宋体"/>
          <w:bCs/>
          <w:color w:val="000000"/>
          <w:sz w:val="24"/>
          <w:szCs w:val="24"/>
        </w:rPr>
        <w:t>海通策略优选混合型集合资产管理计划</w:t>
      </w:r>
      <w:r>
        <w:rPr>
          <w:rFonts w:hint="eastAsia"/>
          <w:bCs/>
          <w:color w:val="000000"/>
          <w:sz w:val="24"/>
        </w:rPr>
        <w:t>资产管理合同</w:t>
      </w:r>
      <w:r>
        <w:rPr>
          <w:rFonts w:asciiTheme="minorEastAsia" w:eastAsiaTheme="minorEastAsia" w:hAnsiTheme="minorEastAsia" w:hint="eastAsia"/>
          <w:bCs/>
          <w:color w:val="000000"/>
          <w:sz w:val="24"/>
        </w:rPr>
        <w:t>》</w:t>
      </w:r>
      <w:r>
        <w:rPr>
          <w:rFonts w:asciiTheme="minorEastAsia" w:eastAsiaTheme="minorEastAsia" w:hAnsiTheme="minorEastAsia" w:hint="eastAsia"/>
          <w:bCs/>
          <w:color w:val="000000"/>
          <w:sz w:val="24"/>
          <w:szCs w:val="24"/>
        </w:rPr>
        <w:t>的约定支付；</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w:t>
      </w:r>
      <w:r>
        <w:rPr>
          <w:rFonts w:asciiTheme="minorEastAsia" w:eastAsiaTheme="minorEastAsia" w:hAnsiTheme="minorEastAsia"/>
          <w:bCs/>
          <w:color w:val="000000"/>
          <w:sz w:val="24"/>
          <w:szCs w:val="24"/>
        </w:rPr>
        <w:t>其他根据相关法律法规及中国证监会的有关规定不得列入</w:t>
      </w:r>
      <w:r>
        <w:rPr>
          <w:rFonts w:asciiTheme="minorEastAsia" w:eastAsiaTheme="minorEastAsia" w:hAnsiTheme="minorEastAsia" w:hint="eastAsia"/>
          <w:bCs/>
          <w:color w:val="000000"/>
          <w:sz w:val="24"/>
          <w:szCs w:val="24"/>
        </w:rPr>
        <w:t>基金</w:t>
      </w:r>
      <w:r>
        <w:rPr>
          <w:rFonts w:asciiTheme="minorEastAsia" w:eastAsiaTheme="minorEastAsia" w:hAnsiTheme="minorEastAsia"/>
          <w:bCs/>
          <w:color w:val="000000"/>
          <w:sz w:val="24"/>
          <w:szCs w:val="24"/>
        </w:rPr>
        <w:t>费用的项目。</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（四）实施</w:t>
      </w:r>
      <w:r>
        <w:rPr>
          <w:rFonts w:asciiTheme="minorEastAsia" w:cs="宋体" w:eastAsiaTheme="minorEastAsia" w:hAnsiTheme="minorEastAsia" w:hint="eastAsia"/>
          <w:bCs/>
          <w:color w:val="000000"/>
          <w:sz w:val="24"/>
          <w:szCs w:val="24"/>
        </w:rPr>
        <w:t>侧袋机制</w:t>
      </w:r>
      <w:r>
        <w:rPr>
          <w:rFonts w:asciiTheme="minorEastAsia" w:cs="宋体" w:eastAsiaTheme="minorEastAsia" w:hAnsiTheme="minorEastAsia" w:hint="eastAsia"/>
          <w:bCs/>
          <w:color w:val="000000"/>
          <w:sz w:val="24"/>
          <w:szCs w:val="24"/>
        </w:rPr>
        <w:t>期间的基金费用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本基金实施</w:t>
      </w:r>
      <w:r>
        <w:rPr>
          <w:rFonts w:asciiTheme="minorEastAsia" w:eastAsiaTheme="minorEastAsia" w:hAnsiTheme="minorEastAsia" w:hint="eastAsia"/>
          <w:bCs/>
          <w:color w:val="000000"/>
          <w:sz w:val="24"/>
          <w:szCs w:val="24"/>
        </w:rPr>
        <w:t>侧袋机制</w:t>
      </w:r>
      <w:r>
        <w:rPr>
          <w:rFonts w:asciiTheme="minorEastAsia" w:eastAsiaTheme="minorEastAsia" w:hAnsiTheme="minorEastAsia" w:hint="eastAsia"/>
          <w:bCs/>
          <w:color w:val="000000"/>
          <w:sz w:val="24"/>
          <w:szCs w:val="24"/>
        </w:rPr>
        <w:t>的，</w:t>
      </w:r>
      <w:r>
        <w:rPr>
          <w:rFonts w:asciiTheme="minorEastAsia" w:eastAsiaTheme="minorEastAsia" w:hAnsiTheme="minorEastAsia" w:hint="eastAsia"/>
          <w:bCs/>
          <w:color w:val="000000"/>
          <w:sz w:val="24"/>
          <w:szCs w:val="24"/>
        </w:rPr>
        <w:t>与侧袋账户</w:t>
      </w:r>
      <w:r>
        <w:rPr>
          <w:rFonts w:asciiTheme="minorEastAsia" w:eastAsiaTheme="minorEastAsia" w:hAnsiTheme="minorEastAsia" w:hint="eastAsia"/>
          <w:bCs/>
          <w:color w:val="000000"/>
          <w:sz w:val="24"/>
          <w:szCs w:val="24"/>
        </w:rPr>
        <w:t>有关的费用可以</w:t>
      </w:r>
      <w:r>
        <w:rPr>
          <w:rFonts w:asciiTheme="minorEastAsia" w:eastAsiaTheme="minorEastAsia" w:hAnsiTheme="minorEastAsia" w:hint="eastAsia"/>
          <w:bCs/>
          <w:color w:val="000000"/>
          <w:sz w:val="24"/>
          <w:szCs w:val="24"/>
        </w:rPr>
        <w:t>从侧袋账户</w:t>
      </w:r>
      <w:r>
        <w:rPr>
          <w:rFonts w:asciiTheme="minorEastAsia" w:eastAsiaTheme="minorEastAsia" w:hAnsiTheme="minorEastAsia" w:hint="eastAsia"/>
          <w:bCs/>
          <w:color w:val="000000"/>
          <w:sz w:val="24"/>
          <w:szCs w:val="24"/>
        </w:rPr>
        <w:t>中列支，但应</w:t>
      </w:r>
      <w:r>
        <w:rPr>
          <w:rFonts w:asciiTheme="minorEastAsia" w:eastAsiaTheme="minorEastAsia" w:hAnsiTheme="minorEastAsia" w:hint="eastAsia"/>
          <w:bCs/>
          <w:color w:val="000000"/>
          <w:sz w:val="24"/>
          <w:szCs w:val="24"/>
        </w:rPr>
        <w:t>待侧袋</w:t>
      </w:r>
      <w:r>
        <w:rPr>
          <w:rFonts w:asciiTheme="minorEastAsia" w:eastAsiaTheme="minorEastAsia" w:hAnsiTheme="minorEastAsia" w:hint="eastAsia"/>
          <w:bCs/>
          <w:color w:val="000000"/>
          <w:sz w:val="24"/>
          <w:szCs w:val="24"/>
        </w:rPr>
        <w:t>账户资产变现后方可列支，有关费用可酌情收取或减免，但不得收取管理费，详见招募说明书的规定。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bCs/>
          <w:color w:val="000000"/>
          <w:sz w:val="24"/>
          <w:szCs w:val="24"/>
        </w:rPr>
        <w:t>（</w:t>
      </w:r>
      <w:r>
        <w:rPr>
          <w:rFonts w:asciiTheme="minorEastAsia" w:cs="宋体" w:eastAsiaTheme="minorEastAsia" w:hAnsiTheme="minorEastAsia" w:hint="eastAsia"/>
          <w:bCs/>
          <w:color w:val="000000"/>
          <w:sz w:val="24"/>
          <w:szCs w:val="24"/>
        </w:rPr>
        <w:t>五</w:t>
      </w:r>
      <w:r>
        <w:rPr>
          <w:rFonts w:asciiTheme="minorEastAsia" w:cs="宋体" w:eastAsiaTheme="minorEastAsia" w:hAnsiTheme="minorEastAsia"/>
          <w:bCs/>
          <w:color w:val="000000"/>
          <w:sz w:val="24"/>
          <w:szCs w:val="24"/>
        </w:rPr>
        <w:t>）</w:t>
      </w:r>
      <w:r>
        <w:rPr>
          <w:rFonts w:asciiTheme="minorEastAsia" w:cs="宋体" w:eastAsiaTheme="minorEastAsia" w:hAnsiTheme="minorEastAsia" w:hint="eastAsia"/>
          <w:bCs/>
          <w:color w:val="000000"/>
          <w:sz w:val="24"/>
          <w:szCs w:val="24"/>
        </w:rPr>
        <w:t>基金</w:t>
      </w:r>
      <w:r>
        <w:rPr>
          <w:rFonts w:asciiTheme="minorEastAsia" w:cs="宋体" w:eastAsiaTheme="minorEastAsia" w:hAnsiTheme="minorEastAsia"/>
          <w:bCs/>
          <w:color w:val="000000"/>
          <w:sz w:val="24"/>
          <w:szCs w:val="24"/>
        </w:rPr>
        <w:t>税收</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hint="eastAsia"/>
          <w:bCs/>
          <w:color w:val="000000"/>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rsidR="00AA3326">
      <w:pPr>
        <w:pStyle w:val="Heading2"/>
        <w:keepLines w:val="0"/>
        <w:tabs>
          <w:tab w:pos="576" w:val="left"/>
        </w:tabs>
        <w:suppressAutoHyphens/>
        <w:spacing w:after="0" w:before="0" w:line="360" w:lineRule="auto"/>
        <w:ind w:firstLine="480" w:firstLineChars="200"/>
        <w:rPr>
          <w:rFonts w:asciiTheme="minorEastAsia" w:cs="Arial" w:eastAsiaTheme="minorEastAsia" w:hAnsiTheme="minorEastAsia" w:hint="eastAsia"/>
          <w:b w:val="0"/>
          <w:bCs/>
          <w:iCs/>
          <w:color w:val="000000"/>
          <w:kern w:val="1"/>
          <w:sz w:val="24"/>
          <w:szCs w:val="24"/>
          <w:lang w:eastAsia="ar-SA"/>
        </w:rPr>
      </w:pPr>
      <w:r>
        <w:rPr>
          <w:rFonts w:asciiTheme="minorEastAsia" w:cs="Arial" w:eastAsiaTheme="minorEastAsia" w:hAnsiTheme="minorEastAsia" w:hint="eastAsia"/>
          <w:b w:val="0"/>
          <w:bCs/>
          <w:iCs/>
          <w:color w:val="000000"/>
          <w:kern w:val="1"/>
          <w:sz w:val="24"/>
          <w:szCs w:val="24"/>
        </w:rPr>
        <w:t>五</w:t>
      </w:r>
      <w:r>
        <w:rPr>
          <w:rFonts w:asciiTheme="minorEastAsia" w:cs="Arial" w:eastAsiaTheme="minorEastAsia" w:hAnsiTheme="minorEastAsia"/>
          <w:b w:val="0"/>
          <w:bCs/>
          <w:iCs/>
          <w:color w:val="000000"/>
          <w:kern w:val="1"/>
          <w:sz w:val="24"/>
          <w:szCs w:val="24"/>
        </w:rPr>
        <w:t>、</w:t>
      </w:r>
      <w:r>
        <w:rPr>
          <w:rFonts w:asciiTheme="minorEastAsia" w:cs="Arial" w:eastAsiaTheme="minorEastAsia" w:hAnsiTheme="minorEastAsia"/>
          <w:b w:val="0"/>
          <w:bCs/>
          <w:iCs/>
          <w:color w:val="000000"/>
          <w:kern w:val="1"/>
          <w:sz w:val="24"/>
          <w:szCs w:val="24"/>
          <w:lang w:eastAsia="ar-SA"/>
        </w:rPr>
        <w:t>基金财产的投资方向和投资限制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bCs/>
          <w:color w:val="000000"/>
          <w:sz w:val="24"/>
          <w:szCs w:val="24"/>
        </w:rPr>
        <w:t>（一）投资目标</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宋体" w:hAnsi="宋体" w:hint="eastAsia"/>
          <w:bCs/>
          <w:color w:val="000000"/>
          <w:sz w:val="24"/>
          <w:szCs w:val="24"/>
        </w:rPr>
        <w:t>本基金通过数量化模型，合理配置资产权重，精选个股，在充分控制投资风险的前提下，力求实现基金资产的增值。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bCs/>
          <w:color w:val="000000"/>
          <w:sz w:val="24"/>
          <w:szCs w:val="24"/>
        </w:rPr>
        <w:t>（二）投资范围</w:t>
      </w:r>
    </w:p>
    <w:p w:rsidR="00AA3326">
      <w:pPr>
        <w:spacing w:line="360" w:lineRule="auto"/>
        <w:ind w:firstLine="480"/>
        <w:rPr>
          <w:rFonts w:ascii="宋体" w:hAnsi="宋体" w:hint="eastAsia"/>
          <w:bCs/>
          <w:color w:val="000000"/>
          <w:sz w:val="24"/>
          <w:szCs w:val="24"/>
        </w:rPr>
      </w:pPr>
      <w:r>
        <w:rPr>
          <w:rFonts w:ascii="宋体" w:hAnsi="宋体" w:hint="eastAsia"/>
          <w:bCs/>
          <w:color w:val="000000"/>
          <w:sz w:val="24"/>
          <w:szCs w:val="24"/>
        </w:rPr>
        <w:t>本基金的投资范围为具有良好流动性的金融工具，包括国内依法发行上市的</w:t>
      </w:r>
      <w:r>
        <w:rPr>
          <w:rFonts w:ascii="宋体" w:hAnsi="宋体" w:hint="eastAsia"/>
          <w:bCs/>
          <w:color w:val="000000"/>
          <w:sz w:val="24"/>
          <w:szCs w:val="24"/>
        </w:rPr>
        <w:t>股票（包含主板、创业板、存托凭证及其他经中国证监会核准或注册上市的股票）、债券（包括国债、央行票据、金融债、企业债、公司债、次级债、地方政府债券、政府支持机构债券、可转换债券（含分离交易可转债）、可交换债券、中期票据、短期融资</w:t>
      </w:r>
      <w:r>
        <w:rPr>
          <w:rFonts w:ascii="宋体" w:hAnsi="宋体" w:hint="eastAsia"/>
          <w:bCs/>
          <w:color w:val="000000"/>
          <w:sz w:val="24"/>
          <w:szCs w:val="24"/>
        </w:rPr>
        <w:t>券</w:t>
      </w:r>
      <w:r>
        <w:rPr>
          <w:rFonts w:ascii="宋体" w:hAnsi="宋体" w:hint="eastAsia"/>
          <w:bCs/>
          <w:color w:val="000000"/>
          <w:sz w:val="24"/>
          <w:szCs w:val="24"/>
        </w:rPr>
        <w:t>、超短期融资</w:t>
      </w:r>
      <w:r>
        <w:rPr>
          <w:rFonts w:ascii="宋体" w:hAnsi="宋体" w:hint="eastAsia"/>
          <w:bCs/>
          <w:color w:val="000000"/>
          <w:sz w:val="24"/>
          <w:szCs w:val="24"/>
        </w:rPr>
        <w:t>券</w:t>
      </w:r>
      <w:r>
        <w:rPr>
          <w:rFonts w:ascii="宋体" w:hAnsi="宋体" w:hint="eastAsia"/>
          <w:bCs/>
          <w:color w:val="000000"/>
          <w:sz w:val="24"/>
          <w:szCs w:val="24"/>
        </w:rPr>
        <w:t>等）、货币市场工具、银行存款、同业存单、债券回购、股指期货、股票期权、资产支持证券以及法律法规或中国证监会允许基金投资的其他金融工具（但须符合中国证监会的相关规定）。</w:t>
      </w:r>
    </w:p>
    <w:p w:rsidR="00AA3326">
      <w:pPr>
        <w:spacing w:line="360" w:lineRule="auto"/>
        <w:ind w:firstLine="480"/>
        <w:rPr>
          <w:rFonts w:ascii="宋体" w:hAnsi="宋体" w:hint="eastAsia"/>
          <w:bCs/>
          <w:color w:val="000000"/>
          <w:sz w:val="24"/>
          <w:szCs w:val="24"/>
        </w:rPr>
      </w:pPr>
      <w:r>
        <w:rPr>
          <w:rFonts w:ascii="宋体" w:hAnsi="宋体" w:hint="eastAsia"/>
          <w:bCs/>
          <w:color w:val="000000"/>
          <w:sz w:val="24"/>
          <w:szCs w:val="24"/>
        </w:rPr>
        <w:t>本基金根据法律法规的规定参与融资业务。在法律法规允许的情况下并履行适当程序后，本基金可以参与融券业务。</w:t>
      </w:r>
    </w:p>
    <w:p w:rsidR="00AA3326">
      <w:pPr>
        <w:spacing w:line="360" w:lineRule="auto"/>
        <w:ind w:firstLine="480"/>
        <w:rPr>
          <w:rFonts w:ascii="宋体" w:hAnsi="宋体" w:hint="eastAsia"/>
          <w:bCs/>
          <w:color w:val="000000"/>
          <w:sz w:val="24"/>
          <w:szCs w:val="24"/>
        </w:rPr>
      </w:pPr>
      <w:r>
        <w:rPr>
          <w:rFonts w:ascii="宋体" w:hAnsi="宋体" w:hint="eastAsia"/>
          <w:bCs/>
          <w:color w:val="000000"/>
          <w:sz w:val="24"/>
          <w:szCs w:val="24"/>
        </w:rPr>
        <w:t>如法律法规或监管机构以后允许基金投资其他品种，基金管理人在履行适当程序后，可以将其纳入投资范围。</w:t>
      </w:r>
    </w:p>
    <w:p w:rsidR="00AA3326">
      <w:pPr>
        <w:spacing w:line="360" w:lineRule="auto"/>
        <w:ind w:firstLine="480"/>
        <w:rPr>
          <w:rFonts w:ascii="宋体" w:hAnsi="宋体" w:hint="eastAsia"/>
          <w:bCs/>
          <w:color w:val="000000"/>
          <w:sz w:val="24"/>
          <w:szCs w:val="24"/>
        </w:rPr>
      </w:pPr>
      <w:r>
        <w:rPr>
          <w:rFonts w:asciiTheme="minorEastAsia" w:eastAsiaTheme="minorEastAsia" w:hAnsiTheme="minorEastAsia" w:hint="eastAsia"/>
          <w:bCs/>
          <w:color w:val="000000"/>
          <w:sz w:val="24"/>
          <w:szCs w:val="24"/>
        </w:rPr>
        <w:t>本基金的投资组合比例为：</w:t>
      </w:r>
      <w:r>
        <w:rPr>
          <w:rFonts w:ascii="宋体" w:hAnsi="宋体" w:hint="eastAsia"/>
          <w:bCs/>
          <w:color w:val="000000"/>
          <w:sz w:val="24"/>
          <w:szCs w:val="24"/>
        </w:rPr>
        <w:t>本基金投资于股票资产（</w:t>
      </w:r>
      <w:r>
        <w:rPr>
          <w:rFonts w:ascii="宋体" w:hAnsi="宋体" w:hint="eastAsia"/>
          <w:bCs/>
          <w:color w:val="000000"/>
          <w:sz w:val="24"/>
          <w:szCs w:val="24"/>
        </w:rPr>
        <w:t>含存托</w:t>
      </w:r>
      <w:r>
        <w:rPr>
          <w:rFonts w:ascii="宋体" w:hAnsi="宋体" w:hint="eastAsia"/>
          <w:bCs/>
          <w:color w:val="000000"/>
          <w:sz w:val="24"/>
          <w:szCs w:val="24"/>
        </w:rPr>
        <w:t>凭证）的比例占基金资产的60%-95%；每个交易日日终在扣除股指期货合约、股票期权合约需缴纳的交易保证金后，现金或到期日在一年以内的政府债券不低于基金资产净值的5%，其中现金不包括结算备付金、存出保证金、应收申购款等。</w:t>
      </w:r>
    </w:p>
    <w:p w:rsidR="00AA3326">
      <w:pPr>
        <w:spacing w:line="360" w:lineRule="auto"/>
        <w:ind w:firstLine="480"/>
        <w:rPr>
          <w:rFonts w:asciiTheme="minorEastAsia" w:eastAsiaTheme="minorEastAsia" w:hAnsiTheme="minorEastAsia" w:hint="eastAsia"/>
          <w:bCs/>
          <w:color w:val="000000"/>
          <w:sz w:val="24"/>
          <w:szCs w:val="24"/>
        </w:rPr>
      </w:pPr>
      <w:r>
        <w:rPr>
          <w:rFonts w:ascii="宋体" w:hAnsi="宋体" w:hint="eastAsia"/>
          <w:bCs/>
          <w:color w:val="000000"/>
          <w:sz w:val="24"/>
          <w:szCs w:val="24"/>
        </w:rPr>
        <w:t>如果法律法规或监管机构变更投资品种的投资比例限制，基金管理人在履行适当程序后，可以调整上述投资品种的投资比例。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bCs/>
          <w:color w:val="000000"/>
          <w:sz w:val="24"/>
          <w:szCs w:val="24"/>
        </w:rPr>
        <w:t>（三）投资策略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本基金在投资中将以基金的权益类资产和固定收益类资产配置作为基础，采用数量化模型，并将对基金整体的波动和风险进行控制，力求基金资产长期、稳定的增值。投资策略主要包括但不限于以下方面：</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1、资产配置策略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依据宏观和金融数据以及投资部门对于宏观经济、股市政策、市场趋势的综合分析，重点关注包括GDP增速、固定资产投资增速、净出口增速、通胀率、货币供应、利率等宏观指标的变化趋势，同时强调金融市场投资者行为分析，关注资本市场资金供求关系变化等因素，在深入分析基础上评估宏观经济运行及政策对资本市场的影响方向和力度，形成资产配置方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2、股票投资策略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（1）在股票投资方面，本基金在量化策略配置和投资组合管理的框架下，精选中小市值股票中成长性良好且估值合理的上市公司股票构建投资组合，通过</w:t>
      </w:r>
      <w:r>
        <w:rPr>
          <w:rFonts w:asciiTheme="minorEastAsia" w:eastAsiaTheme="minorEastAsia" w:hAnsiTheme="minorEastAsia" w:hint="eastAsia"/>
          <w:bCs/>
          <w:color w:val="000000"/>
          <w:sz w:val="24"/>
          <w:szCs w:val="24"/>
        </w:rPr>
        <w:t>量化模型对投资组合中的行业配置及个股权重等进行主动调整，并根据市场风格变化及股票技术面因素，不定期对策略权重进行优化调整，力求获得超越业绩比较基准的投资回报。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采用数量化投资策略建立投资模型，主要运用不断迭代的量化模型对股票的预期收益率进行打分，并在最大化预期收益的同时并严格控制组合风险。在投资过程中充分发挥数量化投资纪律严格、风险水平可控、投资视野宽阔等优势，努力寻找市场局部错误定价的机会来不断更新投资组合，以此尽量博取相对于业绩比较基准的超额收益率。</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本基金主要通过机器学习模型和对股票因子特征的研究，在充分控制投资风险的前提下，在以下几个层面通过量化选股的投资策略进行投资，力求实现基金资产的长期、稳定增值。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1）投资逻辑层面：在策略维度上，注重基本面模型和实时量价统计套利模型的结合。选择基本面优质的公司，争取赚取长期持股的收益。同时通过量价因子尽量刻画股票的技术面特征，以便更准确把握股票的买卖时间点。</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2）模型层面：模型针对股票市场的高噪音和时序性的特征自主研发而成，致力于用多个子模型从不同的角度来刻画市场投资逻辑，提升模型对不同市场风格的普适性，尽量减少单个子模型的失效概率。</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3）Alpha因子层面：模型使用的Alpha因子包括股票的日频交易和日内交易相关因子、定期报告和分析</w:t>
      </w:r>
      <w:r>
        <w:rPr>
          <w:rFonts w:asciiTheme="minorEastAsia" w:eastAsiaTheme="minorEastAsia" w:hAnsiTheme="minorEastAsia" w:hint="eastAsia"/>
          <w:bCs/>
          <w:color w:val="000000"/>
          <w:sz w:val="24"/>
          <w:szCs w:val="24"/>
        </w:rPr>
        <w:t>师报告</w:t>
      </w:r>
      <w:r>
        <w:rPr>
          <w:rFonts w:asciiTheme="minorEastAsia" w:eastAsiaTheme="minorEastAsia" w:hAnsiTheme="minorEastAsia" w:hint="eastAsia"/>
          <w:bCs/>
          <w:color w:val="000000"/>
          <w:sz w:val="24"/>
          <w:szCs w:val="24"/>
        </w:rPr>
        <w:t>衍生因子、事件驱动合成因子、关联网络类因子以及舆情数据因子等。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策略配置层面：模型将低频基本面因子和实时量价因子在底层训练和子模型合成两个维度进行融合，试图有效结合基本面因子的长期Alpha能力和量价因子的短期Alpha优势，可以形成策略互补的效果，使得策略更稳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5）行业配置层面：行业配置模型综合考虑行业的景气度、估值、资金流、价量和机构行为等视角，形成行业配置信号，以此对部分行业进行适当的高配和低配。</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6）组合管理层面：本基金在投资组合优化的过程中严格控制规模、Beta、行业和动量等风险因子，将主要市场风险以及行业暴露控制在一定范围之内，动态调整投资组合。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（2）在存托凭证投资方面，本基金将根据本基金的投资目标和股票投资策略，基于对基础证券投资价值的深入研究判断，进行存托凭证的投资。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3、债券投资策略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基于投资策略及流动性管理的需要，将以有效利用基金资产、保持基金资产流动性、为基金资产提供稳定收益为主要目的，适时对债券等固定收益类金融工具进行投资。本基金将通过研究国内外宏观经济、货币和财政政策、市场结构变化、资金流动情况，采取自上而下的策略判断未来利率变化和收益率曲线变动的趋势及幅度，确定组合久期，优化基金资产在利率债、信用债等各类固定收益类金融工具之间的配置比例，在精选个</w:t>
      </w:r>
      <w:r>
        <w:rPr>
          <w:rFonts w:asciiTheme="minorEastAsia" w:eastAsiaTheme="minorEastAsia" w:hAnsiTheme="minorEastAsia" w:hint="eastAsia"/>
          <w:bCs/>
          <w:color w:val="000000"/>
          <w:sz w:val="24"/>
          <w:szCs w:val="24"/>
        </w:rPr>
        <w:t>券</w:t>
      </w:r>
      <w:r>
        <w:rPr>
          <w:rFonts w:asciiTheme="minorEastAsia" w:eastAsiaTheme="minorEastAsia" w:hAnsiTheme="minorEastAsia" w:hint="eastAsia"/>
          <w:bCs/>
          <w:color w:val="000000"/>
          <w:sz w:val="24"/>
          <w:szCs w:val="24"/>
        </w:rPr>
        <w:t>的基础上构建债券投资组合。</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4、可转换债券（含分离交易可转债）、可交换债券投资策略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可转换债券（含分离交易可转债）、可交换债券兼具权益类证券与固定收益类证券的特性。本基金将选择公司基本素质优良、其对应的基础证券有着较高上涨潜力的可转换债券、可交换债券进行投资，并采用期权定价模型等数量化估值工具评定其投资价值，以合理价格买入并持有。本基金持有的该类债券可以转换、交换为股票。</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5、资产支持证券投资策略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本基金可在综合考虑预期收益率、信用风险、流动性等因素的基础上，选择投资价值较高的资产支持证券进行投资。</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6、参与股指期货交易策略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本基金可参与股指期货交易。若本基金参与股指期货交易，将根据风险管理的原则，以套期保值为主要目的，综合考虑流动性、</w:t>
      </w:r>
      <w:r>
        <w:rPr>
          <w:rFonts w:asciiTheme="minorEastAsia" w:eastAsiaTheme="minorEastAsia" w:hAnsiTheme="minorEastAsia" w:hint="eastAsia"/>
          <w:bCs/>
          <w:color w:val="000000"/>
          <w:sz w:val="24"/>
          <w:szCs w:val="24"/>
        </w:rPr>
        <w:t>基差水平</w:t>
      </w:r>
      <w:r>
        <w:rPr>
          <w:rFonts w:asciiTheme="minorEastAsia" w:eastAsiaTheme="minorEastAsia" w:hAnsiTheme="minorEastAsia" w:hint="eastAsia"/>
          <w:bCs/>
          <w:color w:val="000000"/>
          <w:sz w:val="24"/>
          <w:szCs w:val="24"/>
        </w:rPr>
        <w:t>、与股票组合相关度等因素，以对冲投资组合的风险、有效管理现金流量或降低建仓</w:t>
      </w:r>
      <w:r>
        <w:rPr>
          <w:rFonts w:asciiTheme="minorEastAsia" w:eastAsiaTheme="minorEastAsia" w:hAnsiTheme="minorEastAsia" w:hint="eastAsia"/>
          <w:bCs/>
          <w:color w:val="000000"/>
          <w:sz w:val="24"/>
          <w:szCs w:val="24"/>
        </w:rPr>
        <w:t>或调仓过程</w:t>
      </w:r>
      <w:r>
        <w:rPr>
          <w:rFonts w:asciiTheme="minorEastAsia" w:eastAsiaTheme="minorEastAsia" w:hAnsiTheme="minorEastAsia" w:hint="eastAsia"/>
          <w:bCs/>
          <w:color w:val="000000"/>
          <w:sz w:val="24"/>
          <w:szCs w:val="24"/>
        </w:rPr>
        <w:t>中的冲击成本等。</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7、参与股票期权交易策略</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本基金将按照风险管理的原则，以套期保值为主要目的参与股票期权交易。本基金将结合投资目标、比例限制、风险收益特征以及法律法规的相关限定和要求，确定参与股票期权交易的投资时机和投资比例。</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8、参与融资业务策略</w:t>
      </w:r>
    </w:p>
    <w:p w:rsidR="00AA3326">
      <w:pPr>
        <w:spacing w:line="360" w:lineRule="auto"/>
        <w:ind w:firstLine="480" w:firstLineChars="200"/>
        <w:rPr>
          <w:rFonts w:asciiTheme="minorEastAsia" w:eastAsiaTheme="minorEastAsia" w:hAnsiTheme="minorEastAsia" w:hint="eastAsia"/>
          <w:color w:val="000000"/>
          <w:sz w:val="24"/>
          <w:szCs w:val="24"/>
        </w:rPr>
      </w:pPr>
      <w:r>
        <w:rPr>
          <w:rFonts w:asciiTheme="minorEastAsia" w:eastAsiaTheme="minorEastAsia" w:hAnsiTheme="minorEastAsia" w:hint="eastAsia"/>
          <w:bCs/>
          <w:color w:val="000000"/>
          <w:sz w:val="24"/>
          <w:szCs w:val="24"/>
        </w:rPr>
        <w:t>为更好地实现投资目标，在加强风险防范并遵守审慎原则的前提下，本基金</w:t>
      </w:r>
      <w:r>
        <w:rPr>
          <w:rFonts w:asciiTheme="minorEastAsia" w:eastAsiaTheme="minorEastAsia" w:hAnsiTheme="minorEastAsia" w:hint="eastAsia"/>
          <w:bCs/>
          <w:color w:val="000000"/>
          <w:sz w:val="24"/>
          <w:szCs w:val="24"/>
        </w:rPr>
        <w:t>可根据投资管理的需要参与融资业务。参与融资业务时，本基金将力争利用融资的杠杆作用，降低因申购造成基金</w:t>
      </w:r>
      <w:r>
        <w:rPr>
          <w:rFonts w:asciiTheme="minorEastAsia" w:eastAsiaTheme="minorEastAsia" w:hAnsiTheme="minorEastAsia" w:hint="eastAsia"/>
          <w:bCs/>
          <w:color w:val="000000"/>
          <w:sz w:val="24"/>
          <w:szCs w:val="24"/>
        </w:rPr>
        <w:t>仓位</w:t>
      </w:r>
      <w:r>
        <w:rPr>
          <w:rFonts w:asciiTheme="minorEastAsia" w:eastAsiaTheme="minorEastAsia" w:hAnsiTheme="minorEastAsia" w:hint="eastAsia"/>
          <w:bCs/>
          <w:color w:val="000000"/>
          <w:sz w:val="24"/>
          <w:szCs w:val="24"/>
        </w:rPr>
        <w:t>较低带来的跟踪误差，达到有效跟踪标的指数的目的。</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bCs/>
          <w:color w:val="000000"/>
          <w:sz w:val="24"/>
          <w:szCs w:val="24"/>
        </w:rPr>
        <w:t>（四）投资限制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1、组合限制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基金的投资组合应遵循以下限制：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（1）本基金投资于股票资产（</w:t>
      </w:r>
      <w:r>
        <w:rPr>
          <w:rFonts w:asciiTheme="minorEastAsia" w:cs="宋体" w:eastAsiaTheme="minorEastAsia" w:hAnsiTheme="minorEastAsia" w:hint="eastAsia"/>
          <w:bCs/>
          <w:color w:val="000000"/>
          <w:sz w:val="24"/>
          <w:szCs w:val="24"/>
        </w:rPr>
        <w:t>含存托</w:t>
      </w:r>
      <w:r>
        <w:rPr>
          <w:rFonts w:asciiTheme="minorEastAsia" w:cs="宋体" w:eastAsiaTheme="minorEastAsia" w:hAnsiTheme="minorEastAsia" w:hint="eastAsia"/>
          <w:bCs/>
          <w:color w:val="000000"/>
          <w:sz w:val="24"/>
          <w:szCs w:val="24"/>
        </w:rPr>
        <w:t>凭证）的比例占基金资产的60%-95%；</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每个交易日日终在扣除股指期货合约、股票期权合约需缴纳的交易保证金后，保持不低于基金资产净值5％的现金或者到期日在一年以内的政府债券，其中，现金不包括结算备付金、存出保证金、应收申购款等；</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（3）本基金持有一家公司发行的证券，其市值不超过基金资产净值的10％；</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（4）基金管理人管理的全部基金持有一家公司发行的证券，不超过该证券的10％，完全按照有关指数的构成比例进行证券投资的基金品种可以不受此条款规定的比例限制；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本基金投资于股指期货的投资限制：在任何交易日日终，持有的买入股指期货合约价值，不得超过基金资产净值的10%；在任何交易日日终，持有的买入股指期货合约价值与有价证券市值之和,不得超过基金资产净值的95%，其中，有价证券指股票、债券（不含到期日在一年以内的政府债券）、资产支持证券、买入返售金融资产（不含质押式回购）等；在任何交易日日终，持有的卖出股指期货合约价值不得超过基金持有的股票总市值的20%；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本基金投资于股票期权的投资限制：因未平仓的期权合约支付和收取的权利金总额不得超过基金资产净值的10%；开仓卖出认购期权的，应持有足额标的证券；开仓卖出认沽期权的，应持有合约行权所需的全额现金或交易所规则认可的可冲抵期权保证金的现金等价物；未平仓的期权合约面值不得超过基金资产净值的20%，其中，合约面值按照行权价乘以合约乘数计算；</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（7）本基金投资于同一原始权益人的各类资产支持证券的比例，不得超过</w:t>
      </w:r>
      <w:r>
        <w:rPr>
          <w:rFonts w:asciiTheme="minorEastAsia" w:cs="宋体" w:eastAsiaTheme="minorEastAsia" w:hAnsiTheme="minorEastAsia" w:hint="eastAsia"/>
          <w:bCs/>
          <w:color w:val="000000"/>
          <w:sz w:val="24"/>
          <w:szCs w:val="24"/>
        </w:rPr>
        <w:t>基金资产净值的10％；</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（8）本基金持有的全部资产支持证券，其市值不得超过基金资产净值的20％；</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（9）本基金持有的同一（指同一信用级别）资产支持证券的比例，不得超过该资产支持证券规模的10％；</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（10）基金管理人管理的全部基金投资于同一原始权益人的各类资产支持证券，不得超过其各类资产支持证券合计规模的10％；</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（11）本基金应投资于信用级别评级为BBB以上（含BBB）的资产支持证券。基金持有资产支持证券期间，如果其信用等级下降、不再符合投资标准，应在评级报告发布之日起3个月内予以全部卖出；</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（12）基金财产参与股票发行申购，本基金所申报的金额不超过本基金的总资产，本基金所申报的股票数量不超过拟发行股票公司本次发行股票的总量；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13）基金管理人管理的全部开放式基金持有一家上市公司发行的可流通股票，不得超过该上市公司可流通股票的15%；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14）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（15）本基金与私募类</w:t>
      </w:r>
      <w:r>
        <w:rPr>
          <w:rFonts w:asciiTheme="minorEastAsia" w:cs="宋体" w:eastAsiaTheme="minorEastAsia" w:hAnsiTheme="minorEastAsia" w:hint="eastAsia"/>
          <w:bCs/>
          <w:color w:val="000000"/>
          <w:sz w:val="24"/>
          <w:szCs w:val="24"/>
        </w:rPr>
        <w:t>证券资管产品</w:t>
      </w:r>
      <w:r>
        <w:rPr>
          <w:rFonts w:asciiTheme="minorEastAsia" w:cs="宋体" w:eastAsiaTheme="minorEastAsia" w:hAnsiTheme="minorEastAsia" w:hint="eastAsia"/>
          <w:bCs/>
          <w:color w:val="000000"/>
          <w:sz w:val="24"/>
          <w:szCs w:val="24"/>
        </w:rPr>
        <w:t>及中国证监会认定的其他主体为交易对手开展逆回购交易的，可接受质押品的资质要求应当与基金合同约定的投资范围保持一致；</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（16）本基金仅在参与融资时遵守下列要求：本基金参与融资的每个交易日日终，本基金持有的融资买入股票与其他有价证券市值之和，不得超过基金资产净值的95%；</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（17）本基金资产总值不超过基金资产净值的140%；</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（18）本基金投资存托凭证的比例限制依照境内上市交易的股票执行；</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（19）法律法规及中国证监会规定的和《基金合同》约定的其他投资限制。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除上述第（2）、（11）、（14）、（15）项外，因证券/期货市场波动、证券发行人合并、基金规模变动等基金管理人之外的因素致使本基金投资比例不符合上述规定投资比例的，基金管理人应当在10个交易日内进行调整，但中国证监会规定的特殊情形除外。</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本基金合同生效之日起开始。</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法律法规或监管部门取消或调整上述限制，如适用于本基金，基金管理人在履行适当程序后，则本基金投资不再受相关限制或以调整后的规定为准。</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bCs/>
          <w:color w:val="000000"/>
          <w:sz w:val="24"/>
          <w:szCs w:val="24"/>
        </w:rPr>
        <w:t>2</w:t>
      </w:r>
      <w:r>
        <w:rPr>
          <w:rFonts w:asciiTheme="minorEastAsia" w:cs="宋体" w:eastAsiaTheme="minorEastAsia" w:hAnsiTheme="minorEastAsia" w:hint="eastAsia"/>
          <w:bCs/>
          <w:color w:val="000000"/>
          <w:sz w:val="24"/>
          <w:szCs w:val="24"/>
        </w:rPr>
        <w:t>、</w:t>
      </w:r>
      <w:r>
        <w:rPr>
          <w:rFonts w:asciiTheme="minorEastAsia" w:cs="宋体" w:eastAsiaTheme="minorEastAsia" w:hAnsiTheme="minorEastAsia"/>
          <w:bCs/>
          <w:color w:val="000000"/>
          <w:sz w:val="24"/>
          <w:szCs w:val="24"/>
        </w:rPr>
        <w:t>禁止行为</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为维护基金份额持有人的合法权益，基金财产不得用于下列投资或者活动：</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（1）承销证券；</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（2）违反规定向他人贷款或者提供担保；</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（3）从事承担无限责任的投资；</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（4）买卖其他基金份额，但是中国证监会另有规定的除外；</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（5）向其基金管理人、基金托管人出资；</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（6）从事内幕交易、操纵证券交易价格及其他不正当的证券交易活动；</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（7）法律、行政法规和中国证监会规定禁止的其他活动。</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法律、行政法规或监管部门取消或调整上述限制，如适用于本基金，基金管理人在履行适当程序后，则本基金投资不再受相关限制或按调整后的规定执行。</w:t>
      </w:r>
    </w:p>
    <w:p w:rsidR="00AA3326">
      <w:pPr>
        <w:pStyle w:val="Heading2"/>
        <w:keepLines w:val="0"/>
        <w:tabs>
          <w:tab w:pos="576" w:val="left"/>
        </w:tabs>
        <w:suppressAutoHyphens/>
        <w:spacing w:after="0" w:before="0" w:line="360" w:lineRule="auto"/>
        <w:ind w:firstLine="480" w:firstLineChars="200"/>
        <w:rPr>
          <w:rFonts w:asciiTheme="minorEastAsia" w:cs="Arial" w:eastAsiaTheme="minorEastAsia" w:hAnsiTheme="minorEastAsia" w:hint="eastAsia"/>
          <w:b w:val="0"/>
          <w:bCs/>
          <w:iCs/>
          <w:color w:val="000000"/>
          <w:kern w:val="1"/>
          <w:sz w:val="24"/>
          <w:szCs w:val="24"/>
          <w:lang w:eastAsia="ar-SA"/>
        </w:rPr>
      </w:pPr>
      <w:r>
        <w:rPr>
          <w:rFonts w:asciiTheme="minorEastAsia" w:cs="Arial" w:eastAsiaTheme="minorEastAsia" w:hAnsiTheme="minorEastAsia" w:hint="eastAsia"/>
          <w:b w:val="0"/>
          <w:bCs/>
          <w:iCs/>
          <w:color w:val="000000"/>
          <w:kern w:val="1"/>
          <w:sz w:val="24"/>
          <w:szCs w:val="24"/>
        </w:rPr>
        <w:t>六</w:t>
      </w:r>
      <w:r>
        <w:rPr>
          <w:rFonts w:asciiTheme="minorEastAsia" w:cs="Arial" w:eastAsiaTheme="minorEastAsia" w:hAnsiTheme="minorEastAsia" w:hint="eastAsia"/>
          <w:b w:val="0"/>
          <w:bCs/>
          <w:iCs/>
          <w:color w:val="000000"/>
          <w:kern w:val="1"/>
          <w:sz w:val="24"/>
          <w:szCs w:val="24"/>
          <w:lang w:eastAsia="ar-SA"/>
        </w:rPr>
        <w:t>、基金资产净值的计算方法和公告方式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基金资产净值是指基金资产总值减去基金负债后的价值。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基金资产总值是指购买的各类证券及票据价值、银行存款本息和基金应收的申购款以及其他投资所形成的价值总和。</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（一）基金资产净值的计算方法</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本基金按以下方式进行估值: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1、证券交易所上市的有价证券的估值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（2）交易所上市交易或挂牌转让的不含</w:t>
      </w:r>
      <w:r>
        <w:rPr>
          <w:rFonts w:asciiTheme="minorEastAsia" w:cs="宋体" w:eastAsiaTheme="minorEastAsia" w:hAnsiTheme="minorEastAsia" w:hint="eastAsia"/>
          <w:bCs/>
          <w:color w:val="000000"/>
          <w:sz w:val="24"/>
          <w:szCs w:val="24"/>
        </w:rPr>
        <w:t>权固定</w:t>
      </w:r>
      <w:r>
        <w:rPr>
          <w:rFonts w:asciiTheme="minorEastAsia" w:cs="宋体" w:eastAsiaTheme="minorEastAsia" w:hAnsiTheme="minorEastAsia" w:hint="eastAsia"/>
          <w:bCs/>
          <w:color w:val="000000"/>
          <w:sz w:val="24"/>
          <w:szCs w:val="24"/>
        </w:rPr>
        <w:t>收益品种（基金合同另有规定的除外），选取估值日第三方估值机构提供的相应品种当日的估值全价进行估值；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（3）交易所上市交易或挂牌转让的含</w:t>
      </w:r>
      <w:r>
        <w:rPr>
          <w:rFonts w:asciiTheme="minorEastAsia" w:cs="宋体" w:eastAsiaTheme="minorEastAsia" w:hAnsiTheme="minorEastAsia" w:hint="eastAsia"/>
          <w:bCs/>
          <w:color w:val="000000"/>
          <w:sz w:val="24"/>
          <w:szCs w:val="24"/>
        </w:rPr>
        <w:t>权固定</w:t>
      </w:r>
      <w:r>
        <w:rPr>
          <w:rFonts w:asciiTheme="minorEastAsia" w:cs="宋体" w:eastAsiaTheme="minorEastAsia" w:hAnsiTheme="minorEastAsia" w:hint="eastAsia"/>
          <w:bCs/>
          <w:color w:val="000000"/>
          <w:sz w:val="24"/>
          <w:szCs w:val="24"/>
        </w:rPr>
        <w:t>收益品种（基金合同另有规定的除外），选取估值日第三方估值机构提供的相应品种当日的唯一估值全价或推荐估值全价进行估值；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（4）交易所上市交易的可转换债券，以每日收盘价作为估值全价；</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（5）交易所上市不存在活跃市场的有价证券，采用估值技术确定公允价值。交易所市场挂牌转让的资产支持证券，采用估值技术确定公允价值；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2、处于未上市期间的有价证券应区分如下情况处理：</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（1）送股、转增股、配股和公开增发的新股，按估值日在证券交易所挂牌</w:t>
      </w:r>
      <w:r>
        <w:rPr>
          <w:rFonts w:asciiTheme="minorEastAsia" w:cs="宋体" w:eastAsiaTheme="minorEastAsia" w:hAnsiTheme="minorEastAsia" w:hint="eastAsia"/>
          <w:bCs/>
          <w:color w:val="000000"/>
          <w:sz w:val="24"/>
          <w:szCs w:val="24"/>
        </w:rPr>
        <w:t>的同一股票的估值方法估值；该日无交易的，以最近一日的市价（收盘价）估值；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（2）首次公开发行未上市的股票和债券，采用估值技术确定公允价值，在估值技术难以可靠计量公允价值的情况下，</w:t>
      </w:r>
      <w:bookmarkStart w:id="669" w:name="_Hlk199150683"/>
      <w:r>
        <w:rPr>
          <w:rFonts w:hAnsi="宋体" w:hint="eastAsia"/>
          <w:bCs/>
          <w:color w:val="000000"/>
          <w:sz w:val="24"/>
          <w:szCs w:val="24"/>
        </w:rPr>
        <w:t>采用在当前情况下适用并且有足够可利用数据和其他信息支持的估值技术确定其公允价值</w:t>
      </w:r>
      <w:bookmarkEnd w:id="669"/>
      <w:r>
        <w:rPr>
          <w:rFonts w:asciiTheme="minorEastAsia" w:cs="宋体" w:eastAsiaTheme="minorEastAsia" w:hAnsiTheme="minorEastAsia" w:hint="eastAsia"/>
          <w:bCs/>
          <w:color w:val="000000"/>
          <w:sz w:val="24"/>
          <w:szCs w:val="24"/>
        </w:rPr>
        <w:t>；</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（3）在发行时明确一定期限限售期的股票，包括但不限于非公开发行股票、首次公开发行股票时公司股东公开发售股份、通过大宗交易取得的带限售期的股票等，不包括停牌、新发行未上市、回购交易中的质押</w:t>
      </w:r>
      <w:r>
        <w:rPr>
          <w:rFonts w:asciiTheme="minorEastAsia" w:cs="宋体" w:eastAsiaTheme="minorEastAsia" w:hAnsiTheme="minorEastAsia" w:hint="eastAsia"/>
          <w:bCs/>
          <w:color w:val="000000"/>
          <w:sz w:val="24"/>
          <w:szCs w:val="24"/>
        </w:rPr>
        <w:t>券</w:t>
      </w:r>
      <w:r>
        <w:rPr>
          <w:rFonts w:asciiTheme="minorEastAsia" w:cs="宋体" w:eastAsiaTheme="minorEastAsia" w:hAnsiTheme="minorEastAsia" w:hint="eastAsia"/>
          <w:bCs/>
          <w:color w:val="000000"/>
          <w:sz w:val="24"/>
          <w:szCs w:val="24"/>
        </w:rPr>
        <w:t>等流通受限股票，按监管机构或行业协会有关规定确定公允价值。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对全国银行间市场上不含权的固定收益品种，按照第三方估值机构提供的相应品种当日的估值全价估值。对银行间市场上含权的固定收益品种，按照第三方估值机构提供的相应品种当日的唯一估值全价或推荐估值全价估值。对银行间市场未上市，且第三方估值机构未提供估值价格的债券，在发行利率与二级市场利率不存在明显差异，未上市期间市场利率没有发生大的变动的情况下，采用当前情况下适用并且有足够可利用数据和其他信息支持的估值技术确定其公允价值。对于含投资人回售权的固定收益品种，行使回售权的，在回售登记日至实际收款日期间建议选取第三方估值基准服务机构提供的相应品种的唯一估值全价或推荐估值全价，同时应充分考虑发行人的信用风险变化对公允价值的影响；回售登记期截止日（含当日）后未行使回售权的按照长待偿期所对应的价格进行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4、同一债券或股票同时在两个或两个以上市场交易的，按债券或股票所处的市场分别估值。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5、同业存单按估值日第三方估值机构提供的估值全价估值；选定的第三方估值机构未提供估值价格的，采用估值技术确定公允价值。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6、股指期货合约，一般以股指期货当日结算价进行估值，估值当日无结算价的，且最近交易日后经济环境未发生重大变化的，采用最近交易日结算价估值。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7、股票期权合约，一般以估值当日结算价进行估值，估值当日无结算价的，且最近交易日后经济环境未发生重大变化的，采用最近交易日结算价估值。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8、本基金投资存托凭证的估值核算，依照境内上市交易的股票执行。</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9、当本基金发生大额申购或赎回情形时，基金管理人可以采用摆动定价机</w:t>
      </w:r>
      <w:r>
        <w:rPr>
          <w:rFonts w:asciiTheme="minorEastAsia" w:cs="宋体" w:eastAsiaTheme="minorEastAsia" w:hAnsiTheme="minorEastAsia" w:hint="eastAsia"/>
          <w:bCs/>
          <w:color w:val="000000"/>
          <w:sz w:val="24"/>
          <w:szCs w:val="24"/>
        </w:rPr>
        <w:t xml:space="preserve">制，以确保基金估值的公平性，具体处理原则与操作规范遵循相关法律法规以及监管部门、自律规则的规定。 </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10、本基金参与融资业务的，按照相关法律法规、监管部门和行业协会的相关规定进行估值。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w:t>
      </w:r>
      <w:r>
        <w:rPr>
          <w:rFonts w:asciiTheme="minorEastAsia" w:cs="宋体" w:eastAsiaTheme="minorEastAsia" w:hAnsiTheme="minorEastAsia"/>
          <w:bCs/>
          <w:color w:val="000000"/>
          <w:sz w:val="24"/>
          <w:szCs w:val="24"/>
        </w:rPr>
        <w:t>1</w:t>
      </w:r>
      <w:r>
        <w:rPr>
          <w:rFonts w:asciiTheme="minorEastAsia" w:cs="宋体" w:eastAsiaTheme="minorEastAsia" w:hAnsiTheme="minorEastAsia" w:hint="eastAsia"/>
          <w:bCs/>
          <w:color w:val="000000"/>
          <w:sz w:val="24"/>
          <w:szCs w:val="24"/>
        </w:rPr>
        <w:t>、如有确凿证据表明按上述方法进行估值不能客观反映其公允价值的，基金管理人可根据具体情况与基金托管人商定后，按最能反映公允价值的价格估值。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w:t>
      </w:r>
      <w:r>
        <w:rPr>
          <w:rFonts w:asciiTheme="minorEastAsia" w:cs="宋体" w:eastAsiaTheme="minorEastAsia" w:hAnsiTheme="minorEastAsia"/>
          <w:bCs/>
          <w:color w:val="000000"/>
          <w:sz w:val="24"/>
          <w:szCs w:val="24"/>
        </w:rPr>
        <w:t>2</w:t>
      </w:r>
      <w:r>
        <w:rPr>
          <w:rFonts w:asciiTheme="minorEastAsia" w:cs="宋体" w:eastAsiaTheme="minorEastAsia" w:hAnsiTheme="minorEastAsia" w:hint="eastAsia"/>
          <w:bCs/>
          <w:color w:val="000000"/>
          <w:sz w:val="24"/>
          <w:szCs w:val="24"/>
        </w:rPr>
        <w:t>、相关法律法规以及监管部门有强制规定的，从其规定。如有新增事项，按国家最新规定估值。</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如基金管理人或基金托管人发现基金估值违反基金合同订明的估值方法、程序及相关法律法规的规定或者未能充分维护基金份额持有人利益时，应立即通知对方，共同查明原因，双方协商解决。</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 xml:space="preserve">（二）基金净值信息的公告方式 </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《基金合同》生效后，在开始办理基金份额申购或者赎回前，基金管理人应当至少每周在规定网站披露一次各类基金份额净值和基金份额累计净值。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在开始办理基金份额申购或者赎回后，基金管理人应当在不晚于每个开放日的次日，通过规定网站、基金销售机构网站或者营业网点披露开放日的各类基金份额净值和基金份额累计净值。</w:t>
      </w:r>
    </w:p>
    <w:p w:rsidR="00AA3326">
      <w:pPr>
        <w:spacing w:line="360" w:lineRule="auto"/>
        <w:ind w:firstLine="480" w:firstLineChars="200"/>
        <w:rPr>
          <w:rFonts w:asciiTheme="minorEastAsia" w:eastAsiaTheme="minorEastAsia" w:hAnsiTheme="minorEastAsia" w:hint="eastAsia"/>
          <w:bCs/>
          <w:color w:val="000000"/>
          <w:sz w:val="24"/>
          <w:szCs w:val="24"/>
        </w:rPr>
      </w:pPr>
      <w:r>
        <w:rPr>
          <w:rFonts w:asciiTheme="minorEastAsia" w:eastAsiaTheme="minorEastAsia" w:hAnsiTheme="minorEastAsia" w:hint="eastAsia"/>
          <w:bCs/>
          <w:color w:val="000000"/>
          <w:sz w:val="24"/>
          <w:szCs w:val="24"/>
        </w:rPr>
        <w:t>基金管理人应当在不晚于半年度和年度最后一日的次日，在规定网站披露半年度和年度最后一日的各类基金份额净值和基金份额累计净值。</w:t>
      </w:r>
    </w:p>
    <w:p w:rsidR="00AA3326">
      <w:pPr>
        <w:pStyle w:val="Heading2"/>
        <w:keepLines w:val="0"/>
        <w:tabs>
          <w:tab w:pos="576" w:val="left"/>
        </w:tabs>
        <w:suppressAutoHyphens/>
        <w:spacing w:after="0" w:before="0" w:line="360" w:lineRule="auto"/>
        <w:ind w:firstLine="480" w:firstLineChars="200"/>
        <w:rPr>
          <w:rFonts w:asciiTheme="minorEastAsia" w:cs="Arial" w:eastAsiaTheme="minorEastAsia" w:hAnsiTheme="minorEastAsia" w:hint="eastAsia"/>
          <w:bCs/>
          <w:iCs/>
          <w:color w:val="000000"/>
          <w:kern w:val="1"/>
          <w:sz w:val="24"/>
          <w:szCs w:val="24"/>
        </w:rPr>
      </w:pPr>
      <w:r>
        <w:rPr>
          <w:rFonts w:asciiTheme="minorEastAsia" w:cs="Arial" w:eastAsiaTheme="minorEastAsia" w:hAnsiTheme="minorEastAsia" w:hint="eastAsia"/>
          <w:b w:val="0"/>
          <w:bCs/>
          <w:iCs/>
          <w:color w:val="000000"/>
          <w:kern w:val="1"/>
          <w:sz w:val="24"/>
          <w:szCs w:val="24"/>
        </w:rPr>
        <w:t>七、基金合同的变更、终止与基金财产的清算</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（一）《基金合同》的变更</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1、变更《基金合同》涉及法律法规规定或基金合同约定应经基金份额持有人大会决议通过的事项的，应召</w:t>
      </w:r>
      <w:r>
        <w:rPr>
          <w:rFonts w:asciiTheme="minorEastAsia" w:eastAsiaTheme="minorEastAsia" w:hAnsiTheme="minorEastAsia" w:hint="eastAsia"/>
          <w:bCs/>
          <w:color w:val="000000"/>
          <w:sz w:val="24"/>
        </w:rPr>
        <w:t>开基金</w:t>
      </w:r>
      <w:r>
        <w:rPr>
          <w:rFonts w:asciiTheme="minorEastAsia" w:eastAsiaTheme="minorEastAsia" w:hAnsiTheme="minorEastAsia" w:hint="eastAsia"/>
          <w:bCs/>
          <w:color w:val="000000"/>
          <w:sz w:val="24"/>
        </w:rPr>
        <w:t>份额持有人大会决议通过。对于法律法规规定和基金合同约定可不经基金份额持有人大会决议通过的事项，由基金管理人和基金托管人同意后变更并公告。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2、关于《基金合同》变更的基金份额持有人大会决议自生效后方可执行，</w:t>
      </w:r>
      <w:r>
        <w:rPr>
          <w:rFonts w:asciiTheme="minorEastAsia" w:eastAsiaTheme="minorEastAsia" w:hAnsiTheme="minorEastAsia" w:hint="eastAsia"/>
          <w:bCs/>
          <w:color w:val="000000"/>
          <w:sz w:val="24"/>
        </w:rPr>
        <w:t>自决议</w:t>
      </w:r>
      <w:r>
        <w:rPr>
          <w:rFonts w:asciiTheme="minorEastAsia" w:eastAsiaTheme="minorEastAsia" w:hAnsiTheme="minorEastAsia" w:hint="eastAsia"/>
          <w:bCs/>
          <w:color w:val="000000"/>
          <w:sz w:val="24"/>
        </w:rPr>
        <w:t>生效后两日内在规定媒介公告。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（二）《基金合同》的终止事由</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有下列情形之一的，经履行相关程序后，《基金合同》应当终止：</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1、基金份额持有人大会决定终止的；</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2、基金管理人、基金托管人职责终止，在6个月内没有新基金管理人、新基金托管人承接的；</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3、《基金合同》约定的其他情形；</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4、相关法律法规和中国证监会规定的其他情况。</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（三）基金财产的清算</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1、基金财产清算小组：自出现《基金合同》终止事由之日起30个工作日内成立清算小组，基金管理人组织基金财产清算小组并在中国证监会的监督下进行基金清算。</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基金财产清算小组组成：基金财产清算小组成员由基金管理人、基金托管人、符合《中华人民共和国证券法》规定的注册会计师、律师以及中国证监会指定的人员组成。基金财产清算小组可以聘用必要的工作人员。</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3、基金财产清算小组职责：基金财产清算小组负责基金财产的保管、清理、估价、变现和分配。基金财产清算小组可以依法进行必要的民事活动。</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4、基金财产清算程序：</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（1）《基金合同》终止情形出现时，由基金财产清算小组统一接管基金；</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（2）对基金财产和债权债务进行清理和确认；</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（3）对基金财产进行估值和变现；</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（4）制作清算报告；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（5）聘请会计师事务所对清算报告进行外部审计，聘请律师事务所对清算报告出具法律意见书；</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（6）将清算报告报中国证监会备案并公告；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（7）对基金剩余财产进行分配。</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5、基金财产清算的期限为6个月，但因本基金所持证券的流动性受到限制而不能及时变现的，清算期限可相应顺延。</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（四）清算费用</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清算费用是指基金财产清算小组在进行基金清算过程中发生的所有合理费用，清算费用由基金财产清算小组优先从基金剩余财产中支付。</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（五）基金财产清算剩余资产的分配</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依据基金财产清算的分配方案，将基金财产清算后的全部剩余资产扣除基金财产清算费用、交纳所欠税款并清偿基金债务后，按基金份额持有人持有的基金份额比例进行分配。</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（六）基金财产清算的公告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清算过程中的有关重大事项须及时公告；基金财产清算报告</w:t>
      </w:r>
      <w:r>
        <w:rPr>
          <w:rFonts w:asciiTheme="minorEastAsia" w:eastAsiaTheme="minorEastAsia" w:hAnsiTheme="minorEastAsia" w:hint="eastAsia"/>
          <w:bCs/>
          <w:color w:val="000000"/>
          <w:sz w:val="24"/>
        </w:rPr>
        <w:t>经符合</w:t>
      </w:r>
      <w:r>
        <w:rPr>
          <w:rFonts w:asciiTheme="minorEastAsia" w:eastAsiaTheme="minorEastAsia" w:hAnsiTheme="minorEastAsia" w:hint="eastAsia"/>
          <w:bCs/>
          <w:color w:val="000000"/>
          <w:sz w:val="24"/>
        </w:rPr>
        <w:t>《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rsidR="00AA3326">
      <w:pPr>
        <w:spacing w:line="360" w:lineRule="auto"/>
        <w:ind w:firstLine="480"/>
        <w:rPr>
          <w:rFonts w:asciiTheme="minorEastAsia" w:cs="宋体" w:eastAsiaTheme="minorEastAsia" w:hAnsiTheme="minorEastAsia" w:hint="eastAsia"/>
          <w:bCs/>
          <w:color w:val="000000"/>
          <w:sz w:val="24"/>
          <w:szCs w:val="24"/>
        </w:rPr>
      </w:pPr>
      <w:r>
        <w:rPr>
          <w:rFonts w:asciiTheme="minorEastAsia" w:cs="宋体" w:eastAsiaTheme="minorEastAsia" w:hAnsiTheme="minorEastAsia" w:hint="eastAsia"/>
          <w:bCs/>
          <w:color w:val="000000"/>
          <w:sz w:val="24"/>
          <w:szCs w:val="24"/>
        </w:rPr>
        <w:t>（七）基金财产清算账册及文件的保存</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基金财产清算账册及有关文件由基金托管人保存不低于法律法规规定的最低期限。</w:t>
      </w:r>
    </w:p>
    <w:p w:rsidR="00AA3326">
      <w:pPr>
        <w:pStyle w:val="Heading2"/>
        <w:keepLines w:val="0"/>
        <w:tabs>
          <w:tab w:pos="576" w:val="left"/>
        </w:tabs>
        <w:suppressAutoHyphens/>
        <w:spacing w:after="0" w:before="0" w:line="360" w:lineRule="auto"/>
        <w:ind w:firstLine="480" w:firstLineChars="200"/>
        <w:rPr>
          <w:rFonts w:asciiTheme="minorEastAsia" w:cs="Arial" w:eastAsiaTheme="minorEastAsia" w:hAnsiTheme="minorEastAsia" w:hint="eastAsia"/>
          <w:bCs/>
          <w:iCs/>
          <w:color w:val="000000"/>
          <w:kern w:val="1"/>
          <w:sz w:val="24"/>
          <w:szCs w:val="24"/>
        </w:rPr>
      </w:pPr>
      <w:r>
        <w:rPr>
          <w:rFonts w:asciiTheme="minorEastAsia" w:cs="Arial" w:eastAsiaTheme="minorEastAsia" w:hAnsiTheme="minorEastAsia" w:hint="eastAsia"/>
          <w:b w:val="0"/>
          <w:bCs/>
          <w:iCs/>
          <w:color w:val="000000"/>
          <w:kern w:val="1"/>
          <w:sz w:val="24"/>
          <w:szCs w:val="24"/>
        </w:rPr>
        <w:t>八、争议的处理和适用的法律</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发生纠纷时，基金合同当事人可以通过协商或者调解予以解决。当事人不愿通过协商、调解解决或者协商、调解不成的，任何一方均有权将争议提交上海仲裁委员会仲裁，仲裁地点为上海市。仲裁裁决是终局的，对当事人均有约束力。仲裁费用、律师费用由败诉方承担。</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争议处理期间，基金合同当事人应恪守各自的职责，继续忠实、勤勉、尽责地履行基金合同规定的义务，维护基金份额持有人的合法权益。</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《基金合同》受中国法律（为基金合同之目的，在此不包括香港、澳门特别行政区和台湾地区法律）管辖。</w:t>
      </w:r>
    </w:p>
    <w:p w:rsidR="00AA3326">
      <w:pPr>
        <w:pStyle w:val="Heading2"/>
        <w:keepLines w:val="0"/>
        <w:tabs>
          <w:tab w:pos="576" w:val="left"/>
        </w:tabs>
        <w:suppressAutoHyphens/>
        <w:spacing w:after="0" w:before="0" w:line="360" w:lineRule="auto"/>
        <w:ind w:firstLine="480" w:firstLineChars="200"/>
        <w:rPr>
          <w:rFonts w:asciiTheme="minorEastAsia" w:cs="Arial" w:eastAsiaTheme="minorEastAsia" w:hAnsiTheme="minorEastAsia" w:hint="eastAsia"/>
          <w:bCs/>
          <w:iCs/>
          <w:color w:val="000000"/>
          <w:kern w:val="1"/>
          <w:sz w:val="24"/>
          <w:szCs w:val="24"/>
        </w:rPr>
      </w:pPr>
      <w:r>
        <w:rPr>
          <w:rFonts w:asciiTheme="minorEastAsia" w:cs="Arial" w:eastAsiaTheme="minorEastAsia" w:hAnsiTheme="minorEastAsia" w:hint="eastAsia"/>
          <w:b w:val="0"/>
          <w:bCs/>
          <w:iCs/>
          <w:color w:val="000000"/>
          <w:kern w:val="1"/>
          <w:sz w:val="24"/>
          <w:szCs w:val="24"/>
        </w:rPr>
        <w:t>九、基金合同存放地和投资人取得合同的方式</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bCs/>
          <w:color w:val="000000"/>
          <w:sz w:val="24"/>
        </w:rPr>
        <w:t>《基金合同》正本一式</w:t>
      </w:r>
      <w:r>
        <w:rPr>
          <w:rFonts w:asciiTheme="minorEastAsia" w:eastAsiaTheme="minorEastAsia" w:hAnsiTheme="minorEastAsia" w:hint="eastAsia"/>
          <w:bCs/>
          <w:color w:val="000000"/>
          <w:sz w:val="24"/>
        </w:rPr>
        <w:t>二</w:t>
      </w:r>
      <w:r>
        <w:rPr>
          <w:rFonts w:asciiTheme="minorEastAsia" w:eastAsiaTheme="minorEastAsia" w:hAnsiTheme="minorEastAsia"/>
          <w:bCs/>
          <w:color w:val="000000"/>
          <w:sz w:val="24"/>
        </w:rPr>
        <w:t>份，基金管理人、基金托管人各持有</w:t>
      </w:r>
      <w:r>
        <w:rPr>
          <w:rFonts w:asciiTheme="minorEastAsia" w:eastAsiaTheme="minorEastAsia" w:hAnsiTheme="minorEastAsia" w:hint="eastAsia"/>
          <w:bCs/>
          <w:color w:val="000000"/>
          <w:sz w:val="24"/>
        </w:rPr>
        <w:t>一</w:t>
      </w:r>
      <w:r>
        <w:rPr>
          <w:rFonts w:asciiTheme="minorEastAsia" w:eastAsiaTheme="minorEastAsia" w:hAnsiTheme="minorEastAsia"/>
          <w:bCs/>
          <w:color w:val="000000"/>
          <w:sz w:val="24"/>
        </w:rPr>
        <w:t>份，每份具有同等的法律效力。</w:t>
      </w:r>
    </w:p>
    <w:p w:rsidR="00AA3326">
      <w:pPr>
        <w:spacing w:line="360" w:lineRule="auto"/>
        <w:ind w:firstLine="480" w:firstLineChars="200"/>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《基金合同》可印制成册，供投资者在基金管理人、基金托管人、销售机构</w:t>
      </w:r>
      <w:r>
        <w:rPr>
          <w:rFonts w:asciiTheme="minorEastAsia" w:eastAsiaTheme="minorEastAsia" w:hAnsiTheme="minorEastAsia" w:hint="eastAsia"/>
          <w:bCs/>
          <w:color w:val="000000"/>
          <w:sz w:val="24"/>
        </w:rPr>
        <w:t>的办公场所和营业场所查阅。</w:t>
      </w:r>
    </w:p>
    <w:p w:rsidR="00AA3326">
      <w:pPr>
        <w:rPr>
          <w:rFonts w:asciiTheme="minorEastAsia" w:eastAsiaTheme="minorEastAsia" w:hAnsiTheme="minorEastAsia" w:hint="eastAsia"/>
          <w:bCs/>
          <w:color w:val="000000"/>
        </w:rPr>
      </w:pPr>
      <w:r>
        <w:rPr>
          <w:rFonts w:asciiTheme="minorEastAsia" w:eastAsiaTheme="minorEastAsia" w:hAnsiTheme="minorEastAsia"/>
          <w:color w:val="000000"/>
        </w:rPr>
        <w:br w:type="page"/>
      </w:r>
    </w:p>
    <w:p w:rsidR="00AA3326">
      <w:pPr>
        <w:tabs>
          <w:tab w:pos="6240" w:val="left"/>
        </w:tabs>
        <w:spacing w:line="360" w:lineRule="auto"/>
        <w:ind w:firstLine="480" w:firstLineChars="200"/>
        <w:rPr>
          <w:rFonts w:asciiTheme="minorEastAsia" w:eastAsiaTheme="minorEastAsia" w:hAnsiTheme="minorEastAsia" w:hint="eastAsia"/>
          <w:color w:val="000000"/>
          <w:sz w:val="24"/>
        </w:rPr>
      </w:pPr>
      <w:r>
        <w:rPr>
          <w:rFonts w:asciiTheme="minorEastAsia" w:eastAsiaTheme="minorEastAsia" w:hAnsiTheme="minorEastAsia" w:hint="eastAsia"/>
          <w:color w:val="000000"/>
          <w:sz w:val="24"/>
        </w:rPr>
        <w:t>（本页无正文，为《国泰海通新锐量化选股混合型证券投资基金基金合同》签署页）</w:t>
      </w:r>
    </w:p>
    <w:p w:rsidR="00AA3326">
      <w:pPr>
        <w:spacing w:line="360" w:lineRule="auto"/>
        <w:ind w:firstLine="420"/>
        <w:rPr>
          <w:rFonts w:asciiTheme="minorEastAsia" w:eastAsiaTheme="minorEastAsia" w:hAnsiTheme="minorEastAsia" w:hint="eastAsia"/>
          <w:color w:val="000000"/>
          <w:sz w:val="24"/>
        </w:rPr>
      </w:pPr>
    </w:p>
    <w:p w:rsidR="00AA3326">
      <w:pPr>
        <w:spacing w:line="360" w:lineRule="auto"/>
        <w:ind w:firstLine="420"/>
        <w:rPr>
          <w:rFonts w:asciiTheme="minorEastAsia" w:eastAsiaTheme="minorEastAsia" w:hAnsiTheme="minorEastAsia" w:hint="eastAsia"/>
          <w:color w:val="000000"/>
          <w:sz w:val="24"/>
        </w:rPr>
      </w:pPr>
    </w:p>
    <w:p w:rsidR="00AA3326">
      <w:pPr>
        <w:spacing w:line="360" w:lineRule="auto"/>
        <w:ind w:firstLine="420"/>
        <w:rPr>
          <w:rFonts w:asciiTheme="minorEastAsia" w:eastAsiaTheme="minorEastAsia" w:hAnsiTheme="minorEastAsia" w:hint="eastAsia"/>
          <w:color w:val="000000"/>
          <w:sz w:val="24"/>
        </w:rPr>
      </w:pPr>
    </w:p>
    <w:p w:rsidR="00AA3326">
      <w:pPr>
        <w:spacing w:line="360" w:lineRule="auto"/>
        <w:ind w:firstLine="420"/>
        <w:rPr>
          <w:rFonts w:asciiTheme="minorEastAsia" w:eastAsiaTheme="minorEastAsia" w:hAnsiTheme="minorEastAsia" w:hint="eastAsia"/>
          <w:bCs/>
          <w:color w:val="000000"/>
          <w:sz w:val="24"/>
        </w:rPr>
      </w:pPr>
    </w:p>
    <w:p w:rsidR="00AA3326">
      <w:pPr>
        <w:spacing w:line="360" w:lineRule="auto"/>
        <w:ind w:right="-806" w:rightChars="-384"/>
        <w:rPr>
          <w:rFonts w:asciiTheme="minorEastAsia" w:eastAsiaTheme="minorEastAsia" w:hAnsiTheme="minorEastAsia" w:hint="eastAsia"/>
          <w:color w:val="000000"/>
          <w:sz w:val="24"/>
        </w:rPr>
      </w:pPr>
      <w:r>
        <w:rPr>
          <w:rFonts w:asciiTheme="minorEastAsia" w:eastAsiaTheme="minorEastAsia" w:hAnsiTheme="minorEastAsia" w:hint="eastAsia"/>
          <w:color w:val="000000"/>
          <w:sz w:val="24"/>
        </w:rPr>
        <w:t>基金管理人（盖章）：上海国泰海通证券资产管理有限公司（公章/合同专用章）</w:t>
      </w:r>
    </w:p>
    <w:p w:rsidR="00AA3326">
      <w:pPr>
        <w:spacing w:line="360" w:lineRule="auto"/>
        <w:ind w:firstLine="360" w:firstLineChars="150"/>
        <w:rPr>
          <w:rFonts w:asciiTheme="minorEastAsia" w:eastAsiaTheme="minorEastAsia" w:hAnsiTheme="minorEastAsia" w:hint="eastAsia"/>
          <w:bCs/>
          <w:color w:val="000000"/>
          <w:sz w:val="24"/>
        </w:rPr>
      </w:pPr>
    </w:p>
    <w:p w:rsidR="00AA3326">
      <w:pPr>
        <w:spacing w:line="360" w:lineRule="auto"/>
        <w:ind w:firstLine="360" w:firstLineChars="150"/>
        <w:rPr>
          <w:rFonts w:asciiTheme="minorEastAsia" w:eastAsiaTheme="minorEastAsia" w:hAnsiTheme="minorEastAsia" w:hint="eastAsia"/>
          <w:bCs/>
          <w:color w:val="000000"/>
          <w:sz w:val="24"/>
        </w:rPr>
      </w:pPr>
    </w:p>
    <w:p w:rsidR="00AA3326">
      <w:pPr>
        <w:spacing w:line="360" w:lineRule="auto"/>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法定代表人</w:t>
      </w:r>
      <w:r>
        <w:rPr>
          <w:rFonts w:asciiTheme="minorEastAsia" w:eastAsiaTheme="minorEastAsia" w:hAnsiTheme="minorEastAsia" w:hint="eastAsia"/>
          <w:color w:val="000000"/>
          <w:sz w:val="24"/>
        </w:rPr>
        <w:t>（或授权代理人）签字或盖章：</w:t>
      </w:r>
    </w:p>
    <w:p w:rsidR="00AA3326">
      <w:pPr>
        <w:spacing w:line="360" w:lineRule="auto"/>
        <w:ind w:right="-806" w:rightChars="-384"/>
        <w:rPr>
          <w:rFonts w:asciiTheme="minorEastAsia" w:eastAsiaTheme="minorEastAsia" w:hAnsiTheme="minorEastAsia" w:hint="eastAsia"/>
          <w:color w:val="000000"/>
          <w:sz w:val="24"/>
        </w:rPr>
      </w:pPr>
    </w:p>
    <w:p w:rsidR="00AA3326">
      <w:pPr>
        <w:spacing w:line="360" w:lineRule="auto"/>
        <w:ind w:right="-806" w:rightChars="-384"/>
        <w:rPr>
          <w:rFonts w:asciiTheme="minorEastAsia" w:eastAsiaTheme="minorEastAsia" w:hAnsiTheme="minorEastAsia" w:hint="eastAsia"/>
          <w:color w:val="000000"/>
          <w:sz w:val="24"/>
        </w:rPr>
      </w:pPr>
    </w:p>
    <w:p w:rsidR="00AA3326">
      <w:pPr>
        <w:spacing w:line="360" w:lineRule="auto"/>
        <w:ind w:right="-806" w:rightChars="-384"/>
        <w:rPr>
          <w:rFonts w:asciiTheme="minorEastAsia" w:eastAsiaTheme="minorEastAsia" w:hAnsiTheme="minorEastAsia" w:hint="eastAsia"/>
          <w:color w:val="000000"/>
          <w:sz w:val="24"/>
        </w:rPr>
      </w:pPr>
      <w:r>
        <w:rPr>
          <w:rFonts w:asciiTheme="minorEastAsia" w:eastAsiaTheme="minorEastAsia" w:hAnsiTheme="minorEastAsia" w:hint="eastAsia"/>
          <w:color w:val="000000"/>
          <w:sz w:val="24"/>
        </w:rPr>
        <w:t>签订地点：</w:t>
      </w:r>
    </w:p>
    <w:p w:rsidR="00AA3326">
      <w:pPr>
        <w:spacing w:line="360" w:lineRule="auto"/>
        <w:ind w:right="-806" w:rightChars="-384"/>
        <w:rPr>
          <w:rFonts w:asciiTheme="minorEastAsia" w:eastAsiaTheme="minorEastAsia" w:hAnsiTheme="minorEastAsia" w:hint="eastAsia"/>
          <w:color w:val="000000"/>
          <w:sz w:val="24"/>
        </w:rPr>
      </w:pPr>
      <w:r>
        <w:rPr>
          <w:rFonts w:asciiTheme="minorEastAsia" w:eastAsiaTheme="minorEastAsia" w:hAnsiTheme="minorEastAsia" w:hint="eastAsia"/>
          <w:color w:val="000000"/>
          <w:sz w:val="24"/>
        </w:rPr>
        <w:t xml:space="preserve">签署日期：    </w:t>
      </w:r>
      <w:r>
        <w:rPr>
          <w:rFonts w:asciiTheme="minorEastAsia" w:eastAsiaTheme="minorEastAsia" w:hAnsiTheme="minorEastAsia" w:hint="eastAsia"/>
          <w:color w:val="000000"/>
          <w:spacing w:val="6"/>
          <w:sz w:val="24"/>
        </w:rPr>
        <w:t>年    月    日</w:t>
      </w:r>
    </w:p>
    <w:p w:rsidR="00AA3326">
      <w:pPr>
        <w:spacing w:line="360" w:lineRule="auto"/>
        <w:rPr>
          <w:rFonts w:asciiTheme="minorEastAsia" w:eastAsiaTheme="minorEastAsia" w:hAnsiTheme="minorEastAsia" w:hint="eastAsia"/>
          <w:bCs/>
          <w:color w:val="000000"/>
          <w:sz w:val="24"/>
        </w:rPr>
      </w:pPr>
    </w:p>
    <w:p w:rsidR="00AA3326">
      <w:pPr>
        <w:spacing w:line="360" w:lineRule="auto"/>
        <w:ind w:firstLine="360" w:firstLineChars="150"/>
        <w:rPr>
          <w:rFonts w:asciiTheme="minorEastAsia" w:eastAsiaTheme="minorEastAsia" w:hAnsiTheme="minorEastAsia" w:hint="eastAsia"/>
          <w:color w:val="000000"/>
          <w:sz w:val="24"/>
        </w:rPr>
      </w:pPr>
    </w:p>
    <w:p w:rsidR="00AA3326">
      <w:pPr>
        <w:spacing w:line="360" w:lineRule="auto"/>
        <w:ind w:firstLine="360" w:firstLineChars="150"/>
        <w:rPr>
          <w:rFonts w:asciiTheme="minorEastAsia" w:eastAsiaTheme="minorEastAsia" w:hAnsiTheme="minorEastAsia" w:hint="eastAsia"/>
          <w:color w:val="000000"/>
          <w:sz w:val="24"/>
        </w:rPr>
      </w:pPr>
    </w:p>
    <w:p w:rsidR="00AA3326">
      <w:pPr>
        <w:spacing w:line="360" w:lineRule="auto"/>
        <w:ind w:firstLine="360" w:firstLineChars="150"/>
        <w:rPr>
          <w:rFonts w:asciiTheme="minorEastAsia" w:eastAsiaTheme="minorEastAsia" w:hAnsiTheme="minorEastAsia" w:hint="eastAsia"/>
          <w:color w:val="000000"/>
          <w:sz w:val="24"/>
        </w:rPr>
      </w:pPr>
    </w:p>
    <w:p w:rsidR="00AA3326">
      <w:pPr>
        <w:spacing w:line="360" w:lineRule="auto"/>
        <w:ind w:right="-806" w:rightChars="-384"/>
        <w:rPr>
          <w:rFonts w:asciiTheme="minorEastAsia" w:eastAsiaTheme="minorEastAsia" w:hAnsiTheme="minorEastAsia" w:hint="eastAsia"/>
          <w:color w:val="000000"/>
          <w:sz w:val="24"/>
        </w:rPr>
      </w:pPr>
      <w:r>
        <w:rPr>
          <w:rFonts w:asciiTheme="minorEastAsia" w:eastAsiaTheme="minorEastAsia" w:hAnsiTheme="minorEastAsia" w:hint="eastAsia"/>
          <w:color w:val="000000"/>
          <w:sz w:val="24"/>
        </w:rPr>
        <w:t>基金托管人（盖章）：中国民生银行股份有限公司（合同专用章）</w:t>
      </w:r>
    </w:p>
    <w:p w:rsidP="0072340C" w:rsidR="00AA3326">
      <w:pPr>
        <w:tabs>
          <w:tab w:pos="2400" w:val="left"/>
        </w:tabs>
        <w:spacing w:line="360" w:lineRule="auto"/>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ab/>
      </w:r>
    </w:p>
    <w:p w:rsidR="00AA3326">
      <w:pPr>
        <w:spacing w:line="360" w:lineRule="auto"/>
        <w:rPr>
          <w:rFonts w:asciiTheme="minorEastAsia" w:eastAsiaTheme="minorEastAsia" w:hAnsiTheme="minorEastAsia" w:hint="eastAsia"/>
          <w:bCs/>
          <w:color w:val="000000"/>
          <w:sz w:val="24"/>
        </w:rPr>
      </w:pPr>
    </w:p>
    <w:p w:rsidR="00AA3326">
      <w:pPr>
        <w:spacing w:line="360" w:lineRule="auto"/>
        <w:rPr>
          <w:rFonts w:asciiTheme="minorEastAsia" w:eastAsiaTheme="minorEastAsia" w:hAnsiTheme="minorEastAsia" w:hint="eastAsia"/>
          <w:bCs/>
          <w:color w:val="000000"/>
          <w:sz w:val="24"/>
        </w:rPr>
      </w:pPr>
    </w:p>
    <w:p w:rsidR="00AA3326">
      <w:pPr>
        <w:spacing w:line="360" w:lineRule="auto"/>
        <w:rPr>
          <w:rFonts w:asciiTheme="minorEastAsia" w:eastAsiaTheme="minorEastAsia" w:hAnsiTheme="minorEastAsia" w:hint="eastAsia"/>
          <w:bCs/>
          <w:color w:val="000000"/>
          <w:sz w:val="24"/>
        </w:rPr>
      </w:pPr>
      <w:r>
        <w:rPr>
          <w:rFonts w:asciiTheme="minorEastAsia" w:eastAsiaTheme="minorEastAsia" w:hAnsiTheme="minorEastAsia" w:hint="eastAsia"/>
          <w:bCs/>
          <w:color w:val="000000"/>
          <w:sz w:val="24"/>
        </w:rPr>
        <w:t>法定代表人</w:t>
      </w:r>
      <w:r>
        <w:rPr>
          <w:rFonts w:asciiTheme="minorEastAsia" w:eastAsiaTheme="minorEastAsia" w:hAnsiTheme="minorEastAsia" w:hint="eastAsia"/>
          <w:color w:val="000000"/>
          <w:sz w:val="24"/>
        </w:rPr>
        <w:t>（或授权代理人）签字或盖章：</w:t>
      </w:r>
    </w:p>
    <w:p w:rsidR="00AA3326">
      <w:pPr>
        <w:spacing w:line="360" w:lineRule="auto"/>
        <w:jc w:val="left"/>
        <w:rPr>
          <w:rFonts w:asciiTheme="minorEastAsia" w:eastAsiaTheme="minorEastAsia" w:hAnsiTheme="minorEastAsia" w:hint="eastAsia"/>
          <w:color w:val="000000"/>
          <w:sz w:val="24"/>
        </w:rPr>
      </w:pPr>
    </w:p>
    <w:p w:rsidR="00AA3326">
      <w:pPr>
        <w:spacing w:line="360" w:lineRule="auto"/>
        <w:jc w:val="left"/>
        <w:rPr>
          <w:rFonts w:asciiTheme="minorEastAsia" w:eastAsiaTheme="minorEastAsia" w:hAnsiTheme="minorEastAsia" w:hint="eastAsia"/>
          <w:color w:val="000000"/>
          <w:sz w:val="24"/>
        </w:rPr>
      </w:pPr>
    </w:p>
    <w:p w:rsidR="00AA3326">
      <w:pPr>
        <w:spacing w:line="360" w:lineRule="auto"/>
        <w:ind w:right="-806" w:rightChars="-384"/>
        <w:rPr>
          <w:rFonts w:asciiTheme="minorEastAsia" w:eastAsiaTheme="minorEastAsia" w:hAnsiTheme="minorEastAsia" w:hint="eastAsia"/>
          <w:color w:val="000000"/>
          <w:sz w:val="24"/>
        </w:rPr>
      </w:pPr>
      <w:r>
        <w:rPr>
          <w:rFonts w:asciiTheme="minorEastAsia" w:eastAsiaTheme="minorEastAsia" w:hAnsiTheme="minorEastAsia" w:hint="eastAsia"/>
          <w:color w:val="000000"/>
          <w:sz w:val="24"/>
        </w:rPr>
        <w:t>签订地点：</w:t>
      </w:r>
    </w:p>
    <w:p w:rsidR="00AA3326">
      <w:pPr>
        <w:spacing w:line="360" w:lineRule="auto"/>
        <w:jc w:val="left"/>
        <w:rPr>
          <w:rFonts w:asciiTheme="minorEastAsia" w:eastAsiaTheme="minorEastAsia" w:hAnsiTheme="minorEastAsia" w:hint="eastAsia"/>
          <w:color w:val="000000"/>
        </w:rPr>
      </w:pPr>
      <w:r>
        <w:rPr>
          <w:rFonts w:asciiTheme="minorEastAsia" w:eastAsiaTheme="minorEastAsia" w:hAnsiTheme="minorEastAsia" w:hint="eastAsia"/>
          <w:color w:val="000000"/>
          <w:sz w:val="24"/>
        </w:rPr>
        <w:t>签署日期：</w:t>
      </w:r>
      <w:r>
        <w:rPr>
          <w:rFonts w:asciiTheme="minorEastAsia" w:eastAsiaTheme="minorEastAsia" w:hAnsiTheme="minorEastAsia"/>
          <w:color w:val="000000"/>
          <w:sz w:val="24"/>
        </w:rPr>
        <w:t xml:space="preserve">    </w:t>
      </w:r>
      <w:r>
        <w:rPr>
          <w:rFonts w:asciiTheme="minorEastAsia" w:eastAsiaTheme="minorEastAsia" w:hAnsiTheme="minorEastAsia" w:hint="eastAsia"/>
          <w:color w:val="000000"/>
          <w:sz w:val="24"/>
        </w:rPr>
        <w:t xml:space="preserve">年 </w:t>
      </w:r>
      <w:r>
        <w:rPr>
          <w:rFonts w:asciiTheme="minorEastAsia" w:eastAsiaTheme="minorEastAsia" w:hAnsiTheme="minorEastAsia"/>
          <w:color w:val="000000"/>
          <w:sz w:val="24"/>
        </w:rPr>
        <w:t xml:space="preserve">   </w:t>
      </w:r>
      <w:r>
        <w:rPr>
          <w:rFonts w:asciiTheme="minorEastAsia" w:eastAsiaTheme="minorEastAsia" w:hAnsiTheme="minorEastAsia" w:hint="eastAsia"/>
          <w:color w:val="000000"/>
          <w:sz w:val="24"/>
        </w:rPr>
        <w:t xml:space="preserve">月    </w:t>
      </w:r>
      <w:r>
        <w:rPr>
          <w:rFonts w:asciiTheme="minorEastAsia" w:eastAsiaTheme="minorEastAsia" w:hAnsiTheme="minorEastAsia" w:hint="eastAsia"/>
          <w:color w:val="000000"/>
          <w:spacing w:val="6"/>
          <w:sz w:val="24"/>
        </w:rPr>
        <w:t>日</w:t>
      </w:r>
      <w:bookmarkStart w:id="670" w:name="_Hlt121736958"/>
      <w:bookmarkStart w:id="671" w:name="_Hlt92959328"/>
      <w:bookmarkEnd w:id="670"/>
      <w:bookmarkEnd w:id="671"/>
    </w:p>
    <w:p w:rsidR="00AA3326">
      <w:pPr>
        <w:autoSpaceDE w:val="0"/>
        <w:autoSpaceDN w:val="0"/>
        <w:adjustRightInd w:val="0"/>
        <w:spacing w:line="360" w:lineRule="auto"/>
        <w:ind w:firstLine="420" w:firstLineChars="200"/>
        <w:jc w:val="right"/>
        <w:rPr>
          <w:rFonts w:asciiTheme="minorEastAsia" w:eastAsiaTheme="minorEastAsia" w:hAnsiTheme="minorEastAsia" w:hint="eastAsia"/>
          <w:bCs/>
          <w:color w:val="000000"/>
        </w:rPr>
      </w:pPr>
    </w:p>
    <w:p w:rsidR="00AA3326">
      <w:pPr>
        <w:autoSpaceDE w:val="0"/>
        <w:autoSpaceDN w:val="0"/>
        <w:adjustRightInd w:val="0"/>
        <w:spacing w:line="360" w:lineRule="auto"/>
        <w:ind w:firstLine="420" w:firstLineChars="200"/>
        <w:jc w:val="right"/>
        <w:rPr>
          <w:bCs/>
          <w:color w:val="000000"/>
        </w:rPr>
      </w:pPr>
    </w:p>
    <w:p w:rsidR="00AA3326">
      <w:pPr>
        <w:autoSpaceDE w:val="0"/>
        <w:autoSpaceDN w:val="0"/>
        <w:adjustRightInd w:val="0"/>
        <w:spacing w:line="360" w:lineRule="auto"/>
        <w:ind w:right="420"/>
        <w:rPr>
          <w:bCs/>
          <w:color w:val="000000"/>
        </w:rPr>
      </w:pPr>
      <w:bookmarkEnd w:id="668"/>
    </w:p>
    <w:sectPr>
      <w:headerReference r:id="rId13" w:type="even"/>
      <w:headerReference r:id="rId14" w:type="default"/>
      <w:footerReference r:id="rId15" w:type="default"/>
      <w:headerReference r:id="rId16" w:type="first"/>
      <w:pgSz w:h="16838" w:w="11906"/>
      <w:pgMar w:bottom="1440" w:footer="992" w:gutter="0" w:header="851" w:left="1800" w:right="1800" w:top="1440"/>
      <w:pgNumType w:start="1"/>
      <w:cols w:space="720"/>
      <w:docGrid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AA3326">
    <w:pPr>
      <w:pStyle w:val="Footer"/>
      <w:framePr w:hAnchor="margin" w:vAnchor="text" w:wrap="around" w:xAlign="center" w:yAlign="top"/>
    </w:pPr>
    <w:r>
      <w:rPr>
        <w:rFonts w:hint="eastAsia"/>
      </w:rPr>
      <w:fldChar w:fldCharType="begin"/>
    </w:r>
    <w:r>
      <w:rPr>
        <w:rStyle w:val="PageNumber"/>
        <w:rFonts w:hint="eastAsia"/>
      </w:rPr>
      <w:instrText xml:space="preserve"> PAGE  </w:instrText>
    </w:r>
    <w:r>
      <w:rPr>
        <w:rFonts w:hint="eastAsia"/>
      </w:rPr>
      <w:fldChar w:fldCharType="separate"/>
    </w:r>
    <w:r>
      <w:rPr>
        <w:rStyle w:val="PageNumber"/>
      </w:rPr>
      <w:t>1</w:t>
    </w:r>
    <w:r>
      <w:rPr>
        <w:rFonts w:hint="eastAsia"/>
      </w:rPr>
      <w:fldChar w:fldCharType="end"/>
    </w:r>
  </w:p>
  <w:p w:rsidR="00AA3326">
    <w:pPr>
      <w:pStyle w:val="Footer"/>
      <w:jc w:val="center"/>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AA3326">
    <w:pPr>
      <w:pStyle w:val="Footer"/>
    </w:pPr>
  </w:p>
  <w:p w:rsidR="00AA3326">
    <w:pPr>
      <w:pStyle w:val="Footer"/>
    </w:pPr>
  </w:p>
  <w:p w:rsidR="00AA3326">
    <w:pPr>
      <w:pStyle w:val="Footer"/>
    </w:pP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AA3326">
    <w:pPr>
      <w:pStyle w:val="Footer"/>
      <w:jc w:val="center"/>
    </w:pPr>
    <w:r>
      <w:fldChar w:fldCharType="begin"/>
    </w:r>
    <w:r>
      <w:instrText>PAGE   \* MERGEFORMAT</w:instrText>
    </w:r>
    <w:r>
      <w:fldChar w:fldCharType="separate"/>
    </w:r>
    <w:r>
      <w:rPr>
        <w:lang w:val="zh-CN"/>
      </w:rPr>
      <w:t>11</w:t>
    </w:r>
    <w:r>
      <w:rPr>
        <w:lang w:val="zh-CN"/>
      </w:rPr>
      <w:t>3</w:t>
    </w:r>
    <w:r>
      <w:rPr>
        <w:lang w:val="zh-CN"/>
      </w:rPr>
      <w:fldChar w:fldCharType="end"/>
    </w:r>
  </w:p>
</w:ftr>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2051" style="width:222.75pt;height:315.75pt;margin-top:0;margin-left:0;mso-position-horizontal:center;mso-position-horizontal-relative:page;mso-position-vertical:center;mso-position-vertical-relative:page;position:absolute;z-index:251660288" type="#_x0000_t75">
          <v:imagedata o:title="" r:id="rId1"/>
          <o:lock aspectratio="f" v:ext="edit"/>
        </v:shape>
      </w:pict>
    </w: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AA3326">
    <w:pPr>
      <w:pStyle w:val="Header"/>
      <w:pBdr>
        <w:bottom w:color="auto" w:space="10" w:sz="24" w:val="thickThinLargeGap"/>
      </w:pBdr>
      <w:tabs>
        <w:tab w:pos="8280" w:val="right"/>
      </w:tabs>
      <w:wordWrap w:val="0"/>
      <w:adjustRightInd w:val="0"/>
      <w:jc w:val="both"/>
    </w:pPr>
    <w:r>
      <w:rPr>
        <w:rFonts w:hint="eastAsia"/>
        <w:color w:val="000000"/>
      </w:rPr>
      <w:t>XXXX</w:t>
    </w:r>
    <w:r>
      <w:rPr>
        <w:rFonts w:hint="eastAsia"/>
      </w:rPr>
      <w:t>证券投资集合计划</w:t>
    </w:r>
    <w:r>
      <w:rPr>
        <w:rFonts w:hint="eastAsia"/>
      </w:rPr>
      <w:t xml:space="preserve">                             </w:t>
    </w:r>
    <w:r>
      <w:rPr>
        <w:rFonts w:hint="eastAsia"/>
      </w:rPr>
      <w:t>募集申请材料－集合计划基金合同（草案）</w:t>
    </w:r>
  </w:p>
  <w:p>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2049" style="width:222.75pt;height:315.75pt;margin-top:0;margin-left:0;mso-position-horizontal:center;mso-position-horizontal-relative:page;mso-position-vertical:center;mso-position-vertical-relative:page;position:absolute;z-index:251658240" type="#_x0000_t75">
          <v:imagedata o:title="" r:id="rId1"/>
          <o:lock aspectratio="f" v:ext="edit"/>
        </v:shape>
      </w:pic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2050" style="width:222.75pt;height:315.75pt;margin-top:0;margin-left:0;mso-position-horizontal:center;mso-position-horizontal-relative:page;mso-position-vertical:center;mso-position-vertical-relative:page;position:absolute;z-index:251659264" type="#_x0000_t75">
          <v:imagedata o:title="" r:id="rId1"/>
          <o:lock aspectratio="f" v:ext="edit"/>
        </v:shape>
      </w:pict>
    </w:r>
  </w:p>
</w:hdr>
</file>

<file path=word/header4.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2054" style="width:222.75pt;height:315.75pt;margin-top:0;margin-left:0;mso-position-horizontal:center;mso-position-horizontal-relative:page;mso-position-vertical:center;mso-position-vertical-relative:page;position:absolute;z-index:251663360" type="#_x0000_t75">
          <v:imagedata o:title="" r:id="rId1"/>
          <o:lock aspectratio="f" v:ext="edit"/>
        </v:shape>
      </w:pict>
    </w:r>
  </w:p>
</w:hdr>
</file>

<file path=word/header5.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AA3326">
    <w:pPr>
      <w:pStyle w:val="Header"/>
      <w:pBdr>
        <w:bottom w:color="auto" w:space="10" w:sz="24" w:val="thickThinLargeGap"/>
      </w:pBdr>
      <w:tabs>
        <w:tab w:pos="8280" w:val="right"/>
      </w:tabs>
      <w:wordWrap w:val="0"/>
      <w:adjustRightInd w:val="0"/>
      <w:jc w:val="both"/>
    </w:pPr>
    <w:r>
      <w:rPr>
        <w:rFonts w:hint="eastAsia"/>
        <w:color w:val="000000"/>
      </w:rPr>
      <w:t>国泰海通新锐量化选股混合型证券投资基金</w:t>
    </w:r>
    <w:r>
      <w:rPr>
        <w:rFonts w:hint="eastAsia"/>
      </w:rPr>
      <w:t xml:space="preserve">      </w:t>
    </w:r>
    <w:r>
      <w:t xml:space="preserve">                  </w:t>
    </w:r>
    <w:r>
      <w:rPr>
        <w:rFonts w:hint="eastAsia"/>
      </w:rPr>
      <w:t xml:space="preserve">        </w:t>
    </w:r>
    <w:r>
      <w:t xml:space="preserve">              </w:t>
    </w:r>
    <w:r>
      <w:rPr>
        <w:rFonts w:hint="eastAsia"/>
        <w:color w:val="000000"/>
      </w:rPr>
      <w:t>基金合同</w:t>
    </w:r>
  </w:p>
  <w:p>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2052" style="width:222.75pt;height:315.75pt;margin-top:0;margin-left:0;mso-position-horizontal:center;mso-position-horizontal-relative:page;mso-position-vertical:center;mso-position-vertical-relative:page;position:absolute;z-index:251661312" type="#_x0000_t75">
          <v:imagedata o:title="" r:id="rId1"/>
          <o:lock aspectratio="f" v:ext="edit"/>
        </v:shape>
      </w:pict>
    </w:r>
  </w:p>
</w:hdr>
</file>

<file path=word/header6.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2053" style="width:222.75pt;height:315.75pt;margin-top:0;margin-left:0;mso-position-horizontal:center;mso-position-horizontal-relative:page;mso-position-vertical:center;mso-position-vertical-relative:page;position:absolute;z-index:251662336" type="#_x0000_t75">
          <v:imagedata o:title="" r:id="rId1"/>
          <o:lock aspectratio="f" v:ext="edit"/>
        </v:shape>
      </w:pict>
    </w:r>
  </w:p>
</w:hdr>
</file>

<file path=word/header7.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2057" style="width:222.75pt;height:315.75pt;margin-top:0;margin-left:0;mso-position-horizontal:center;mso-position-horizontal-relative:page;mso-position-vertical:center;mso-position-vertical-relative:page;position:absolute;z-index:251666432" type="#_x0000_t75">
          <v:imagedata o:title="" r:id="rId1"/>
          <o:lock aspectratio="f" v:ext="edit"/>
        </v:shape>
      </w:pict>
    </w:r>
  </w:p>
</w:hdr>
</file>

<file path=word/header8.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AA3326">
    <w:pPr>
      <w:pStyle w:val="Header"/>
      <w:pBdr>
        <w:bottom w:color="auto" w:space="10" w:sz="24" w:val="thickThinLargeGap"/>
      </w:pBdr>
      <w:tabs>
        <w:tab w:pos="8280" w:val="right"/>
      </w:tabs>
      <w:wordWrap w:val="0"/>
      <w:adjustRightInd w:val="0"/>
      <w:jc w:val="both"/>
    </w:pPr>
    <w:r>
      <w:rPr>
        <w:rFonts w:hint="eastAsia"/>
        <w:color w:val="000000"/>
      </w:rPr>
      <w:t>国泰海通新锐量化选股混合型证券投资基金</w:t>
    </w:r>
    <w:r>
      <w:rPr>
        <w:rFonts w:hint="eastAsia"/>
      </w:rPr>
      <w:t xml:space="preserve">   </w:t>
    </w:r>
    <w:r>
      <w:t xml:space="preserve">                             </w:t>
    </w:r>
    <w:r>
      <w:rPr>
        <w:rFonts w:hint="eastAsia"/>
      </w:rPr>
      <w:t xml:space="preserve">    </w:t>
    </w:r>
    <w:r>
      <w:t xml:space="preserve">          </w:t>
    </w:r>
    <w:r>
      <w:rPr>
        <w:rFonts w:hint="eastAsia"/>
      </w:rPr>
      <w:t>基金合同</w:t>
    </w:r>
  </w:p>
  <w:p>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2055" style="width:222.75pt;height:315.75pt;margin-top:0;margin-left:0;mso-position-horizontal:center;mso-position-horizontal-relative:page;mso-position-vertical:center;mso-position-vertical-relative:page;position:absolute;z-index:251664384" type="#_x0000_t75">
          <v:imagedata o:title="" r:id="rId1"/>
          <o:lock aspectratio="f" v:ext="edit"/>
        </v:shape>
      </w:pict>
    </w:r>
  </w:p>
</w:hdr>
</file>

<file path=word/header9.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
      <w:pict>
        <v:shapetype coordsize="21600,21600" filled="f" id="_x0000_t75" o:preferrelative="t" o:spt="75" path="m@4@5l@4@11@9@11@9@5xe"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aspectratio="t" v:ext="edit"/>
        </v:shapetype>
        <v:shape id="_x0000_s2056" style="width:222.75pt;height:315.75pt;margin-top:0;margin-left:0;mso-position-horizontal:center;mso-position-horizontal-relative:page;mso-position-vertical:center;mso-position-vertical-relative:page;position:absolute;z-index:251665408" type="#_x0000_t75">
          <v:imagedata o:title="" r:id="rId1"/>
          <o:lock aspectratio="f" v:ext="edit"/>
        </v:shape>
      </w:pict>
    </w: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0000000A"/>
    <w:multiLevelType w:val="singleLevel"/>
    <w:tmpl w:val="0000000A"/>
    <w:lvl w:ilvl="0">
      <w:start w:val="4"/>
      <w:numFmt w:val="chineseCounting"/>
      <w:suff w:val="nothing"/>
      <w:lvlText w:val="%1、"/>
      <w:lvlJc w:val="left"/>
    </w:lvl>
  </w:abstractNum>
  <w:abstractNum w:abstractNumId="1">
    <w:nsid w:val="0000000C"/>
    <w:multiLevelType w:val="singleLevel"/>
    <w:tmpl w:val="0000000C"/>
    <w:lvl w:ilvl="0">
      <w:start w:val="1"/>
      <w:numFmt w:val="bullet"/>
      <w:pStyle w:val="Listbullet"/>
      <w:lvlText w:val=""/>
      <w:lvlJc w:val="left"/>
      <w:pPr>
        <w:tabs>
          <w:tab w:pos="360" w:val="left"/>
        </w:tabs>
        <w:ind w:hanging="360" w:left="360"/>
      </w:pPr>
      <w:rPr>
        <w:rFonts w:ascii="Symbol" w:hAnsi="Symbol" w:hint="default"/>
        <w:color w:val="auto"/>
      </w:rPr>
    </w:lvl>
  </w:abstractNum>
  <w:num w:numId="1">
    <w:abstractNumId w:val="1"/>
  </w:num>
  <w:num w:numId="2">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bordersDoNotSurroundHeader/>
  <w:bordersDoNotSurroundFooter/>
  <w:proofState w:grammar="clean"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eastAsia="zh-CN" w:val="en-US"/>
  <w:clrSchemeMapping w:accent1="accent1" w:accent2="accent2" w:accent3="accent3" w:accent4="accent4" w:accent5="accent5" w:accent6="accent6" w:bg1="light1" w:bg2="light2" w:followedHyperlink="followedHyperlink" w:hyperlink="hyperlink" w:t1="dark1" w:t2="dark2"/>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cs="Times New Roman" w:eastAsia="宋体" w:hAnsi="Times New Roman"/>
        <w:lang w:bidi="ar-SA" w:eastAsia="zh-CN" w:val="en-US"/>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uiPriority="39"/>
    <w:lsdException w:name="toc 2" w:semiHidden="1" w:uiPriority="39" w:unhideWhenUsed="1"/>
    <w:lsdException w:name="toc 3"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qFormat="1"/>
    <w:lsdException w:name="annotation text" w:qFormat="1"/>
    <w:lsdException w:name="header" w:qFormat="1"/>
    <w:lsdException w:name="footer" w:qFormat="1" w:uiPriority="99"/>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uiPriority="99"/>
    <w:lsdException w:name="FollowedHyperlink" w:semiHidden="1" w:unhideWhenUsed="1"/>
    <w:lsdException w:name="Strong" w:qFormat="1" w:uiPriority="22"/>
    <w:lsdException w:name="Emphasis" w:qFormat="1" w:uiPriority="20"/>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pPr>
      <w:widowControl w:val="0"/>
      <w:jc w:val="both"/>
    </w:pPr>
    <w:rPr>
      <w:kern w:val="2"/>
      <w:sz w:val="21"/>
    </w:rPr>
  </w:style>
  <w:style w:styleId="Heading1" w:type="paragraph">
    <w:name w:val="heading 1"/>
    <w:basedOn w:val="Normal"/>
    <w:next w:val="Normal"/>
    <w:qFormat/>
    <w:pPr>
      <w:keepNext/>
      <w:keepLines/>
      <w:spacing w:after="120" w:before="120" w:line="360" w:lineRule="auto"/>
      <w:outlineLvl w:val="0"/>
    </w:pPr>
    <w:rPr>
      <w:rFonts w:ascii="宋体"/>
      <w:b/>
      <w:color w:val="000000"/>
      <w:kern w:val="0"/>
      <w:sz w:val="24"/>
    </w:rPr>
  </w:style>
  <w:style w:styleId="Heading2" w:type="paragraph">
    <w:name w:val="heading 2"/>
    <w:basedOn w:val="Normal"/>
    <w:next w:val="Normal"/>
    <w:qFormat/>
    <w:pPr>
      <w:keepNext/>
      <w:keepLines/>
      <w:spacing w:after="260" w:before="260" w:line="413" w:lineRule="auto"/>
      <w:outlineLvl w:val="1"/>
    </w:pPr>
    <w:rPr>
      <w:rFonts w:ascii="Arial" w:eastAsia="黑体" w:hAnsi="Arial"/>
      <w:b/>
      <w:sz w:val="32"/>
    </w:rPr>
  </w:style>
  <w:style w:styleId="Heading3" w:type="paragraph">
    <w:name w:val="heading 3"/>
    <w:basedOn w:val="Normal"/>
    <w:next w:val="Normal"/>
    <w:qFormat/>
    <w:pPr>
      <w:keepNext/>
      <w:keepLines/>
      <w:spacing w:after="260" w:before="260" w:line="413" w:lineRule="auto"/>
      <w:outlineLvl w:val="2"/>
    </w:pPr>
    <w:rPr>
      <w:b/>
      <w:sz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NormalIndent" w:type="paragraph">
    <w:name w:val="Normal Indent"/>
    <w:basedOn w:val="Normal"/>
    <w:qFormat/>
    <w:pPr>
      <w:ind w:firstLine="420" w:firstLineChars="200"/>
    </w:pPr>
  </w:style>
  <w:style w:styleId="DocumentMap" w:type="paragraph">
    <w:name w:val="Document Map"/>
    <w:basedOn w:val="Normal"/>
    <w:qFormat/>
    <w:pPr>
      <w:shd w:color="auto" w:fill="000080" w:val="clear"/>
    </w:pPr>
  </w:style>
  <w:style w:styleId="CommentText" w:type="paragraph">
    <w:name w:val="annotation text"/>
    <w:basedOn w:val="Normal"/>
    <w:link w:val="a5"/>
    <w:qFormat/>
    <w:pPr>
      <w:jc w:val="left"/>
    </w:pPr>
  </w:style>
  <w:style w:styleId="BodyText" w:type="paragraph">
    <w:name w:val="Body Text"/>
    <w:basedOn w:val="Normal"/>
    <w:link w:val="a2"/>
    <w:qFormat/>
    <w:pPr>
      <w:autoSpaceDE w:val="0"/>
      <w:autoSpaceDN w:val="0"/>
      <w:adjustRightInd w:val="0"/>
      <w:spacing w:line="360" w:lineRule="auto"/>
      <w:jc w:val="left"/>
    </w:pPr>
    <w:rPr>
      <w:rFonts w:ascii="宋体"/>
      <w:kern w:val="0"/>
      <w:sz w:val="20"/>
    </w:rPr>
  </w:style>
  <w:style w:styleId="TOC3" w:type="paragraph">
    <w:name w:val="toc 3"/>
    <w:basedOn w:val="Normal"/>
    <w:next w:val="Normal"/>
    <w:qFormat/>
    <w:pPr>
      <w:ind w:left="840" w:leftChars="400"/>
    </w:pPr>
  </w:style>
  <w:style w:styleId="PlainText" w:type="paragraph">
    <w:name w:val="Plain Text"/>
    <w:basedOn w:val="Normal"/>
    <w:qFormat/>
    <w:pPr>
      <w:adjustRightInd w:val="0"/>
      <w:spacing w:line="312" w:lineRule="atLeast"/>
      <w:textAlignment w:val="baseline"/>
    </w:pPr>
    <w:rPr>
      <w:rFonts w:ascii="宋体" w:hAnsi="Courier New"/>
      <w:kern w:val="0"/>
    </w:rPr>
  </w:style>
  <w:style w:styleId="BodyTextIndent2" w:type="paragraph">
    <w:name w:val="Body Text Indent 2"/>
    <w:basedOn w:val="Normal"/>
    <w:qFormat/>
    <w:pPr>
      <w:spacing w:line="360" w:lineRule="auto"/>
      <w:ind w:firstLine="425"/>
    </w:pPr>
    <w:rPr>
      <w:rFonts w:ascii="仿宋_GB2312" w:eastAsia="仿宋_GB2312"/>
      <w:sz w:val="28"/>
    </w:rPr>
  </w:style>
  <w:style w:styleId="BalloonText" w:type="paragraph">
    <w:name w:val="Balloon Text"/>
    <w:basedOn w:val="Normal"/>
    <w:qFormat/>
    <w:rPr>
      <w:sz w:val="18"/>
    </w:rPr>
  </w:style>
  <w:style w:styleId="Footer" w:type="paragraph">
    <w:name w:val="footer"/>
    <w:basedOn w:val="Normal"/>
    <w:link w:val="a4"/>
    <w:uiPriority w:val="99"/>
    <w:qFormat/>
    <w:pPr>
      <w:tabs>
        <w:tab w:pos="4153" w:val="center"/>
        <w:tab w:pos="8306" w:val="right"/>
      </w:tabs>
      <w:snapToGrid w:val="0"/>
      <w:jc w:val="left"/>
    </w:pPr>
    <w:rPr>
      <w:sz w:val="18"/>
    </w:rPr>
  </w:style>
  <w:style w:styleId="Header" w:type="paragraph">
    <w:name w:val="header"/>
    <w:basedOn w:val="Normal"/>
    <w:link w:val="a1"/>
    <w:qFormat/>
    <w:pPr>
      <w:pBdr>
        <w:bottom w:color="auto" w:space="1" w:sz="6" w:val="single"/>
      </w:pBdr>
      <w:tabs>
        <w:tab w:pos="4153" w:val="center"/>
        <w:tab w:pos="8306" w:val="right"/>
      </w:tabs>
      <w:snapToGrid w:val="0"/>
      <w:jc w:val="center"/>
    </w:pPr>
    <w:rPr>
      <w:sz w:val="18"/>
    </w:rPr>
  </w:style>
  <w:style w:styleId="TOC1" w:type="paragraph">
    <w:name w:val="toc 1"/>
    <w:basedOn w:val="Normal"/>
    <w:next w:val="Normal"/>
    <w:uiPriority w:val="39"/>
    <w:qFormat/>
    <w:pPr>
      <w:tabs>
        <w:tab w:leader="dot" w:pos="8296" w:val="right"/>
      </w:tabs>
      <w:spacing w:line="360" w:lineRule="auto"/>
    </w:pPr>
  </w:style>
  <w:style w:styleId="FootnoteText" w:type="paragraph">
    <w:name w:val="footnote text"/>
    <w:basedOn w:val="Normal"/>
    <w:qFormat/>
    <w:pPr>
      <w:snapToGrid w:val="0"/>
      <w:jc w:val="left"/>
    </w:pPr>
    <w:rPr>
      <w:sz w:val="18"/>
    </w:rPr>
  </w:style>
  <w:style w:styleId="BodyTextIndent3" w:type="paragraph">
    <w:name w:val="Body Text Indent 3"/>
    <w:basedOn w:val="Normal"/>
    <w:qFormat/>
    <w:pPr>
      <w:autoSpaceDE w:val="0"/>
      <w:autoSpaceDN w:val="0"/>
      <w:adjustRightInd w:val="0"/>
      <w:spacing w:line="360" w:lineRule="auto"/>
      <w:ind w:firstLine="435" w:left="420"/>
    </w:pPr>
    <w:rPr>
      <w:color w:val="0000FF"/>
    </w:rPr>
  </w:style>
  <w:style w:styleId="NormalWeb" w:type="paragraph">
    <w:name w:val="Normal (Web)"/>
    <w:basedOn w:val="Normal"/>
    <w:semiHidden/>
    <w:unhideWhenUsed/>
    <w:qFormat/>
    <w:rPr>
      <w:sz w:val="24"/>
      <w:szCs w:val="24"/>
    </w:rPr>
  </w:style>
  <w:style w:styleId="Title" w:type="paragraph">
    <w:name w:val="Title"/>
    <w:basedOn w:val="Normal"/>
    <w:next w:val="Normal"/>
    <w:link w:val="a3"/>
    <w:qFormat/>
    <w:pPr>
      <w:spacing w:after="60" w:before="240"/>
      <w:jc w:val="center"/>
      <w:outlineLvl w:val="0"/>
    </w:pPr>
    <w:rPr>
      <w:rFonts w:ascii="Cambria" w:hAnsi="Cambria"/>
      <w:b/>
      <w:sz w:val="32"/>
    </w:rPr>
  </w:style>
  <w:style w:styleId="CommentSubject" w:type="paragraph">
    <w:name w:val="annotation subject"/>
    <w:basedOn w:val="CommentText"/>
    <w:next w:val="CommentText"/>
    <w:qFormat/>
    <w:rPr>
      <w:b/>
    </w:rPr>
  </w:style>
  <w:style w:styleId="PageNumber" w:type="character">
    <w:name w:val="page number"/>
    <w:basedOn w:val="DefaultParagraphFont"/>
    <w:qFormat/>
  </w:style>
  <w:style w:styleId="Hyperlink" w:type="character">
    <w:name w:val="Hyperlink"/>
    <w:basedOn w:val="DefaultParagraphFont"/>
    <w:uiPriority w:val="99"/>
    <w:qFormat/>
    <w:rPr>
      <w:color w:val="0000FF"/>
      <w:u w:val="single"/>
    </w:rPr>
  </w:style>
  <w:style w:styleId="CommentReference" w:type="character">
    <w:name w:val="annotation reference"/>
    <w:basedOn w:val="DefaultParagraphFont"/>
    <w:qFormat/>
    <w:rPr>
      <w:sz w:val="21"/>
    </w:rPr>
  </w:style>
  <w:style w:styleId="FootnoteReference" w:type="character">
    <w:name w:val="footnote reference"/>
    <w:basedOn w:val="DefaultParagraphFont"/>
    <w:qFormat/>
    <w:rPr>
      <w:vertAlign w:val="superscript"/>
    </w:rPr>
  </w:style>
  <w:style w:customStyle="1" w:styleId="Listbullet" w:type="paragraph">
    <w:name w:val="List_bullet"/>
    <w:basedOn w:val="Normal"/>
    <w:qFormat/>
    <w:pPr>
      <w:widowControl/>
      <w:numPr>
        <w:numId w:val="1"/>
      </w:numPr>
      <w:jc w:val="left"/>
    </w:pPr>
    <w:rPr>
      <w:kern w:val="0"/>
      <w:sz w:val="24"/>
    </w:rPr>
  </w:style>
  <w:style w:customStyle="1" w:styleId="a" w:type="paragraph">
    <w:name w:val="正文正文"/>
    <w:basedOn w:val="Normal"/>
    <w:qFormat/>
    <w:pPr>
      <w:spacing w:afterLines="25" w:line="360" w:lineRule="auto"/>
      <w:ind w:firstLine="200" w:firstLineChars="200"/>
    </w:pPr>
    <w:rPr>
      <w:sz w:val="24"/>
    </w:rPr>
  </w:style>
  <w:style w:customStyle="1" w:styleId="Char" w:type="paragraph">
    <w:name w:val="Char"/>
    <w:basedOn w:val="Normal"/>
    <w:qFormat/>
  </w:style>
  <w:style w:customStyle="1" w:styleId="unnamed1" w:type="paragraph">
    <w:name w:val="unnamed1"/>
    <w:basedOn w:val="Normal"/>
    <w:qFormat/>
    <w:pPr>
      <w:spacing w:after="60" w:before="60"/>
      <w:ind w:left="15" w:right="15"/>
    </w:pPr>
    <w:rPr>
      <w:rFonts w:ascii="宋体" w:hAnsi="宋体" w:hint="eastAsia"/>
      <w:color w:val="000000"/>
      <w:sz w:val="18"/>
      <w:szCs w:val="18"/>
    </w:rPr>
  </w:style>
  <w:style w:customStyle="1" w:styleId="msonormal1" w:type="paragraph">
    <w:name w:val="msonormal1"/>
    <w:qFormat/>
    <w:pPr>
      <w:widowControl w:val="0"/>
      <w:jc w:val="both"/>
    </w:pPr>
    <w:rPr>
      <w:kern w:val="2"/>
      <w:sz w:val="21"/>
    </w:rPr>
  </w:style>
  <w:style w:customStyle="1" w:styleId="a0" w:type="paragraph">
    <w:name w:val="正文所"/>
    <w:basedOn w:val="Normal"/>
    <w:qFormat/>
    <w:pPr>
      <w:spacing w:line="360" w:lineRule="auto"/>
      <w:ind w:firstLine="420" w:firstLineChars="200"/>
    </w:pPr>
    <w:rPr>
      <w:rFonts w:ascii="宋体"/>
    </w:rPr>
  </w:style>
  <w:style w:customStyle="1" w:styleId="CharChar1" w:type="paragraph">
    <w:name w:val="Char Char1"/>
    <w:basedOn w:val="Normal"/>
    <w:qFormat/>
  </w:style>
  <w:style w:customStyle="1" w:styleId="Default" w:type="paragraph">
    <w:name w:val="Default"/>
    <w:qFormat/>
    <w:pPr>
      <w:widowControl w:val="0"/>
      <w:autoSpaceDE w:val="0"/>
      <w:autoSpaceDN w:val="0"/>
      <w:adjustRightInd w:val="0"/>
    </w:pPr>
    <w:rPr>
      <w:rFonts w:ascii="宋体"/>
      <w:color w:val="000000"/>
      <w:sz w:val="24"/>
    </w:rPr>
  </w:style>
  <w:style w:customStyle="1" w:styleId="Char1" w:type="paragraph">
    <w:name w:val="Char1"/>
    <w:basedOn w:val="Normal"/>
    <w:qFormat/>
  </w:style>
  <w:style w:customStyle="1" w:styleId="InfoBlue" w:type="paragraph">
    <w:name w:val="InfoBlue"/>
    <w:basedOn w:val="Normal"/>
    <w:next w:val="BodyText"/>
    <w:qFormat/>
    <w:pPr>
      <w:tabs>
        <w:tab w:pos="420" w:val="left"/>
      </w:tabs>
      <w:spacing w:after="120" w:line="240" w:lineRule="atLeast"/>
      <w:ind w:hanging="420" w:left="420"/>
      <w:jc w:val="left"/>
    </w:pPr>
    <w:rPr>
      <w:rFonts w:ascii="宋体" w:hAnsi="宋体"/>
    </w:rPr>
  </w:style>
  <w:style w:customStyle="1" w:styleId="Style6" w:type="paragraph">
    <w:name w:val="_Style 6"/>
    <w:basedOn w:val="Normal"/>
    <w:next w:val="Normal"/>
    <w:qFormat/>
    <w:pPr>
      <w:adjustRightInd w:val="0"/>
      <w:snapToGrid w:val="0"/>
      <w:ind w:firstLine="480" w:firstLineChars="200"/>
    </w:pPr>
    <w:rPr>
      <w:rFonts w:ascii="仿宋_GB2312" w:eastAsia="仿宋_GB2312" w:hAnsi="宋体"/>
      <w:color w:val="000000"/>
      <w:sz w:val="24"/>
    </w:rPr>
  </w:style>
  <w:style w:customStyle="1" w:styleId="1" w:type="paragraph">
    <w:name w:val="修订1"/>
    <w:hidden/>
    <w:uiPriority w:val="99"/>
    <w:unhideWhenUsed/>
    <w:qFormat/>
    <w:rPr>
      <w:kern w:val="2"/>
      <w:sz w:val="21"/>
    </w:rPr>
  </w:style>
  <w:style w:customStyle="1" w:styleId="a1" w:type="character">
    <w:name w:val="页眉 字符"/>
    <w:basedOn w:val="DefaultParagraphFont"/>
    <w:link w:val="Header"/>
    <w:qFormat/>
    <w:rPr>
      <w:rFonts w:eastAsia="宋体"/>
      <w:kern w:val="2"/>
      <w:sz w:val="18"/>
      <w:lang w:eastAsia="zh-CN" w:val="en-US"/>
    </w:rPr>
  </w:style>
  <w:style w:customStyle="1" w:styleId="a2" w:type="character">
    <w:name w:val="正文文本 字符"/>
    <w:link w:val="BodyText"/>
    <w:qFormat/>
    <w:rPr>
      <w:rFonts w:ascii="宋体"/>
      <w:kern w:val="0"/>
    </w:rPr>
  </w:style>
  <w:style w:customStyle="1" w:styleId="a3" w:type="character">
    <w:name w:val="标题 字符"/>
    <w:basedOn w:val="DefaultParagraphFont"/>
    <w:link w:val="Title"/>
    <w:qFormat/>
    <w:rPr>
      <w:rFonts w:ascii="Cambria" w:hAnsi="Cambria"/>
      <w:b/>
      <w:kern w:val="2"/>
      <w:sz w:val="32"/>
    </w:rPr>
  </w:style>
  <w:style w:customStyle="1" w:styleId="read" w:type="character">
    <w:name w:val="read"/>
    <w:basedOn w:val="DefaultParagraphFont"/>
    <w:qFormat/>
  </w:style>
  <w:style w:customStyle="1" w:styleId="unnamed11" w:type="character">
    <w:name w:val="unnamed11"/>
    <w:basedOn w:val="DefaultParagraphFont"/>
    <w:qFormat/>
    <w:rPr>
      <w:rFonts w:ascii="宋体" w:eastAsia="宋体" w:hAnsi="宋体" w:hint="eastAsia"/>
      <w:sz w:val="18"/>
    </w:rPr>
  </w:style>
  <w:style w:customStyle="1" w:styleId="a4" w:type="character">
    <w:name w:val="页脚 字符"/>
    <w:link w:val="Footer"/>
    <w:uiPriority w:val="99"/>
    <w:qFormat/>
    <w:rPr>
      <w:kern w:val="2"/>
      <w:sz w:val="18"/>
    </w:rPr>
  </w:style>
  <w:style w:customStyle="1" w:styleId="a5" w:type="character">
    <w:name w:val="批注文字 字符"/>
    <w:link w:val="CommentText"/>
    <w:qFormat/>
    <w:rPr>
      <w:kern w:val="2"/>
      <w:sz w:val="21"/>
    </w:rPr>
  </w:style>
  <w:style w:customStyle="1" w:styleId="2" w:type="paragraph">
    <w:name w:val="修订2"/>
    <w:uiPriority w:val="99"/>
    <w:unhideWhenUsed/>
    <w:qFormat/>
    <w:rPr>
      <w:kern w:val="2"/>
      <w:sz w:val="21"/>
    </w:rPr>
  </w:style>
  <w:style w:customStyle="1" w:styleId="10" w:type="character">
    <w:name w:val="占位符文本1"/>
    <w:basedOn w:val="DefaultParagraphFont"/>
    <w:uiPriority w:val="99"/>
    <w:semiHidden/>
    <w:qFormat/>
    <w:rPr>
      <w:color w:val="808080"/>
    </w:rPr>
  </w:style>
  <w:style w:customStyle="1" w:styleId="fontstyle01" w:type="character">
    <w:name w:val="fontstyle01"/>
    <w:basedOn w:val="DefaultParagraphFont"/>
    <w:qFormat/>
    <w:rPr>
      <w:rFonts w:ascii="宋体" w:cs="宋体" w:eastAsia="宋体" w:hAnsi="宋体" w:hint="eastAsia"/>
      <w:color w:val="000000"/>
      <w:sz w:val="24"/>
      <w:szCs w:val="24"/>
    </w:rPr>
  </w:style>
  <w:style w:customStyle="1" w:styleId="fontstyle11" w:type="character">
    <w:name w:val="fontstyle11"/>
    <w:basedOn w:val="DefaultParagraphFont"/>
    <w:qFormat/>
    <w:rPr>
      <w:rFonts w:ascii="Times New Roman" w:cs="Times New Roman" w:hAnsi="Times New Roman" w:hint="default"/>
      <w:color w:val="000000"/>
      <w:sz w:val="24"/>
      <w:szCs w:val="24"/>
    </w:rPr>
  </w:style>
  <w:style w:customStyle="1" w:styleId="3" w:type="paragraph">
    <w:name w:val="修订3"/>
    <w:hidden/>
    <w:uiPriority w:val="99"/>
    <w:semiHidden/>
    <w:qFormat/>
    <w:rPr>
      <w:kern w:val="2"/>
      <w:sz w:val="21"/>
    </w:rPr>
  </w:style>
  <w:style w:customStyle="1" w:styleId="4" w:type="paragraph">
    <w:name w:val="修订4"/>
    <w:hidden/>
    <w:uiPriority w:val="99"/>
    <w:semiHidden/>
    <w:qFormat/>
    <w:rPr>
      <w:kern w:val="2"/>
      <w:sz w:val="21"/>
    </w:rPr>
  </w:style>
  <w:style w:customStyle="1" w:styleId="5" w:type="paragraph">
    <w:name w:val="修订5"/>
    <w:hidden/>
    <w:uiPriority w:val="99"/>
    <w:semiHidden/>
    <w:qFormat/>
    <w:rPr>
      <w:kern w:val="2"/>
      <w:sz w:val="21"/>
    </w:rPr>
  </w:style>
  <w:style w:customStyle="1" w:styleId="6" w:type="paragraph">
    <w:name w:val="修订6"/>
    <w:hidden/>
    <w:uiPriority w:val="99"/>
    <w:semiHidden/>
    <w:qFormat/>
    <w:rPr>
      <w:kern w:val="2"/>
      <w:sz w:val="21"/>
    </w:rPr>
  </w:style>
  <w:style w:customStyle="1" w:styleId="7" w:type="paragraph">
    <w:name w:val="修订7"/>
    <w:hidden/>
    <w:uiPriority w:val="99"/>
    <w:unhideWhenUsed/>
    <w:qFormat/>
    <w:rPr>
      <w:kern w:val="2"/>
      <w:sz w:val="21"/>
    </w:rPr>
  </w:style>
  <w:style w:customStyle="1" w:styleId="Char0" w:type="character">
    <w:name w:val="批注文字 Char"/>
    <w:qFormat/>
  </w:style>
  <w:style w:styleId="ListParagraph" w:type="paragraph">
    <w:name w:val="List Paragraph"/>
    <w:basedOn w:val="Normal"/>
    <w:uiPriority w:val="99"/>
    <w:unhideWhenUsed/>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no"?><Relationships xmlns="http://schemas.openxmlformats.org/package/2006/relationships"><Relationship Id="rId1" Target="settings.xml" Type="http://schemas.openxmlformats.org/officeDocument/2006/relationships/settings"/><Relationship Id="rId10" Target="header4.xml" Type="http://schemas.openxmlformats.org/officeDocument/2006/relationships/header"/><Relationship Id="rId11" Target="header5.xml" Type="http://schemas.openxmlformats.org/officeDocument/2006/relationships/header"/><Relationship Id="rId12" Target="header6.xml" Type="http://schemas.openxmlformats.org/officeDocument/2006/relationships/header"/><Relationship Id="rId13" Target="header7.xml" Type="http://schemas.openxmlformats.org/officeDocument/2006/relationships/header"/><Relationship Id="rId14" Target="header8.xml" Type="http://schemas.openxmlformats.org/officeDocument/2006/relationships/header"/><Relationship Id="rId15" Target="footer3.xml" Type="http://schemas.openxmlformats.org/officeDocument/2006/relationships/footer"/><Relationship Id="rId16" Target="header9.xml" Type="http://schemas.openxmlformats.org/officeDocument/2006/relationships/header"/><Relationship Id="rId17" Target="theme/theme1.xml" Type="http://schemas.openxmlformats.org/officeDocument/2006/relationships/theme"/><Relationship Id="rId18" Target="numbering.xml" Type="http://schemas.openxmlformats.org/officeDocument/2006/relationships/numbering"/><Relationship Id="rId19" Target="styles.xml" Type="http://schemas.openxmlformats.org/officeDocument/2006/relationships/styles"/><Relationship Id="rId2" Target="webSettings.xml" Type="http://schemas.openxmlformats.org/officeDocument/2006/relationships/webSettings"/><Relationship Id="rId3" Target="fontTable.xml" Type="http://schemas.openxmlformats.org/officeDocument/2006/relationships/fontTable"/><Relationship Id="rId4" Target="../customXml/item1.xml" Type="http://schemas.openxmlformats.org/officeDocument/2006/relationships/customXml"/><Relationship Id="rId5" Target="header1.xml" Type="http://schemas.openxmlformats.org/officeDocument/2006/relationships/header"/><Relationship Id="rId6" Target="header2.xml" Type="http://schemas.openxmlformats.org/officeDocument/2006/relationships/header"/><Relationship Id="rId7" Target="footer1.xml" Type="http://schemas.openxmlformats.org/officeDocument/2006/relationships/footer"/><Relationship Id="rId8" Target="header3.xml" Type="http://schemas.openxmlformats.org/officeDocument/2006/relationships/header"/><Relationship Id="rId9" Target="footer2.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word/_rels/header2.xml.rels><?xml version="1.0" encoding="UTF-8" standalone="no"?><Relationships xmlns="http://schemas.openxmlformats.org/package/2006/relationships"><Relationship Id="rId1" Target="media/image1.png" Type="http://schemas.openxmlformats.org/officeDocument/2006/relationships/image"/></Relationships>
</file>

<file path=word/_rels/header3.xml.rels><?xml version="1.0" encoding="UTF-8" standalone="no"?><Relationships xmlns="http://schemas.openxmlformats.org/package/2006/relationships"><Relationship Id="rId1" Target="media/image1.png" Type="http://schemas.openxmlformats.org/officeDocument/2006/relationships/image"/></Relationships>
</file>

<file path=word/_rels/header4.xml.rels><?xml version="1.0" encoding="UTF-8" standalone="no"?><Relationships xmlns="http://schemas.openxmlformats.org/package/2006/relationships"><Relationship Id="rId1" Target="media/image1.png" Type="http://schemas.openxmlformats.org/officeDocument/2006/relationships/image"/></Relationships>
</file>

<file path=word/_rels/header5.xml.rels><?xml version="1.0" encoding="UTF-8" standalone="no"?><Relationships xmlns="http://schemas.openxmlformats.org/package/2006/relationships"><Relationship Id="rId1" Target="media/image1.png" Type="http://schemas.openxmlformats.org/officeDocument/2006/relationships/image"/></Relationships>
</file>

<file path=word/_rels/header6.xml.rels><?xml version="1.0" encoding="UTF-8" standalone="no"?><Relationships xmlns="http://schemas.openxmlformats.org/package/2006/relationships"><Relationship Id="rId1" Target="media/image1.png" Type="http://schemas.openxmlformats.org/officeDocument/2006/relationships/image"/></Relationships>
</file>

<file path=word/_rels/header7.xml.rels><?xml version="1.0" encoding="UTF-8" standalone="no"?><Relationships xmlns="http://schemas.openxmlformats.org/package/2006/relationships"><Relationship Id="rId1" Target="media/image1.png" Type="http://schemas.openxmlformats.org/officeDocument/2006/relationships/image"/></Relationships>
</file>

<file path=word/_rels/header8.xml.rels><?xml version="1.0" encoding="UTF-8" standalone="no"?><Relationships xmlns="http://schemas.openxmlformats.org/package/2006/relationships"><Relationship Id="rId1" Target="media/image1.png" Type="http://schemas.openxmlformats.org/officeDocument/2006/relationships/image"/></Relationships>
</file>

<file path=word/_rels/header9.xml.rels><?xml version="1.0" encoding="UTF-8" standalone="no"?><Relationships xmlns="http://schemas.openxmlformats.org/package/2006/relationships"><Relationship Id="rId1"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AB5FD-FBAA-4FCE-8E32-BC050CCA9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114</Pages>
  <Words>11502</Words>
  <Characters>65562</Characters>
  <Application>Microsoft Office Word</Application>
  <DocSecurity>0</DocSecurity>
  <Lines>546</Lines>
  <Paragraphs>153</Paragraphs>
  <ScaleCrop>false</ScaleCrop>
  <Company>Microsoft</Company>
  <LinksUpToDate>false</LinksUpToDate>
  <CharactersWithSpaces>76911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contentStatus>国泰君安证券股份有限公司*国泰海通三只变更注册为公募基金产品10/29见网材料*miaotong@gtht.com*niuxu@cmbc.com.cn * * *2025-10-28 09:58:07;</cp:contentStatus>
  <dcterms:created xsi:type="dcterms:W3CDTF">2025-07-30T02:15:00Z</dcterms:created>
  <dc:creator>wangy</dc:creator>
  <cp:lastModifiedBy>苗童</cp:lastModifiedBy>
  <cp:lastPrinted>2025-07-30T10:05:00Z</cp:lastPrinted>
  <dcterms:modified xsi:type="dcterms:W3CDTF">2025-10-10T11:43:00Z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ICV" pid="2">
    <vt:lpwstr>7690C003BC65453B8AFEE06FE6B37E0D</vt:lpwstr>
  </property>
  <property fmtid="{D5CDD505-2E9C-101B-9397-08002B2CF9AE}" name="KSOProductBuildVer" pid="3">
    <vt:lpwstr>2052-12.1.0.21915</vt:lpwstr>
  </property>
  <property fmtid="{D5CDD505-2E9C-101B-9397-08002B2CF9AE}" name="KSOTemplateDocerSaveRecord" pid="4">
    <vt:lpwstr>eyJoZGlkIjoiOWI3MjcxNWE3NmI5ZGYzNDU5ZTgxNDM1NGYxMzg5ZmYiLCJ1c2VySWQiOiI0OTQwMDUzMjQifQ==</vt:lpwstr>
  </property>
  <property fmtid="{D5CDD505-2E9C-101B-9397-08002B2CF9AE}" name="_KSOProductBuildMID" pid="5">
    <vt:lpwstr>CYWFY6GC79TA0VHGRGR8PL0D7ZEMOYVREU06XJDBXF88TQ5TN0BR6CJWFSUHP86RXJMXSOLJZHK78LXJQSFT0F8P8RF0WHWBBSOO0HB33F948115649E0235E8CF779296B83159</vt:lpwstr>
  </property>
  <property fmtid="{D5CDD505-2E9C-101B-9397-08002B2CF9AE}" name="_KSOProductBuildSID" pid="6">
    <vt:lpwstr>DQWMY6GC7RYQ0TBGQPR8PL097NZ0OXGREU06NJD8XGI8TDLTZDBJRCJWFSUTPBIRBEMX9OLYZI7D8LNJQEFTQF8P89C0WMCBAOOO0HB36D1CBB20EBDA500C23379DC46655C793</vt:lpwstr>
  </property>
</Properties>
</file>